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color w:val="000000" w:themeColor="text1"/>
          <w:kern w:val="0"/>
          <w:sz w:val="32"/>
          <w:szCs w:val="32"/>
        </w:rPr>
      </w:pPr>
      <w:r>
        <w:rPr>
          <w:rFonts w:hint="eastAsia" w:asciiTheme="minorEastAsia" w:hAnsiTheme="minorEastAsia" w:eastAsiaTheme="minorEastAsia" w:cstheme="minorEastAsia"/>
          <w:b/>
          <w:bCs/>
          <w:color w:val="000000" w:themeColor="text1"/>
          <w:kern w:val="0"/>
          <w:sz w:val="30"/>
          <w:szCs w:val="30"/>
        </w:rPr>
        <w:t>《矿山排土场灾害防范技术规范第1部分：监测》标准编制说明</w:t>
      </w:r>
    </w:p>
    <w:p>
      <w:pPr>
        <w:spacing w:line="300" w:lineRule="auto"/>
        <w:jc w:val="center"/>
        <w:rPr>
          <w:rFonts w:ascii="黑体" w:hAnsi="黑体" w:eastAsia="黑体" w:cs="黑体"/>
          <w:color w:val="000000" w:themeColor="text1"/>
          <w:sz w:val="28"/>
          <w:szCs w:val="28"/>
        </w:rPr>
      </w:pPr>
      <w:r>
        <w:rPr>
          <w:rFonts w:hint="eastAsia" w:asciiTheme="minorEastAsia" w:hAnsiTheme="minorEastAsia" w:eastAsiaTheme="minorEastAsia" w:cstheme="minorEastAsia"/>
          <w:color w:val="000000" w:themeColor="text1"/>
          <w:sz w:val="28"/>
          <w:szCs w:val="28"/>
        </w:rPr>
        <w:t>（</w:t>
      </w:r>
      <w:r>
        <w:rPr>
          <w:rFonts w:hint="eastAsia" w:asciiTheme="minorEastAsia" w:hAnsiTheme="minorEastAsia" w:eastAsiaTheme="minorEastAsia" w:cstheme="minorEastAsia"/>
          <w:strike w:val="0"/>
          <w:dstrike w:val="0"/>
          <w:color w:val="000000" w:themeColor="text1"/>
          <w:sz w:val="28"/>
          <w:szCs w:val="28"/>
          <w:lang w:eastAsia="zh-CN"/>
          <w14:textFill>
            <w14:solidFill>
              <w14:schemeClr w14:val="tx1"/>
            </w14:solidFill>
          </w14:textFill>
        </w:rPr>
        <w:t>征求意见</w:t>
      </w:r>
      <w:r>
        <w:rPr>
          <w:rFonts w:hint="eastAsia" w:asciiTheme="minorEastAsia" w:hAnsiTheme="minorEastAsia" w:eastAsiaTheme="minorEastAsia" w:cstheme="minorEastAsia"/>
          <w:color w:val="000000" w:themeColor="text1"/>
          <w:sz w:val="28"/>
          <w:szCs w:val="28"/>
        </w:rPr>
        <w:t>稿）</w:t>
      </w:r>
    </w:p>
    <w:p>
      <w:pPr>
        <w:spacing w:line="300" w:lineRule="auto"/>
        <w:rPr>
          <w:rFonts w:ascii="黑体" w:hAnsi="黑体" w:eastAsia="黑体" w:cs="黑体"/>
          <w:color w:val="000000" w:themeColor="text1"/>
          <w:sz w:val="32"/>
          <w:szCs w:val="28"/>
        </w:rPr>
      </w:pPr>
      <w:r>
        <w:rPr>
          <w:rFonts w:hint="eastAsia" w:ascii="黑体" w:hAnsi="黑体" w:eastAsia="黑体" w:cs="黑体"/>
          <w:color w:val="000000" w:themeColor="text1"/>
          <w:sz w:val="24"/>
        </w:rPr>
        <w:t>1背景及任务来源</w:t>
      </w:r>
    </w:p>
    <w:p>
      <w:pPr>
        <w:spacing w:line="300" w:lineRule="auto"/>
        <w:rPr>
          <w:rFonts w:ascii="黑体" w:hAnsi="黑体" w:eastAsia="黑体" w:cs="黑体"/>
          <w:color w:val="000000" w:themeColor="text1"/>
          <w:sz w:val="28"/>
          <w:szCs w:val="28"/>
        </w:rPr>
      </w:pPr>
      <w:r>
        <w:rPr>
          <w:rFonts w:hint="eastAsia" w:ascii="黑体" w:hAnsi="黑体" w:eastAsia="黑体" w:cs="黑体"/>
          <w:color w:val="000000" w:themeColor="text1"/>
          <w:sz w:val="24"/>
        </w:rPr>
        <w:t>1.1背景</w:t>
      </w:r>
    </w:p>
    <w:p>
      <w:pPr>
        <w:spacing w:line="300" w:lineRule="auto"/>
        <w:ind w:firstLine="420" w:firstLineChars="200"/>
        <w:rPr>
          <w:color w:val="000000" w:themeColor="text1"/>
          <w:szCs w:val="21"/>
        </w:rPr>
      </w:pPr>
      <w:r>
        <w:rPr>
          <w:color w:val="000000" w:themeColor="text1"/>
          <w:szCs w:val="21"/>
        </w:rPr>
        <w:t>贵州省矿产资源丰富，开采的矿产种类较多，存在大量不同类型的矿山排土场。同时，贵州省地质条件复杂，山区、丘陵地带较多，岩溶现象比较普遍，地下水及降雨活动频繁。因此，贵州省的矿山排土场安全状况堪忧，随时都有可能发生排土场滑坡、泥石流等灾害事故。</w:t>
      </w:r>
    </w:p>
    <w:p>
      <w:pPr>
        <w:spacing w:line="300" w:lineRule="auto"/>
        <w:ind w:firstLine="420" w:firstLineChars="200"/>
        <w:rPr>
          <w:color w:val="000000" w:themeColor="text1"/>
          <w:szCs w:val="21"/>
        </w:rPr>
      </w:pPr>
      <w:r>
        <w:rPr>
          <w:color w:val="000000" w:themeColor="text1"/>
          <w:szCs w:val="21"/>
        </w:rPr>
        <w:t>《金属非金属矿山安全规程》（GB 1642）、《金属非金属矿山排土场安全生产规则》（AQ 2005）中明确提出：</w:t>
      </w:r>
      <w:r>
        <w:rPr>
          <w:rFonts w:hint="eastAsia"/>
          <w:color w:val="000000" w:themeColor="text1"/>
          <w:szCs w:val="21"/>
        </w:rPr>
        <w:t>“</w:t>
      </w:r>
      <w:r>
        <w:rPr>
          <w:color w:val="000000" w:themeColor="text1"/>
          <w:szCs w:val="21"/>
        </w:rPr>
        <w:t>矿山企业应建立排土场监测系统，定期进行排土场监测</w:t>
      </w:r>
      <w:r>
        <w:rPr>
          <w:rFonts w:hint="eastAsia"/>
          <w:color w:val="000000" w:themeColor="text1"/>
          <w:szCs w:val="21"/>
        </w:rPr>
        <w:t>”</w:t>
      </w:r>
      <w:r>
        <w:rPr>
          <w:color w:val="000000" w:themeColor="text1"/>
          <w:szCs w:val="21"/>
        </w:rPr>
        <w:t>。然而，目前贵州省矿山企业几乎都未建立相应的排土场监测系统；同时，相关规范规定中尚未明确指出排土场监测系统的组成、功能以及如何监测等问题。</w:t>
      </w:r>
    </w:p>
    <w:p>
      <w:pPr>
        <w:spacing w:line="300" w:lineRule="auto"/>
        <w:ind w:firstLine="420" w:firstLineChars="200"/>
        <w:rPr>
          <w:color w:val="000000" w:themeColor="text1"/>
          <w:szCs w:val="21"/>
        </w:rPr>
      </w:pPr>
      <w:r>
        <w:rPr>
          <w:color w:val="000000" w:themeColor="text1"/>
          <w:szCs w:val="21"/>
        </w:rPr>
        <w:t>通过制定《矿山排土场灾害防范技术规范</w:t>
      </w:r>
      <w:r>
        <w:rPr>
          <w:rFonts w:hint="eastAsia"/>
          <w:color w:val="000000" w:themeColor="text1"/>
          <w:szCs w:val="21"/>
        </w:rPr>
        <w:t xml:space="preserve"> </w:t>
      </w:r>
      <w:r>
        <w:rPr>
          <w:color w:val="000000" w:themeColor="text1"/>
          <w:szCs w:val="21"/>
        </w:rPr>
        <w:t>第1部分：监测》</w:t>
      </w:r>
      <w:r>
        <w:rPr>
          <w:rFonts w:hint="eastAsia"/>
          <w:color w:val="000000" w:themeColor="text1"/>
          <w:szCs w:val="21"/>
        </w:rPr>
        <w:t>，</w:t>
      </w:r>
      <w:r>
        <w:rPr>
          <w:color w:val="000000" w:themeColor="text1"/>
          <w:szCs w:val="21"/>
        </w:rPr>
        <w:t>能够对《金属非金属矿山安全规程》中关于排土场监测系统未明确的部分进行补充，明确矿山排土场灾害监测的原则、内容、方法等技术要求，以及监测系统安装、维护、监测数据和资料整理分析等管理要求，指导和帮助矿山企业建立实用、有效的排土场监测系统，实现排土场灾害的实时监测和预警，可以有效预防矿山排土场灾害事故的发生，实现矿山的安全生产，减少事故损失，保障矿区</w:t>
      </w:r>
      <w:r>
        <w:rPr>
          <w:rFonts w:hint="eastAsia"/>
          <w:color w:val="000000" w:themeColor="text1"/>
          <w:szCs w:val="21"/>
        </w:rPr>
        <w:t>及</w:t>
      </w:r>
      <w:r>
        <w:rPr>
          <w:color w:val="000000" w:themeColor="text1"/>
          <w:szCs w:val="21"/>
        </w:rPr>
        <w:t>周边居民的生命财产安全。</w:t>
      </w: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1.2 任务来源</w:t>
      </w:r>
    </w:p>
    <w:p>
      <w:pPr>
        <w:spacing w:line="300" w:lineRule="auto"/>
        <w:ind w:firstLine="420" w:firstLineChars="200"/>
        <w:rPr>
          <w:rFonts w:hAnsi="宋体" w:cs="宋体"/>
          <w:color w:val="000000" w:themeColor="text1"/>
          <w:szCs w:val="21"/>
        </w:rPr>
      </w:pPr>
      <w:r>
        <w:rPr>
          <w:color w:val="000000" w:themeColor="text1"/>
          <w:szCs w:val="21"/>
        </w:rPr>
        <w:t>本标准的编制来源于贵州省劳动保护科学技术研究院与贵州省科技厅于2015年11月签订的贵州省科研机构服务企业行动计划项目任务书，项目名称为《矿山排土场灾害监测预警技术服务平台建设》（黔科合服企</w:t>
      </w:r>
      <w:r>
        <w:rPr>
          <w:rFonts w:hint="eastAsia"/>
          <w:color w:val="000000" w:themeColor="text1"/>
          <w:szCs w:val="21"/>
        </w:rPr>
        <w:t>〔</w:t>
      </w:r>
      <w:r>
        <w:rPr>
          <w:color w:val="000000" w:themeColor="text1"/>
          <w:szCs w:val="21"/>
        </w:rPr>
        <w:t>2015</w:t>
      </w:r>
      <w:r>
        <w:rPr>
          <w:rFonts w:hint="eastAsia"/>
          <w:color w:val="000000" w:themeColor="text1"/>
          <w:szCs w:val="21"/>
        </w:rPr>
        <w:t>〕</w:t>
      </w:r>
      <w:r>
        <w:rPr>
          <w:color w:val="000000" w:themeColor="text1"/>
          <w:szCs w:val="21"/>
        </w:rPr>
        <w:t>4006）。</w:t>
      </w:r>
      <w:r>
        <w:rPr>
          <w:rFonts w:hint="eastAsia"/>
          <w:color w:val="000000" w:themeColor="text1"/>
          <w:szCs w:val="21"/>
        </w:rPr>
        <w:t>编制该标准是项目的主要任务之一，</w:t>
      </w:r>
      <w:r>
        <w:rPr>
          <w:color w:val="000000" w:themeColor="text1"/>
          <w:szCs w:val="21"/>
        </w:rPr>
        <w:t>主要由贵州省劳动保护科学技术研究院负责起草。</w:t>
      </w:r>
    </w:p>
    <w:p>
      <w:pPr>
        <w:spacing w:line="300" w:lineRule="auto"/>
        <w:rPr>
          <w:rFonts w:ascii="黑体" w:hAnsi="黑体" w:eastAsia="黑体" w:cs="黑体"/>
          <w:b/>
          <w:bCs/>
          <w:color w:val="000000" w:themeColor="text1"/>
          <w:sz w:val="24"/>
        </w:rPr>
      </w:pPr>
      <w:r>
        <w:rPr>
          <w:rFonts w:hint="eastAsia" w:ascii="黑体" w:hAnsi="黑体" w:eastAsia="黑体" w:cs="黑体"/>
          <w:color w:val="000000" w:themeColor="text1"/>
          <w:sz w:val="24"/>
        </w:rPr>
        <w:t>2 标准编制的意义和目的</w:t>
      </w:r>
    </w:p>
    <w:p>
      <w:pPr>
        <w:spacing w:line="300" w:lineRule="auto"/>
        <w:ind w:firstLine="420" w:firstLineChars="200"/>
        <w:rPr>
          <w:color w:val="000000" w:themeColor="text1"/>
          <w:szCs w:val="21"/>
        </w:rPr>
      </w:pPr>
      <w:r>
        <w:rPr>
          <w:rFonts w:hint="eastAsia"/>
          <w:color w:val="000000" w:themeColor="text1"/>
          <w:szCs w:val="21"/>
        </w:rPr>
        <w:t>目前，我省乃至全国范围内在</w:t>
      </w:r>
      <w:r>
        <w:rPr>
          <w:color w:val="000000" w:themeColor="text1"/>
          <w:szCs w:val="21"/>
        </w:rPr>
        <w:t>矿山排土场灾害监测技术</w:t>
      </w:r>
      <w:r>
        <w:rPr>
          <w:rFonts w:hint="eastAsia"/>
          <w:color w:val="000000" w:themeColor="text1"/>
          <w:szCs w:val="21"/>
        </w:rPr>
        <w:t>及系统集成</w:t>
      </w:r>
      <w:r>
        <w:rPr>
          <w:color w:val="000000" w:themeColor="text1"/>
          <w:szCs w:val="21"/>
        </w:rPr>
        <w:t>方面</w:t>
      </w:r>
      <w:r>
        <w:rPr>
          <w:rFonts w:hint="eastAsia"/>
          <w:color w:val="000000" w:themeColor="text1"/>
          <w:szCs w:val="21"/>
        </w:rPr>
        <w:t>的研究几乎为零，同时该规范是对</w:t>
      </w:r>
      <w:r>
        <w:rPr>
          <w:color w:val="000000" w:themeColor="text1"/>
          <w:szCs w:val="21"/>
        </w:rPr>
        <w:t>《金属非金属矿山安全规程》（GB16423）的</w:t>
      </w:r>
      <w:r>
        <w:rPr>
          <w:rFonts w:hint="eastAsia"/>
          <w:color w:val="000000" w:themeColor="text1"/>
          <w:szCs w:val="21"/>
        </w:rPr>
        <w:t>有力</w:t>
      </w:r>
      <w:r>
        <w:rPr>
          <w:color w:val="000000" w:themeColor="text1"/>
          <w:szCs w:val="21"/>
        </w:rPr>
        <w:t>补充，具体</w:t>
      </w:r>
      <w:r>
        <w:rPr>
          <w:rFonts w:hint="eastAsia"/>
          <w:color w:val="000000" w:themeColor="text1"/>
          <w:szCs w:val="21"/>
        </w:rPr>
        <w:t>地明确</w:t>
      </w:r>
      <w:r>
        <w:rPr>
          <w:color w:val="000000" w:themeColor="text1"/>
          <w:szCs w:val="21"/>
        </w:rPr>
        <w:t>了矿山排土场灾害监测的原则、内容、方法等技术要求，以及监测系统安装、维护、监测数据和资料整理分析等</w:t>
      </w:r>
      <w:r>
        <w:rPr>
          <w:rFonts w:hint="eastAsia"/>
          <w:color w:val="000000" w:themeColor="text1"/>
          <w:szCs w:val="21"/>
        </w:rPr>
        <w:t>方面的</w:t>
      </w:r>
      <w:r>
        <w:rPr>
          <w:color w:val="000000" w:themeColor="text1"/>
          <w:szCs w:val="21"/>
        </w:rPr>
        <w:t>要求。</w:t>
      </w:r>
    </w:p>
    <w:p>
      <w:pPr>
        <w:spacing w:line="300" w:lineRule="auto"/>
        <w:ind w:firstLine="420" w:firstLineChars="200"/>
        <w:rPr>
          <w:color w:val="000000" w:themeColor="text1"/>
          <w:szCs w:val="21"/>
        </w:rPr>
      </w:pPr>
      <w:r>
        <w:rPr>
          <w:color w:val="000000" w:themeColor="text1"/>
          <w:szCs w:val="21"/>
        </w:rPr>
        <w:t>通过建立矿山排土场灾害监测预警系统，</w:t>
      </w:r>
      <w:r>
        <w:rPr>
          <w:rFonts w:hint="eastAsia"/>
          <w:color w:val="000000" w:themeColor="text1"/>
          <w:szCs w:val="21"/>
        </w:rPr>
        <w:t>可实时、动态地掌握排土场各项技术指标变化情况，根据各项指标的一系列数理处理分析后可</w:t>
      </w:r>
      <w:r>
        <w:rPr>
          <w:color w:val="000000" w:themeColor="text1"/>
          <w:szCs w:val="21"/>
        </w:rPr>
        <w:t>实现</w:t>
      </w:r>
      <w:r>
        <w:rPr>
          <w:rFonts w:hint="eastAsia"/>
          <w:color w:val="000000" w:themeColor="text1"/>
          <w:szCs w:val="21"/>
        </w:rPr>
        <w:t>矿山</w:t>
      </w:r>
      <w:r>
        <w:rPr>
          <w:color w:val="000000" w:themeColor="text1"/>
          <w:szCs w:val="21"/>
        </w:rPr>
        <w:t>排土场灾害的实时监测和预警，</w:t>
      </w:r>
      <w:r>
        <w:rPr>
          <w:rFonts w:hint="eastAsia"/>
          <w:color w:val="000000" w:themeColor="text1"/>
          <w:szCs w:val="21"/>
        </w:rPr>
        <w:t>在灾害征兆出现时</w:t>
      </w:r>
      <w:r>
        <w:rPr>
          <w:color w:val="000000" w:themeColor="text1"/>
          <w:szCs w:val="21"/>
        </w:rPr>
        <w:t>可以</w:t>
      </w:r>
      <w:r>
        <w:rPr>
          <w:rFonts w:hint="eastAsia"/>
          <w:color w:val="000000" w:themeColor="text1"/>
          <w:szCs w:val="21"/>
        </w:rPr>
        <w:t>及时预警，提前撤出人员、设备，疏散周边居民，有针对性地采取处置措施，</w:t>
      </w:r>
      <w:r>
        <w:rPr>
          <w:color w:val="000000" w:themeColor="text1"/>
          <w:szCs w:val="21"/>
        </w:rPr>
        <w:t>预防矿山排土场灾害事故的发生</w:t>
      </w:r>
      <w:r>
        <w:rPr>
          <w:rFonts w:hint="eastAsia"/>
          <w:color w:val="000000" w:themeColor="text1"/>
          <w:szCs w:val="21"/>
        </w:rPr>
        <w:t>或消除事故</w:t>
      </w:r>
      <w:r>
        <w:rPr>
          <w:color w:val="000000" w:themeColor="text1"/>
          <w:szCs w:val="21"/>
        </w:rPr>
        <w:t>，积极主动</w:t>
      </w:r>
      <w:r>
        <w:rPr>
          <w:rFonts w:hint="eastAsia"/>
          <w:color w:val="000000" w:themeColor="text1"/>
          <w:szCs w:val="21"/>
        </w:rPr>
        <w:t>地</w:t>
      </w:r>
      <w:r>
        <w:rPr>
          <w:color w:val="000000" w:themeColor="text1"/>
          <w:szCs w:val="21"/>
        </w:rPr>
        <w:t>开展灾害处置和应急救援，</w:t>
      </w:r>
      <w:r>
        <w:rPr>
          <w:rFonts w:hint="eastAsia"/>
          <w:color w:val="000000" w:themeColor="text1"/>
          <w:szCs w:val="21"/>
        </w:rPr>
        <w:t>从而</w:t>
      </w:r>
      <w:r>
        <w:rPr>
          <w:color w:val="000000" w:themeColor="text1"/>
          <w:szCs w:val="21"/>
        </w:rPr>
        <w:t>实现矿山安全生产，减少事故损失，保障矿区周边居民的生命财产安全。因此，制定《矿山排土场灾害防范技术规范》</w:t>
      </w:r>
      <w:r>
        <w:rPr>
          <w:rFonts w:hint="eastAsia"/>
          <w:color w:val="000000" w:themeColor="text1"/>
          <w:szCs w:val="21"/>
        </w:rPr>
        <w:t>对保障我国经济社会持续、稳定、健康地发展具有</w:t>
      </w:r>
      <w:r>
        <w:rPr>
          <w:color w:val="000000" w:themeColor="text1"/>
          <w:szCs w:val="21"/>
        </w:rPr>
        <w:t>十分</w:t>
      </w:r>
      <w:r>
        <w:rPr>
          <w:rFonts w:hint="eastAsia"/>
          <w:color w:val="000000" w:themeColor="text1"/>
          <w:szCs w:val="21"/>
        </w:rPr>
        <w:t>重大的意义。</w:t>
      </w:r>
    </w:p>
    <w:p>
      <w:pPr>
        <w:spacing w:line="300" w:lineRule="auto"/>
        <w:rPr>
          <w:rFonts w:ascii="宋体" w:hAnsi="宋体" w:cs="宋体"/>
          <w:b/>
          <w:bCs/>
          <w:color w:val="000000" w:themeColor="text1"/>
          <w:sz w:val="24"/>
        </w:rPr>
      </w:pPr>
      <w:r>
        <w:rPr>
          <w:rFonts w:hint="eastAsia" w:ascii="黑体" w:hAnsi="黑体" w:eastAsia="黑体" w:cs="黑体"/>
          <w:color w:val="000000" w:themeColor="text1"/>
          <w:sz w:val="24"/>
        </w:rPr>
        <w:t>3标准编制过程</w:t>
      </w: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3.1前期准备阶段（2016年1月-2017年5月）</w:t>
      </w:r>
    </w:p>
    <w:p>
      <w:pPr>
        <w:spacing w:line="300" w:lineRule="auto"/>
        <w:ind w:firstLine="420" w:firstLineChars="200"/>
        <w:rPr>
          <w:color w:val="000000" w:themeColor="text1"/>
          <w:szCs w:val="21"/>
        </w:rPr>
      </w:pPr>
      <w:r>
        <w:rPr>
          <w:color w:val="000000" w:themeColor="text1"/>
          <w:szCs w:val="21"/>
        </w:rPr>
        <w:t>2016年1月</w:t>
      </w:r>
      <w:r>
        <w:rPr>
          <w:rFonts w:hint="eastAsia"/>
          <w:color w:val="000000" w:themeColor="text1"/>
          <w:szCs w:val="21"/>
        </w:rPr>
        <w:t>，</w:t>
      </w:r>
      <w:r>
        <w:rPr>
          <w:color w:val="000000" w:themeColor="text1"/>
          <w:szCs w:val="21"/>
        </w:rPr>
        <w:t>制订该标准的任务计划下达后，贵州省劳动保护科学技术研究院、中国劳动关系学院等单位成立了标准</w:t>
      </w:r>
      <w:r>
        <w:rPr>
          <w:rFonts w:hint="eastAsia"/>
          <w:color w:val="000000" w:themeColor="text1"/>
          <w:szCs w:val="21"/>
        </w:rPr>
        <w:t>编制组。</w:t>
      </w:r>
    </w:p>
    <w:p>
      <w:pPr>
        <w:spacing w:line="300" w:lineRule="auto"/>
        <w:ind w:firstLine="420" w:firstLineChars="200"/>
        <w:rPr>
          <w:rFonts w:ascii="宋体" w:hAnsi="宋体" w:cs="宋体"/>
          <w:color w:val="000000" w:themeColor="text1"/>
          <w:kern w:val="0"/>
          <w:szCs w:val="21"/>
        </w:rPr>
      </w:pPr>
      <w:r>
        <w:rPr>
          <w:color w:val="000000" w:themeColor="text1"/>
          <w:szCs w:val="21"/>
        </w:rPr>
        <w:t>2016年1月至2017年5月，</w:t>
      </w:r>
      <w:r>
        <w:rPr>
          <w:rFonts w:hint="eastAsia"/>
          <w:color w:val="000000" w:themeColor="text1"/>
          <w:szCs w:val="21"/>
        </w:rPr>
        <w:t>编制组</w:t>
      </w:r>
      <w:r>
        <w:rPr>
          <w:color w:val="000000" w:themeColor="text1"/>
          <w:szCs w:val="21"/>
        </w:rPr>
        <w:t>到贵州省内</w:t>
      </w:r>
      <w:r>
        <w:rPr>
          <w:rFonts w:hint="eastAsia"/>
          <w:color w:val="000000" w:themeColor="text1"/>
          <w:szCs w:val="21"/>
        </w:rPr>
        <w:t>外具有</w:t>
      </w:r>
      <w:r>
        <w:rPr>
          <w:color w:val="000000" w:themeColor="text1"/>
          <w:szCs w:val="21"/>
        </w:rPr>
        <w:t>典型矿山排土场</w:t>
      </w:r>
      <w:r>
        <w:rPr>
          <w:rFonts w:hint="eastAsia"/>
          <w:color w:val="000000" w:themeColor="text1"/>
          <w:szCs w:val="21"/>
        </w:rPr>
        <w:t>的企业</w:t>
      </w:r>
      <w:r>
        <w:rPr>
          <w:color w:val="000000" w:themeColor="text1"/>
          <w:szCs w:val="21"/>
        </w:rPr>
        <w:t>进行了现场调研，具体的调研对象有</w:t>
      </w:r>
      <w:r>
        <w:rPr>
          <w:rFonts w:hint="eastAsia"/>
          <w:color w:val="000000" w:themeColor="text1"/>
          <w:szCs w:val="21"/>
        </w:rPr>
        <w:t>：</w:t>
      </w:r>
      <w:r>
        <w:rPr>
          <w:color w:val="000000" w:themeColor="text1"/>
          <w:szCs w:val="21"/>
        </w:rPr>
        <w:t>中国铝业股份有限公司贵州分公司、贵州锦丰矿业有限公司</w:t>
      </w:r>
      <w:r>
        <w:rPr>
          <w:rFonts w:hint="eastAsia"/>
          <w:color w:val="000000" w:themeColor="text1"/>
          <w:szCs w:val="21"/>
        </w:rPr>
        <w:t>、</w:t>
      </w:r>
      <w:r>
        <w:rPr>
          <w:color w:val="000000" w:themeColor="text1"/>
          <w:szCs w:val="21"/>
        </w:rPr>
        <w:t>瓮福（集团）有限责任公司</w:t>
      </w:r>
      <w:r>
        <w:rPr>
          <w:rFonts w:hint="eastAsia"/>
          <w:color w:val="000000" w:themeColor="text1"/>
          <w:szCs w:val="21"/>
        </w:rPr>
        <w:t>、</w:t>
      </w:r>
      <w:r>
        <w:rPr>
          <w:color w:val="000000" w:themeColor="text1"/>
          <w:szCs w:val="21"/>
        </w:rPr>
        <w:t>福建紫金矿业集团</w:t>
      </w:r>
      <w:r>
        <w:rPr>
          <w:rFonts w:hint="eastAsia"/>
          <w:color w:val="000000" w:themeColor="text1"/>
          <w:szCs w:val="21"/>
        </w:rPr>
        <w:t>股份有限公司，同时也通过网络查询、电话咨询等方式调研国内有</w:t>
      </w:r>
      <w:r>
        <w:rPr>
          <w:color w:val="000000" w:themeColor="text1"/>
          <w:szCs w:val="21"/>
        </w:rPr>
        <w:t>典型矿山排土场</w:t>
      </w:r>
      <w:r>
        <w:rPr>
          <w:rFonts w:hint="eastAsia"/>
          <w:color w:val="000000" w:themeColor="text1"/>
          <w:szCs w:val="21"/>
        </w:rPr>
        <w:t>的企业。通过多种方式</w:t>
      </w:r>
      <w:r>
        <w:rPr>
          <w:color w:val="000000" w:themeColor="text1"/>
          <w:szCs w:val="21"/>
        </w:rPr>
        <w:t>了解了当前</w:t>
      </w:r>
      <w:r>
        <w:rPr>
          <w:rFonts w:hint="eastAsia"/>
          <w:color w:val="000000" w:themeColor="text1"/>
          <w:szCs w:val="21"/>
        </w:rPr>
        <w:t>贵州省以及国内部分</w:t>
      </w:r>
      <w:r>
        <w:rPr>
          <w:color w:val="000000" w:themeColor="text1"/>
          <w:szCs w:val="21"/>
        </w:rPr>
        <w:t>矿山排土场的安全现状、生产情况、管理现状、监测预警技术状况及应急管理中存在的问题等，掌握了第一手资料</w:t>
      </w:r>
      <w:r>
        <w:rPr>
          <w:rFonts w:hint="eastAsia"/>
          <w:color w:val="000000" w:themeColor="text1"/>
          <w:szCs w:val="21"/>
        </w:rPr>
        <w:t>，同时编制组</w:t>
      </w:r>
      <w:r>
        <w:rPr>
          <w:color w:val="000000" w:themeColor="text1"/>
          <w:szCs w:val="21"/>
        </w:rPr>
        <w:t>还查阅了大量国内外矿山排土场灾害监测相关的文献、资料和技术研究成果，搜集了与矿山排土场灾害监测相关的法规、国家标准及行业标准等。</w:t>
      </w: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3.2起草阶段（2017年5月至2018年3月）</w:t>
      </w:r>
    </w:p>
    <w:p>
      <w:pPr>
        <w:spacing w:line="300" w:lineRule="auto"/>
        <w:ind w:firstLine="420" w:firstLineChars="200"/>
        <w:rPr>
          <w:color w:val="000000" w:themeColor="text1"/>
          <w:szCs w:val="21"/>
        </w:rPr>
      </w:pPr>
      <w:r>
        <w:rPr>
          <w:rFonts w:hint="eastAsia" w:ascii="宋体" w:hAnsi="宋体" w:cs="宋体"/>
          <w:color w:val="000000" w:themeColor="text1"/>
          <w:kern w:val="0"/>
          <w:szCs w:val="21"/>
        </w:rPr>
        <w:t>编制组建立了标准内容框架，对照标准编制要求，查阅了相关国家、行业标准等法律法规参考资料，对所收集的资料进行汇总、整理后，</w:t>
      </w:r>
      <w:r>
        <w:rPr>
          <w:color w:val="000000" w:themeColor="text1"/>
          <w:szCs w:val="21"/>
        </w:rPr>
        <w:t>与中国铝业股份有限公司贵州分公司、贵州锦丰矿业有限公司、瓮福（集团）有限责任公司等主管安全生产</w:t>
      </w:r>
      <w:r>
        <w:rPr>
          <w:rFonts w:hint="eastAsia"/>
          <w:color w:val="000000" w:themeColor="text1"/>
          <w:szCs w:val="21"/>
        </w:rPr>
        <w:t>的专业</w:t>
      </w:r>
      <w:r>
        <w:rPr>
          <w:color w:val="000000" w:themeColor="text1"/>
          <w:szCs w:val="21"/>
        </w:rPr>
        <w:t>技术人员</w:t>
      </w:r>
      <w:r>
        <w:rPr>
          <w:rFonts w:hint="eastAsia"/>
          <w:color w:val="000000" w:themeColor="text1"/>
          <w:szCs w:val="21"/>
        </w:rPr>
        <w:t>及</w:t>
      </w:r>
      <w:r>
        <w:rPr>
          <w:color w:val="000000" w:themeColor="text1"/>
          <w:szCs w:val="21"/>
        </w:rPr>
        <w:t>专家进行了研讨，对本标准的制订工作提出了宝贵的建议。在以上工作的基础上，标准编制组对标准草稿进行认真修改及完善</w:t>
      </w:r>
      <w:r>
        <w:rPr>
          <w:rFonts w:hint="eastAsia"/>
          <w:color w:val="000000" w:themeColor="text1"/>
          <w:szCs w:val="21"/>
        </w:rPr>
        <w:t>。</w:t>
      </w:r>
      <w:r>
        <w:rPr>
          <w:color w:val="000000" w:themeColor="text1"/>
          <w:szCs w:val="21"/>
        </w:rPr>
        <w:t>2017年5月</w:t>
      </w:r>
      <w:r>
        <w:rPr>
          <w:rFonts w:hint="eastAsia"/>
          <w:color w:val="000000" w:themeColor="text1"/>
          <w:szCs w:val="21"/>
        </w:rPr>
        <w:t>，《矿山排土场灾害监测预警技术服务平台建设》</w:t>
      </w:r>
      <w:r>
        <w:rPr>
          <w:color w:val="000000" w:themeColor="text1"/>
          <w:szCs w:val="21"/>
        </w:rPr>
        <w:t>项目所涉及的四个试验排土场的灾害监测系统全部施工完毕并投入运行，经过3个月的运行和总结，于2017年7月</w:t>
      </w:r>
      <w:r>
        <w:rPr>
          <w:rFonts w:hint="eastAsia"/>
          <w:color w:val="000000" w:themeColor="text1"/>
          <w:szCs w:val="21"/>
        </w:rPr>
        <w:t>形成</w:t>
      </w:r>
      <w:r>
        <w:rPr>
          <w:color w:val="000000" w:themeColor="text1"/>
          <w:szCs w:val="21"/>
        </w:rPr>
        <w:t>了标准的初稿</w:t>
      </w:r>
      <w:r>
        <w:rPr>
          <w:rFonts w:hint="eastAsia"/>
          <w:color w:val="000000" w:themeColor="text1"/>
          <w:szCs w:val="21"/>
        </w:rPr>
        <w:t>，并</w:t>
      </w:r>
      <w:r>
        <w:rPr>
          <w:color w:val="000000" w:themeColor="text1"/>
          <w:szCs w:val="21"/>
        </w:rPr>
        <w:t>在</w:t>
      </w:r>
      <w:r>
        <w:rPr>
          <w:rFonts w:hint="eastAsia"/>
          <w:color w:val="000000" w:themeColor="text1"/>
          <w:szCs w:val="21"/>
        </w:rPr>
        <w:t>编制组</w:t>
      </w:r>
      <w:r>
        <w:rPr>
          <w:color w:val="000000" w:themeColor="text1"/>
          <w:szCs w:val="21"/>
        </w:rPr>
        <w:t>内部征询意见并修改后，提出了标准的</w:t>
      </w:r>
      <w:r>
        <w:rPr>
          <w:rFonts w:hint="eastAsia"/>
          <w:color w:val="000000" w:themeColor="text1"/>
          <w:szCs w:val="21"/>
        </w:rPr>
        <w:t>内部</w:t>
      </w:r>
      <w:r>
        <w:rPr>
          <w:color w:val="000000" w:themeColor="text1"/>
          <w:szCs w:val="21"/>
        </w:rPr>
        <w:t>征求意见稿。</w:t>
      </w:r>
    </w:p>
    <w:p>
      <w:pPr>
        <w:spacing w:line="300" w:lineRule="auto"/>
        <w:ind w:firstLine="420" w:firstLineChars="200"/>
        <w:rPr>
          <w:color w:val="000000" w:themeColor="text1"/>
          <w:szCs w:val="21"/>
        </w:rPr>
      </w:pPr>
      <w:r>
        <w:rPr>
          <w:color w:val="000000" w:themeColor="text1"/>
          <w:szCs w:val="21"/>
        </w:rPr>
        <w:t>2017年9月13日，</w:t>
      </w:r>
      <w:r>
        <w:rPr>
          <w:rFonts w:hint="eastAsia"/>
          <w:color w:val="000000" w:themeColor="text1"/>
          <w:szCs w:val="21"/>
        </w:rPr>
        <w:t>编制组</w:t>
      </w:r>
      <w:r>
        <w:rPr>
          <w:color w:val="000000" w:themeColor="text1"/>
          <w:szCs w:val="21"/>
        </w:rPr>
        <w:t>邀请专家对标准</w:t>
      </w:r>
      <w:r>
        <w:rPr>
          <w:rFonts w:hint="eastAsia"/>
          <w:color w:val="000000" w:themeColor="text1"/>
          <w:szCs w:val="21"/>
        </w:rPr>
        <w:t>内部</w:t>
      </w:r>
      <w:r>
        <w:rPr>
          <w:color w:val="000000" w:themeColor="text1"/>
          <w:szCs w:val="21"/>
        </w:rPr>
        <w:t>征求意见稿进行了审查</w:t>
      </w:r>
      <w:r>
        <w:rPr>
          <w:rFonts w:hint="eastAsia"/>
          <w:color w:val="000000" w:themeColor="text1"/>
          <w:szCs w:val="21"/>
        </w:rPr>
        <w:t>。</w:t>
      </w:r>
    </w:p>
    <w:p>
      <w:pPr>
        <w:spacing w:line="300" w:lineRule="auto"/>
        <w:ind w:firstLine="420" w:firstLineChars="200"/>
        <w:rPr>
          <w:color w:val="000000" w:themeColor="text1"/>
          <w:szCs w:val="21"/>
        </w:rPr>
      </w:pPr>
      <w:r>
        <w:rPr>
          <w:rFonts w:hint="eastAsia"/>
          <w:color w:val="000000" w:themeColor="text1"/>
          <w:szCs w:val="21"/>
        </w:rPr>
        <w:t>2018年3月，编制组</w:t>
      </w:r>
      <w:r>
        <w:rPr>
          <w:color w:val="000000" w:themeColor="text1"/>
          <w:szCs w:val="21"/>
        </w:rPr>
        <w:t>对专家提出的意见进行了认真分析，充分采纳专家意见，对标准进行了修改，形成了再审稿</w:t>
      </w:r>
      <w:r>
        <w:rPr>
          <w:rFonts w:hint="eastAsia"/>
          <w:color w:val="000000" w:themeColor="text1"/>
          <w:szCs w:val="21"/>
        </w:rPr>
        <w:t>。</w:t>
      </w:r>
    </w:p>
    <w:p>
      <w:pPr>
        <w:spacing w:line="300" w:lineRule="auto"/>
        <w:rPr>
          <w:rFonts w:ascii="黑体" w:hAnsi="黑体" w:eastAsia="黑体" w:cs="黑体"/>
          <w:color w:val="000000" w:themeColor="text1"/>
          <w:sz w:val="24"/>
        </w:rPr>
      </w:pPr>
      <w:bookmarkStart w:id="9" w:name="_GoBack"/>
      <w:bookmarkEnd w:id="9"/>
      <w:r>
        <w:rPr>
          <w:rFonts w:hint="eastAsia" w:ascii="黑体" w:hAnsi="黑体" w:eastAsia="黑体" w:cs="黑体"/>
          <w:color w:val="000000" w:themeColor="text1"/>
          <w:sz w:val="24"/>
        </w:rPr>
        <w:t>4编制原则</w:t>
      </w: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4.1编制原则</w:t>
      </w:r>
    </w:p>
    <w:p>
      <w:pPr>
        <w:spacing w:line="300" w:lineRule="auto"/>
        <w:ind w:firstLine="420" w:firstLineChars="200"/>
        <w:rPr>
          <w:rFonts w:ascii="宋体" w:hAnsi="宋体" w:cs="宋体"/>
          <w:color w:val="000000" w:themeColor="text1"/>
          <w:kern w:val="0"/>
          <w:szCs w:val="21"/>
        </w:rPr>
      </w:pPr>
      <w:r>
        <w:rPr>
          <w:color w:val="000000" w:themeColor="text1"/>
          <w:szCs w:val="21"/>
        </w:rPr>
        <w:t>《矿山排土场灾害防范技术规范 第1部分：监测》标准适用于矿山排土场灾害的监测和管理，为改善矿山企业排土场安全生产条件，保障员工人身安全，提高矿山排土场安全管理水平而</w:t>
      </w:r>
      <w:r>
        <w:rPr>
          <w:rFonts w:hint="eastAsia"/>
          <w:color w:val="000000" w:themeColor="text1"/>
          <w:szCs w:val="21"/>
        </w:rPr>
        <w:t>编制</w:t>
      </w:r>
      <w:r>
        <w:rPr>
          <w:color w:val="000000" w:themeColor="text1"/>
          <w:szCs w:val="21"/>
        </w:rPr>
        <w:t>。在编制过程中始终把</w:t>
      </w:r>
      <w:r>
        <w:rPr>
          <w:rFonts w:hint="eastAsia"/>
          <w:color w:val="000000" w:themeColor="text1"/>
          <w:szCs w:val="21"/>
        </w:rPr>
        <w:t>“</w:t>
      </w:r>
      <w:r>
        <w:rPr>
          <w:color w:val="000000" w:themeColor="text1"/>
          <w:szCs w:val="21"/>
        </w:rPr>
        <w:t>安全第一，预防为主，综合治理</w:t>
      </w:r>
      <w:r>
        <w:rPr>
          <w:rFonts w:hint="eastAsia"/>
          <w:color w:val="000000" w:themeColor="text1"/>
          <w:szCs w:val="21"/>
        </w:rPr>
        <w:t>”</w:t>
      </w:r>
      <w:r>
        <w:rPr>
          <w:color w:val="000000" w:themeColor="text1"/>
          <w:szCs w:val="21"/>
        </w:rPr>
        <w:t>的安全生产方针作为编制原则。</w:t>
      </w:r>
    </w:p>
    <w:p>
      <w:pPr>
        <w:spacing w:line="300" w:lineRule="auto"/>
        <w:rPr>
          <w:rFonts w:ascii="宋体" w:hAnsi="宋体" w:cs="宋体"/>
          <w:b/>
          <w:bCs/>
          <w:color w:val="000000" w:themeColor="text1"/>
          <w:sz w:val="24"/>
        </w:rPr>
      </w:pPr>
      <w:r>
        <w:rPr>
          <w:rFonts w:hint="eastAsia" w:ascii="黑体" w:hAnsi="黑体" w:eastAsia="黑体" w:cs="黑体"/>
          <w:color w:val="000000" w:themeColor="text1"/>
          <w:sz w:val="24"/>
        </w:rPr>
        <w:t>4.1.1规范性</w:t>
      </w:r>
    </w:p>
    <w:p>
      <w:pPr>
        <w:spacing w:line="300" w:lineRule="auto"/>
        <w:ind w:firstLine="420" w:firstLineChars="200"/>
        <w:rPr>
          <w:rFonts w:asciiTheme="minorEastAsia" w:hAnsiTheme="minorEastAsia" w:eastAsiaTheme="minorEastAsia" w:cstheme="minorEastAsia"/>
          <w:color w:val="000000" w:themeColor="text1"/>
          <w:kern w:val="0"/>
          <w:szCs w:val="21"/>
        </w:rPr>
      </w:pPr>
      <w:r>
        <w:rPr>
          <w:rFonts w:hint="eastAsia" w:asciiTheme="minorEastAsia" w:hAnsiTheme="minorEastAsia" w:eastAsiaTheme="minorEastAsia" w:cstheme="minorEastAsia"/>
          <w:color w:val="000000" w:themeColor="text1"/>
          <w:kern w:val="0"/>
          <w:szCs w:val="21"/>
        </w:rPr>
        <w:t>基于我省矿山排土场安全管理现状和国内排土场灾害监测具体情况，对我省</w:t>
      </w:r>
      <w:r>
        <w:rPr>
          <w:color w:val="000000" w:themeColor="text1"/>
          <w:szCs w:val="21"/>
        </w:rPr>
        <w:t>矿山排土场灾害防范监测技术</w:t>
      </w:r>
      <w:r>
        <w:rPr>
          <w:rFonts w:hint="eastAsia" w:asciiTheme="minorEastAsia" w:hAnsiTheme="minorEastAsia" w:eastAsiaTheme="minorEastAsia" w:cstheme="minorEastAsia"/>
          <w:color w:val="000000" w:themeColor="text1"/>
          <w:kern w:val="0"/>
          <w:szCs w:val="21"/>
        </w:rPr>
        <w:t>进行规范。</w:t>
      </w:r>
    </w:p>
    <w:p>
      <w:pPr>
        <w:spacing w:line="300" w:lineRule="auto"/>
        <w:rPr>
          <w:rFonts w:ascii="黑体" w:hAnsi="黑体" w:eastAsia="黑体"/>
          <w:color w:val="000000" w:themeColor="text1"/>
          <w:sz w:val="24"/>
        </w:rPr>
      </w:pPr>
      <w:r>
        <w:rPr>
          <w:rFonts w:hint="eastAsia" w:ascii="黑体" w:hAnsi="黑体" w:eastAsia="黑体"/>
          <w:color w:val="000000" w:themeColor="text1"/>
          <w:sz w:val="24"/>
        </w:rPr>
        <w:t>4.1.2科学性</w:t>
      </w:r>
    </w:p>
    <w:p>
      <w:pPr>
        <w:spacing w:line="300" w:lineRule="auto"/>
        <w:ind w:firstLine="420" w:firstLineChars="200"/>
        <w:rPr>
          <w:rFonts w:asciiTheme="minorEastAsia" w:hAnsiTheme="minorEastAsia" w:eastAsiaTheme="minorEastAsia" w:cstheme="minorEastAsia"/>
          <w:color w:val="000000" w:themeColor="text1"/>
          <w:kern w:val="0"/>
          <w:szCs w:val="21"/>
        </w:rPr>
      </w:pPr>
      <w:r>
        <w:rPr>
          <w:rFonts w:hint="eastAsia" w:ascii="宋体" w:hAnsi="宋体"/>
          <w:color w:val="000000" w:themeColor="text1"/>
          <w:szCs w:val="21"/>
        </w:rPr>
        <w:t>本标准的编制是经过现场实践、不断讨论、不断修改的结果，涉及到标准里的相关要求是经过实践或在当前应用中已经被广泛使用才能被应用于标准，标准的内容言简意赅、规范统一，标准的起草遵循科学严谨的原则。</w:t>
      </w: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4.1.3实用性</w:t>
      </w:r>
    </w:p>
    <w:p>
      <w:pPr>
        <w:spacing w:line="300" w:lineRule="auto"/>
        <w:ind w:firstLine="420" w:firstLineChars="200"/>
        <w:rPr>
          <w:rFonts w:ascii="宋体" w:hAnsi="宋体" w:cs="宋体"/>
          <w:color w:val="000000" w:themeColor="text1"/>
          <w:kern w:val="0"/>
          <w:szCs w:val="21"/>
        </w:rPr>
      </w:pPr>
      <w:r>
        <w:rPr>
          <w:rFonts w:hint="eastAsia" w:ascii="宋体" w:hAnsi="宋体" w:cs="宋体"/>
          <w:color w:val="000000" w:themeColor="text1"/>
          <w:kern w:val="0"/>
          <w:szCs w:val="21"/>
        </w:rPr>
        <w:t>本标准由</w:t>
      </w:r>
      <w:r>
        <w:rPr>
          <w:color w:val="000000" w:themeColor="text1"/>
          <w:szCs w:val="21"/>
        </w:rPr>
        <w:t>贵州省劳动保护科学技术研究院</w:t>
      </w:r>
      <w:r>
        <w:rPr>
          <w:rFonts w:hint="eastAsia"/>
          <w:color w:val="000000" w:themeColor="text1"/>
          <w:szCs w:val="21"/>
        </w:rPr>
        <w:t>牵头</w:t>
      </w:r>
      <w:r>
        <w:rPr>
          <w:color w:val="000000" w:themeColor="text1"/>
          <w:szCs w:val="21"/>
        </w:rPr>
        <w:t>，中国劳动关系学院，中国铝业贵州分公司、贵州锦丰矿业有限公司、瓮福（集团）有限责任公司</w:t>
      </w:r>
      <w:r>
        <w:rPr>
          <w:rFonts w:hint="eastAsia" w:ascii="宋体" w:hAnsi="宋体" w:cs="宋体"/>
          <w:color w:val="000000" w:themeColor="text1"/>
          <w:kern w:val="0"/>
          <w:szCs w:val="21"/>
        </w:rPr>
        <w:t>共同合作编写，主要依据我省矿山排土场灾害防范技术水平和管理现状，经过现场实践论证形成的，是当前行之有效的矿山排土场灾害防范技术方面的指导性标准。</w:t>
      </w:r>
    </w:p>
    <w:p>
      <w:pPr>
        <w:spacing w:line="300" w:lineRule="auto"/>
        <w:rPr>
          <w:rFonts w:ascii="黑体" w:hAnsi="黑体" w:eastAsia="黑体" w:cs="黑体"/>
          <w:color w:val="000000" w:themeColor="text1"/>
          <w:sz w:val="28"/>
          <w:szCs w:val="28"/>
        </w:rPr>
      </w:pPr>
      <w:r>
        <w:rPr>
          <w:rFonts w:hint="eastAsia" w:ascii="黑体" w:hAnsi="黑体" w:eastAsia="黑体" w:cs="黑体"/>
          <w:color w:val="000000" w:themeColor="text1"/>
          <w:sz w:val="24"/>
        </w:rPr>
        <w:t>4.1.4先进性</w:t>
      </w:r>
    </w:p>
    <w:p>
      <w:pPr>
        <w:spacing w:line="300" w:lineRule="auto"/>
        <w:ind w:firstLine="420" w:firstLineChars="200"/>
        <w:rPr>
          <w:rFonts w:ascii="宋体" w:hAnsi="宋体" w:cs="宋体"/>
          <w:color w:val="000000" w:themeColor="text1"/>
          <w:kern w:val="0"/>
          <w:szCs w:val="21"/>
        </w:rPr>
      </w:pPr>
      <w:r>
        <w:rPr>
          <w:rFonts w:hint="eastAsia" w:ascii="宋体" w:hAnsi="宋体" w:cs="宋体"/>
          <w:color w:val="000000" w:themeColor="text1"/>
          <w:kern w:val="0"/>
          <w:szCs w:val="21"/>
        </w:rPr>
        <w:t>本标准根据国家最新版的《金属非金属矿山安全规程》对矿山排土场灾害监测的要求编写，符合最新的国家相关标准的规定。</w:t>
      </w: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5 标准主要内容及技术依据</w:t>
      </w: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5.1技术依据</w:t>
      </w:r>
    </w:p>
    <w:p>
      <w:pPr>
        <w:spacing w:line="300" w:lineRule="auto"/>
        <w:ind w:firstLine="420" w:firstLineChars="200"/>
        <w:rPr>
          <w:rFonts w:ascii="宋体" w:hAnsi="宋体" w:cs="宋体"/>
          <w:color w:val="000000" w:themeColor="text1"/>
          <w:kern w:val="0"/>
          <w:szCs w:val="21"/>
        </w:rPr>
      </w:pPr>
      <w:r>
        <w:rPr>
          <w:rFonts w:hint="eastAsia" w:ascii="宋体" w:hAnsi="宋体" w:cs="宋体"/>
          <w:color w:val="000000" w:themeColor="text1"/>
          <w:kern w:val="0"/>
          <w:szCs w:val="21"/>
        </w:rPr>
        <w:t>本标准在编制过程中结合贵州省实际情况，按照有关的国家标准和行业标准、国内有排土场的矿山企业现场调研情况、监测系统施工经验及监测系统运行经验总结、有关安全监管部门和相关设备生产制造单位的反映和要求进行编制。</w:t>
      </w:r>
    </w:p>
    <w:p>
      <w:pPr>
        <w:pStyle w:val="17"/>
        <w:spacing w:line="300" w:lineRule="auto"/>
        <w:rPr>
          <w:rFonts w:hAnsi="宋体" w:cs="宋体"/>
          <w:color w:val="000000" w:themeColor="text1"/>
          <w:kern w:val="2"/>
          <w:szCs w:val="21"/>
        </w:rPr>
      </w:pPr>
      <w:r>
        <w:rPr>
          <w:rFonts w:hint="eastAsia" w:hAnsi="宋体" w:cs="宋体"/>
          <w:color w:val="000000" w:themeColor="text1"/>
          <w:kern w:val="2"/>
          <w:szCs w:val="21"/>
        </w:rPr>
        <w:t>主要编制依据如下：</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GB</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 xml:space="preserve">16423  </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金属非金属矿山安全规程</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GB</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 xml:space="preserve">50421  </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有色金属矿山排土场设计规范</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GB</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 xml:space="preserve">51119  </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冶金矿山排土场设计规范</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GB</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 xml:space="preserve">50666  </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混凝土结构工程施工规范</w:t>
      </w:r>
    </w:p>
    <w:p>
      <w:pPr>
        <w:pStyle w:val="17"/>
        <w:spacing w:line="300" w:lineRule="auto"/>
        <w:rPr>
          <w:rFonts w:asciiTheme="minorEastAsia" w:hAnsiTheme="minorEastAsia" w:eastAsiaTheme="minorEastAsia" w:cstheme="minorEastAsia"/>
          <w:color w:val="000000" w:themeColor="text1"/>
          <w:kern w:val="2"/>
          <w:szCs w:val="21"/>
        </w:rPr>
      </w:pPr>
      <w:r>
        <w:rPr>
          <w:rFonts w:asciiTheme="minorEastAsia" w:hAnsiTheme="minorEastAsia" w:eastAsiaTheme="minorEastAsia" w:cstheme="minorEastAsia"/>
          <w:color w:val="000000" w:themeColor="text1"/>
          <w:kern w:val="2"/>
          <w:szCs w:val="21"/>
        </w:rPr>
        <w:t xml:space="preserve">AQ 2030    </w:t>
      </w:r>
      <w:r>
        <w:rPr>
          <w:rFonts w:hint="eastAsia" w:asciiTheme="minorEastAsia" w:hAnsiTheme="minorEastAsia" w:eastAsiaTheme="minorEastAsia" w:cstheme="minorEastAsia"/>
          <w:color w:val="000000" w:themeColor="text1"/>
          <w:kern w:val="2"/>
          <w:szCs w:val="21"/>
        </w:rPr>
        <w:t>尾矿库安全监测技术规范</w:t>
      </w:r>
    </w:p>
    <w:p>
      <w:pPr>
        <w:pStyle w:val="17"/>
        <w:spacing w:line="300" w:lineRule="auto"/>
        <w:rPr>
          <w:rFonts w:asciiTheme="minorEastAsia" w:hAnsiTheme="minorEastAsia" w:eastAsiaTheme="minorEastAsia" w:cstheme="minorEastAsia"/>
          <w:color w:val="000000" w:themeColor="text1"/>
          <w:kern w:val="2"/>
          <w:szCs w:val="21"/>
        </w:rPr>
      </w:pPr>
      <w:r>
        <w:rPr>
          <w:rFonts w:asciiTheme="minorEastAsia" w:hAnsiTheme="minorEastAsia" w:eastAsiaTheme="minorEastAsia" w:cstheme="minorEastAsia"/>
          <w:color w:val="000000" w:themeColor="text1"/>
          <w:kern w:val="2"/>
          <w:szCs w:val="21"/>
        </w:rPr>
        <w:t xml:space="preserve">AQ/T 2063  </w:t>
      </w:r>
      <w:r>
        <w:rPr>
          <w:rFonts w:hint="eastAsia" w:asciiTheme="minorEastAsia" w:hAnsiTheme="minorEastAsia" w:eastAsiaTheme="minorEastAsia" w:cstheme="minorEastAsia"/>
          <w:color w:val="000000" w:themeColor="text1"/>
          <w:kern w:val="2"/>
          <w:szCs w:val="21"/>
        </w:rPr>
        <w:t>金属非金属露天矿山高陡边坡安全监测技术规范</w:t>
      </w: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5.2 标准主要内容说明</w:t>
      </w:r>
    </w:p>
    <w:p>
      <w:pPr>
        <w:spacing w:line="300" w:lineRule="auto"/>
        <w:ind w:firstLine="420" w:firstLineChars="200"/>
        <w:rPr>
          <w:rFonts w:ascii="黑体" w:hAnsi="黑体" w:eastAsia="黑体" w:cs="黑体"/>
          <w:color w:val="000000" w:themeColor="text1"/>
          <w:szCs w:val="21"/>
        </w:rPr>
      </w:pPr>
      <w:r>
        <w:rPr>
          <w:rFonts w:hint="eastAsia" w:ascii="宋体" w:hAnsi="宋体"/>
          <w:color w:val="000000" w:themeColor="text1"/>
          <w:szCs w:val="21"/>
        </w:rPr>
        <w:t>《矿山排土场灾害防范技术规范 第1部分：监测》标准的主要内容如下：</w:t>
      </w:r>
    </w:p>
    <w:p>
      <w:pPr>
        <w:tabs>
          <w:tab w:val="left" w:pos="426"/>
        </w:tabs>
        <w:spacing w:line="300" w:lineRule="auto"/>
        <w:ind w:firstLine="420" w:firstLineChars="200"/>
        <w:rPr>
          <w:rFonts w:ascii="黑体" w:hAnsi="黑体" w:eastAsia="黑体"/>
          <w:color w:val="000000" w:themeColor="text1"/>
          <w:sz w:val="24"/>
        </w:rPr>
      </w:pPr>
      <w:r>
        <w:rPr>
          <w:rFonts w:hint="eastAsia" w:ascii="黑体" w:hAnsi="黑体" w:eastAsia="黑体"/>
          <w:color w:val="000000" w:themeColor="text1"/>
          <w:szCs w:val="21"/>
        </w:rPr>
        <w:t>1 范围</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本标准规定了矿山排土灾害监测技术的适用范围，规定了排土场灾害监测的原则、内容、方法等技术要求，以及现场监测设备和监控中心系统设备的安装、维护、监测数据和资料整理分析等要求。</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本标准适用于金属非金属矿山排土场，不适用于放射性矿山、煤矿、煤系硫铁矿及其他与煤共生的矿山、石油、天然气、矿泉水等液态或气态矿藏、煤矸石堆场、建筑垃圾受纳场等。</w:t>
      </w:r>
    </w:p>
    <w:p>
      <w:pPr>
        <w:spacing w:line="300" w:lineRule="auto"/>
        <w:ind w:firstLine="420" w:firstLineChars="200"/>
        <w:rPr>
          <w:rFonts w:ascii="黑体" w:hAnsi="黑体" w:eastAsia="黑体"/>
          <w:color w:val="000000" w:themeColor="text1"/>
          <w:szCs w:val="21"/>
        </w:rPr>
      </w:pPr>
      <w:r>
        <w:rPr>
          <w:rFonts w:hint="eastAsia" w:ascii="黑体" w:hAnsi="黑体" w:eastAsia="黑体"/>
          <w:color w:val="000000" w:themeColor="text1"/>
          <w:szCs w:val="21"/>
        </w:rPr>
        <w:t>2 规范性引用文件</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下列文件对于本文件的应用是必不可少的。凡是注日期的引用文件，仅所注日期的版本适用于本文件。凡是不注日期的引用文件，其最新版本（包括所有的修改单）适用于本文件。</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GB</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 xml:space="preserve">16423  </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金属非金属矿山安全规程</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GB</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 xml:space="preserve">50421  </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有色金属矿山排土场设计规范</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GB</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 xml:space="preserve">51119  </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冶金矿山排土场设计规范</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GB</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 xml:space="preserve">50666  </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混凝土结构工程施工规范</w:t>
      </w:r>
    </w:p>
    <w:p>
      <w:pPr>
        <w:pStyle w:val="17"/>
        <w:spacing w:line="300" w:lineRule="auto"/>
        <w:rPr>
          <w:rFonts w:asciiTheme="minorEastAsia" w:hAnsiTheme="minorEastAsia" w:eastAsiaTheme="minorEastAsia" w:cstheme="minorEastAsia"/>
          <w:color w:val="000000" w:themeColor="text1"/>
          <w:kern w:val="2"/>
          <w:szCs w:val="21"/>
        </w:rPr>
      </w:pPr>
      <w:r>
        <w:rPr>
          <w:rFonts w:asciiTheme="minorEastAsia" w:hAnsiTheme="minorEastAsia" w:eastAsiaTheme="minorEastAsia" w:cstheme="minorEastAsia"/>
          <w:color w:val="000000" w:themeColor="text1"/>
          <w:kern w:val="2"/>
          <w:szCs w:val="21"/>
        </w:rPr>
        <w:t xml:space="preserve">AQ 2030    </w:t>
      </w:r>
      <w:r>
        <w:rPr>
          <w:rFonts w:hint="eastAsia" w:asciiTheme="minorEastAsia" w:hAnsiTheme="minorEastAsia" w:eastAsiaTheme="minorEastAsia" w:cstheme="minorEastAsia"/>
          <w:color w:val="000000" w:themeColor="text1"/>
          <w:kern w:val="2"/>
          <w:szCs w:val="21"/>
        </w:rPr>
        <w:t>尾矿库安全监测技术规范</w:t>
      </w:r>
    </w:p>
    <w:p>
      <w:pPr>
        <w:pStyle w:val="17"/>
        <w:spacing w:line="300" w:lineRule="auto"/>
        <w:rPr>
          <w:rFonts w:asciiTheme="minorEastAsia" w:hAnsiTheme="minorEastAsia" w:eastAsiaTheme="minorEastAsia" w:cstheme="minorEastAsia"/>
          <w:color w:val="000000" w:themeColor="text1"/>
          <w:kern w:val="2"/>
          <w:szCs w:val="21"/>
        </w:rPr>
      </w:pPr>
      <w:r>
        <w:rPr>
          <w:rFonts w:asciiTheme="minorEastAsia" w:hAnsiTheme="minorEastAsia" w:eastAsiaTheme="minorEastAsia" w:cstheme="minorEastAsia"/>
          <w:color w:val="000000" w:themeColor="text1"/>
          <w:kern w:val="2"/>
          <w:szCs w:val="21"/>
        </w:rPr>
        <w:t xml:space="preserve">AQ/T 2063  </w:t>
      </w:r>
      <w:r>
        <w:rPr>
          <w:rFonts w:hint="eastAsia" w:asciiTheme="minorEastAsia" w:hAnsiTheme="minorEastAsia" w:eastAsiaTheme="minorEastAsia" w:cstheme="minorEastAsia"/>
          <w:color w:val="000000" w:themeColor="text1"/>
          <w:kern w:val="2"/>
          <w:szCs w:val="21"/>
        </w:rPr>
        <w:t>金属非金属露天矿山高陡边坡安全监测技术规范</w:t>
      </w:r>
    </w:p>
    <w:p>
      <w:pPr>
        <w:spacing w:line="360" w:lineRule="auto"/>
        <w:ind w:firstLine="420" w:firstLineChars="200"/>
        <w:outlineLvl w:val="1"/>
        <w:rPr>
          <w:rFonts w:ascii="黑体" w:hAnsi="黑体" w:eastAsia="黑体"/>
          <w:color w:val="000000" w:themeColor="text1"/>
          <w:szCs w:val="21"/>
        </w:rPr>
      </w:pPr>
      <w:r>
        <w:rPr>
          <w:rFonts w:hint="eastAsia" w:ascii="黑体" w:hAnsi="黑体" w:eastAsia="黑体"/>
          <w:color w:val="000000" w:themeColor="text1"/>
          <w:szCs w:val="21"/>
        </w:rPr>
        <w:t>3 术语和定义</w:t>
      </w:r>
    </w:p>
    <w:p>
      <w:pPr>
        <w:spacing w:line="360" w:lineRule="auto"/>
        <w:ind w:firstLine="420" w:firstLineChars="200"/>
        <w:outlineLvl w:val="1"/>
        <w:rPr>
          <w:rFonts w:ascii="黑体" w:hAnsi="黑体" w:eastAsia="黑体"/>
          <w:color w:val="000000" w:themeColor="text1"/>
          <w:szCs w:val="21"/>
        </w:rPr>
      </w:pPr>
      <w:r>
        <w:rPr>
          <w:rFonts w:hint="eastAsia" w:asciiTheme="minorEastAsia" w:hAnsiTheme="minorEastAsia" w:eastAsiaTheme="minorEastAsia" w:cstheme="minorEastAsia"/>
          <w:color w:val="000000" w:themeColor="text1"/>
          <w:szCs w:val="21"/>
        </w:rPr>
        <w:t>本标准的术语和定义是遵照《金属非金属矿山安全规程》、《有色金属矿山排土场设计规范》、《冶金矿山排土场设计规范》等相关国家标准中所提及的定义、概念而提出的。术语和定义名词为：排土场、变形监测预报、堆置高度、监测点、监测基点、渗流、滑坡、在线监测、灾害监测系统。</w:t>
      </w:r>
    </w:p>
    <w:p>
      <w:pPr>
        <w:spacing w:line="300" w:lineRule="auto"/>
        <w:ind w:firstLine="420" w:firstLineChars="200"/>
        <w:rPr>
          <w:rFonts w:ascii="黑体" w:hAnsi="黑体" w:eastAsia="黑体"/>
          <w:color w:val="000000" w:themeColor="text1"/>
          <w:szCs w:val="21"/>
        </w:rPr>
      </w:pPr>
      <w:r>
        <w:rPr>
          <w:rFonts w:hint="eastAsia" w:ascii="黑体" w:hAnsi="黑体" w:eastAsia="黑体"/>
          <w:color w:val="000000" w:themeColor="text1"/>
          <w:szCs w:val="21"/>
        </w:rPr>
        <w:t>4 总则</w:t>
      </w:r>
    </w:p>
    <w:p>
      <w:pPr>
        <w:pStyle w:val="17"/>
        <w:spacing w:line="300" w:lineRule="auto"/>
        <w:rPr>
          <w:rFonts w:eastAsia="黑体" w:asciiTheme="minorEastAsia" w:hAnsiTheme="minorEastAsia" w:cstheme="minorEastAsia"/>
          <w:color w:val="000000" w:themeColor="text1"/>
          <w:kern w:val="2"/>
          <w:szCs w:val="21"/>
        </w:rPr>
      </w:pPr>
      <w:r>
        <w:rPr>
          <w:rFonts w:hint="eastAsia" w:ascii="黑体" w:hAnsi="黑体" w:eastAsia="黑体" w:cs="黑体"/>
          <w:color w:val="000000" w:themeColor="text1"/>
          <w:kern w:val="2"/>
          <w:szCs w:val="21"/>
        </w:rPr>
        <w:t>4.1 一般规定</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本条规定了矿山排土场灾害监测的基本要求、原则和基本监测项目等。</w:t>
      </w:r>
    </w:p>
    <w:p>
      <w:pPr>
        <w:pStyle w:val="17"/>
        <w:spacing w:line="300" w:lineRule="auto"/>
        <w:rPr>
          <w:rFonts w:ascii="Times New Roman" w:eastAsia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主要依据</w:t>
      </w:r>
      <w:r>
        <w:rPr>
          <w:rFonts w:ascii="Times New Roman" w:eastAsiaTheme="minorEastAsia"/>
          <w:color w:val="000000" w:themeColor="text1"/>
          <w:kern w:val="2"/>
          <w:szCs w:val="21"/>
        </w:rPr>
        <w:t>《金属非金属矿山安全规程》GB 16423</w:t>
      </w:r>
      <w:r>
        <w:rPr>
          <w:rFonts w:hint="eastAsia" w:ascii="Times New Roman" w:eastAsiaTheme="minorEastAsia"/>
          <w:color w:val="000000" w:themeColor="text1"/>
          <w:kern w:val="2"/>
          <w:szCs w:val="21"/>
        </w:rPr>
        <w:t>中</w:t>
      </w:r>
      <w:r>
        <w:rPr>
          <w:rFonts w:ascii="Times New Roman" w:eastAsiaTheme="minorEastAsia"/>
          <w:color w:val="000000" w:themeColor="text1"/>
          <w:kern w:val="2"/>
          <w:szCs w:val="21"/>
        </w:rPr>
        <w:t>5.7.23</w:t>
      </w:r>
      <w:r>
        <w:rPr>
          <w:rFonts w:hint="eastAsia" w:ascii="Times New Roman" w:eastAsiaTheme="minorEastAsia"/>
          <w:color w:val="000000" w:themeColor="text1"/>
          <w:kern w:val="2"/>
          <w:szCs w:val="21"/>
        </w:rPr>
        <w:t>的相关要求，监测系统现场实践经验总结和有关设备供应单位的反馈。</w:t>
      </w:r>
    </w:p>
    <w:p>
      <w:pPr>
        <w:pStyle w:val="17"/>
        <w:spacing w:line="300" w:lineRule="auto"/>
        <w:rPr>
          <w:rFonts w:eastAsia="黑体" w:asciiTheme="minorEastAsia" w:hAnsiTheme="minorEastAsia" w:cstheme="minorEastAsia"/>
          <w:color w:val="000000" w:themeColor="text1"/>
          <w:kern w:val="2"/>
          <w:szCs w:val="21"/>
        </w:rPr>
      </w:pPr>
      <w:r>
        <w:rPr>
          <w:rFonts w:hint="eastAsia" w:ascii="黑体" w:hAnsi="黑体" w:eastAsia="黑体" w:cs="黑体"/>
          <w:color w:val="000000" w:themeColor="text1"/>
          <w:kern w:val="2"/>
          <w:szCs w:val="21"/>
        </w:rPr>
        <w:t>4.2 排土场灾害监测等级</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本条规定了排土场灾害监测等级的确定方法。</w:t>
      </w:r>
    </w:p>
    <w:p>
      <w:pPr>
        <w:spacing w:line="300" w:lineRule="auto"/>
        <w:ind w:firstLine="420" w:firstLineChars="200"/>
        <w:rPr>
          <w:rFonts w:asciiTheme="minorEastAsia" w:hAnsiTheme="minorEastAsia" w:cstheme="minorEastAsia"/>
          <w:color w:val="000000" w:themeColor="text1"/>
          <w:kern w:val="0"/>
          <w:szCs w:val="21"/>
        </w:rPr>
      </w:pPr>
      <w:r>
        <w:rPr>
          <w:rFonts w:hint="eastAsia"/>
          <w:color w:val="000000" w:themeColor="text1"/>
          <w:szCs w:val="21"/>
        </w:rPr>
        <w:t>参照GB</w:t>
      </w:r>
      <w:r>
        <w:rPr>
          <w:color w:val="000000" w:themeColor="text1"/>
          <w:szCs w:val="21"/>
        </w:rPr>
        <w:t xml:space="preserve"> </w:t>
      </w:r>
      <w:r>
        <w:rPr>
          <w:rFonts w:hint="eastAsia"/>
          <w:color w:val="000000" w:themeColor="text1"/>
          <w:szCs w:val="21"/>
        </w:rPr>
        <w:t>51119中3</w:t>
      </w:r>
      <w:r>
        <w:rPr>
          <w:color w:val="000000" w:themeColor="text1"/>
          <w:szCs w:val="21"/>
        </w:rPr>
        <w:t>.2.1</w:t>
      </w:r>
      <w:r>
        <w:rPr>
          <w:rFonts w:hint="eastAsia"/>
          <w:color w:val="000000" w:themeColor="text1"/>
          <w:szCs w:val="21"/>
        </w:rPr>
        <w:t>、</w:t>
      </w:r>
      <w:r>
        <w:rPr>
          <w:color w:val="000000" w:themeColor="text1"/>
          <w:szCs w:val="21"/>
        </w:rPr>
        <w:t>6.4.2</w:t>
      </w:r>
      <w:r>
        <w:rPr>
          <w:rFonts w:hint="eastAsia"/>
          <w:color w:val="000000" w:themeColor="text1"/>
          <w:szCs w:val="21"/>
        </w:rPr>
        <w:t>和GB</w:t>
      </w:r>
      <w:r>
        <w:rPr>
          <w:color w:val="000000" w:themeColor="text1"/>
          <w:szCs w:val="21"/>
        </w:rPr>
        <w:t xml:space="preserve"> </w:t>
      </w:r>
      <w:r>
        <w:rPr>
          <w:rFonts w:hint="eastAsia"/>
          <w:color w:val="000000" w:themeColor="text1"/>
          <w:szCs w:val="21"/>
        </w:rPr>
        <w:t>50421中</w:t>
      </w:r>
      <w:r>
        <w:rPr>
          <w:color w:val="000000" w:themeColor="text1"/>
          <w:szCs w:val="21"/>
        </w:rPr>
        <w:t>4.0.5</w:t>
      </w:r>
      <w:r>
        <w:rPr>
          <w:rFonts w:hint="eastAsia"/>
          <w:color w:val="000000" w:themeColor="text1"/>
          <w:szCs w:val="21"/>
        </w:rPr>
        <w:t>的相关要求，以及排土场最终边坡角和排土场物料自然安息角、工程地质条件等级，分别进行加权求和后进行等级划分。</w:t>
      </w:r>
    </w:p>
    <w:p>
      <w:pPr>
        <w:pStyle w:val="17"/>
        <w:spacing w:line="300" w:lineRule="auto"/>
        <w:rPr>
          <w:rFonts w:eastAsia="黑体" w:asciiTheme="minorEastAsia" w:hAnsiTheme="minorEastAsia" w:cstheme="minorEastAsia"/>
          <w:color w:val="000000" w:themeColor="text1"/>
          <w:kern w:val="2"/>
          <w:szCs w:val="21"/>
        </w:rPr>
      </w:pPr>
      <w:r>
        <w:rPr>
          <w:rFonts w:hint="eastAsia" w:ascii="黑体" w:hAnsi="黑体" w:eastAsia="黑体" w:cs="黑体"/>
          <w:color w:val="000000" w:themeColor="text1"/>
          <w:kern w:val="2"/>
          <w:szCs w:val="21"/>
        </w:rPr>
        <w:t>4.3 指标体系</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本条规定了灾害监测指标体系的分类及组成。</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imes New Roman" w:eastAsiaTheme="minorEastAsia"/>
          <w:color w:val="000000" w:themeColor="text1"/>
          <w:kern w:val="2"/>
          <w:szCs w:val="21"/>
        </w:rPr>
        <w:t>依据监测系统现场实践经验总结</w:t>
      </w:r>
      <w:r>
        <w:rPr>
          <w:rFonts w:hint="eastAsia" w:asciiTheme="minorEastAsia" w:hAnsiTheme="minorEastAsia" w:eastAsiaTheme="minorEastAsia" w:cstheme="minorEastAsia"/>
          <w:color w:val="000000" w:themeColor="text1"/>
          <w:szCs w:val="21"/>
        </w:rPr>
        <w:t>。</w:t>
      </w:r>
    </w:p>
    <w:p>
      <w:pPr>
        <w:pStyle w:val="17"/>
        <w:spacing w:line="300" w:lineRule="auto"/>
        <w:rPr>
          <w:rFonts w:eastAsia="黑体" w:asciiTheme="minorEastAsia" w:hAnsiTheme="minorEastAsia" w:cstheme="minorEastAsia"/>
          <w:color w:val="000000" w:themeColor="text1"/>
          <w:kern w:val="2"/>
          <w:szCs w:val="21"/>
        </w:rPr>
      </w:pPr>
      <w:r>
        <w:rPr>
          <w:rFonts w:hint="eastAsia" w:ascii="黑体" w:hAnsi="黑体" w:eastAsia="黑体" w:cs="黑体"/>
          <w:color w:val="000000" w:themeColor="text1"/>
          <w:kern w:val="2"/>
          <w:szCs w:val="21"/>
        </w:rPr>
        <w:t>4.4 监测要求</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本条规定了不同排土场灾害监测等级对应的监测项目。</w:t>
      </w:r>
    </w:p>
    <w:p>
      <w:pPr>
        <w:spacing w:line="300" w:lineRule="auto"/>
        <w:ind w:firstLine="420" w:firstLineChars="200"/>
        <w:rPr>
          <w:rFonts w:eastAsiaTheme="minorEastAsia"/>
          <w:color w:val="000000" w:themeColor="text1"/>
          <w:szCs w:val="21"/>
        </w:rPr>
      </w:pPr>
      <w:r>
        <w:rPr>
          <w:rFonts w:hint="eastAsia" w:asciiTheme="minorEastAsia" w:hAnsiTheme="minorEastAsia" w:eastAsiaTheme="minorEastAsia" w:cstheme="minorEastAsia"/>
          <w:color w:val="000000" w:themeColor="text1"/>
          <w:kern w:val="0"/>
          <w:szCs w:val="21"/>
        </w:rPr>
        <w:t>依据监</w:t>
      </w:r>
      <w:r>
        <w:rPr>
          <w:rFonts w:hint="eastAsia" w:eastAsiaTheme="minorEastAsia"/>
          <w:color w:val="000000" w:themeColor="text1"/>
          <w:szCs w:val="21"/>
        </w:rPr>
        <w:t>测系统现场实践经验总结</w:t>
      </w:r>
      <w:r>
        <w:rPr>
          <w:rFonts w:hint="eastAsia" w:asciiTheme="minorEastAsia" w:hAnsiTheme="minorEastAsia" w:eastAsiaTheme="minorEastAsia" w:cstheme="minorEastAsia"/>
          <w:color w:val="000000" w:themeColor="text1"/>
          <w:kern w:val="0"/>
          <w:szCs w:val="21"/>
        </w:rPr>
        <w:t>。</w:t>
      </w:r>
    </w:p>
    <w:p>
      <w:pPr>
        <w:pStyle w:val="17"/>
        <w:spacing w:line="300" w:lineRule="auto"/>
        <w:rPr>
          <w:rFonts w:ascii="黑体" w:hAnsi="黑体" w:eastAsia="黑体" w:cs="黑体"/>
          <w:color w:val="000000" w:themeColor="text1"/>
          <w:kern w:val="2"/>
          <w:szCs w:val="21"/>
        </w:rPr>
      </w:pPr>
      <w:r>
        <w:rPr>
          <w:rFonts w:hint="eastAsia" w:ascii="黑体" w:hAnsi="黑体" w:eastAsia="黑体" w:cs="黑体"/>
          <w:color w:val="000000" w:themeColor="text1"/>
          <w:kern w:val="2"/>
          <w:szCs w:val="21"/>
        </w:rPr>
        <w:t>5 变形监测</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本条规定了表面位移监测、内部位移监测和裂缝监测的监测布置方式和设备安装要求。</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依据现场监测系统建设和运行实践经验总结，其中5</w:t>
      </w:r>
      <w:r>
        <w:rPr>
          <w:rFonts w:asciiTheme="minorEastAsia" w:hAnsiTheme="minorEastAsia" w:eastAsiaTheme="minorEastAsia" w:cstheme="minorEastAsia"/>
          <w:color w:val="000000" w:themeColor="text1"/>
          <w:kern w:val="2"/>
          <w:szCs w:val="21"/>
        </w:rPr>
        <w:t>.2</w:t>
      </w:r>
      <w:r>
        <w:rPr>
          <w:rFonts w:hint="eastAsia" w:asciiTheme="minorEastAsia" w:hAnsiTheme="minorEastAsia" w:eastAsiaTheme="minorEastAsia" w:cstheme="minorEastAsia"/>
          <w:color w:val="000000" w:themeColor="text1"/>
          <w:kern w:val="2"/>
          <w:szCs w:val="21"/>
        </w:rPr>
        <w:t>、5</w:t>
      </w:r>
      <w:r>
        <w:rPr>
          <w:rFonts w:asciiTheme="minorEastAsia" w:hAnsiTheme="minorEastAsia" w:eastAsiaTheme="minorEastAsia" w:cstheme="minorEastAsia"/>
          <w:color w:val="000000" w:themeColor="text1"/>
          <w:kern w:val="2"/>
          <w:szCs w:val="21"/>
        </w:rPr>
        <w:t>.3</w:t>
      </w:r>
      <w:r>
        <w:rPr>
          <w:rFonts w:hint="eastAsia" w:asciiTheme="minorEastAsia" w:hAnsiTheme="minorEastAsia" w:eastAsiaTheme="minorEastAsia" w:cstheme="minorEastAsia"/>
          <w:color w:val="000000" w:themeColor="text1"/>
          <w:kern w:val="2"/>
          <w:szCs w:val="21"/>
        </w:rPr>
        <w:t>分别参照AQ</w:t>
      </w:r>
      <w:r>
        <w:rPr>
          <w:rFonts w:asciiTheme="minorEastAsia" w:hAnsiTheme="minorEastAsia" w:eastAsiaTheme="minorEastAsia" w:cstheme="minorEastAsia"/>
          <w:color w:val="000000" w:themeColor="text1"/>
          <w:kern w:val="2"/>
          <w:szCs w:val="21"/>
        </w:rPr>
        <w:t xml:space="preserve"> </w:t>
      </w:r>
      <w:r>
        <w:rPr>
          <w:rFonts w:hint="eastAsia" w:asciiTheme="minorEastAsia" w:hAnsiTheme="minorEastAsia" w:eastAsiaTheme="minorEastAsia" w:cstheme="minorEastAsia"/>
          <w:color w:val="000000" w:themeColor="text1"/>
          <w:kern w:val="2"/>
          <w:szCs w:val="21"/>
        </w:rPr>
        <w:t>2030中5</w:t>
      </w:r>
      <w:r>
        <w:rPr>
          <w:rFonts w:asciiTheme="minorEastAsia" w:hAnsiTheme="minorEastAsia" w:eastAsiaTheme="minorEastAsia" w:cstheme="minorEastAsia"/>
          <w:color w:val="000000" w:themeColor="text1"/>
          <w:kern w:val="2"/>
          <w:szCs w:val="21"/>
        </w:rPr>
        <w:t>.2</w:t>
      </w:r>
      <w:r>
        <w:rPr>
          <w:rFonts w:hint="eastAsia" w:asciiTheme="minorEastAsia" w:hAnsiTheme="minorEastAsia" w:eastAsiaTheme="minorEastAsia" w:cstheme="minorEastAsia"/>
          <w:color w:val="000000" w:themeColor="text1"/>
          <w:kern w:val="2"/>
          <w:szCs w:val="21"/>
        </w:rPr>
        <w:t>、5</w:t>
      </w:r>
      <w:r>
        <w:rPr>
          <w:rFonts w:asciiTheme="minorEastAsia" w:hAnsiTheme="minorEastAsia" w:eastAsiaTheme="minorEastAsia" w:cstheme="minorEastAsia"/>
          <w:color w:val="000000" w:themeColor="text1"/>
          <w:kern w:val="2"/>
          <w:szCs w:val="21"/>
        </w:rPr>
        <w:t>.3</w:t>
      </w:r>
      <w:r>
        <w:rPr>
          <w:rFonts w:hint="eastAsia" w:asciiTheme="minorEastAsia" w:hAnsiTheme="minorEastAsia" w:eastAsiaTheme="minorEastAsia" w:cstheme="minorEastAsia"/>
          <w:color w:val="000000" w:themeColor="text1"/>
          <w:kern w:val="2"/>
          <w:szCs w:val="21"/>
        </w:rPr>
        <w:t>和</w:t>
      </w:r>
      <w:r>
        <w:rPr>
          <w:rFonts w:asciiTheme="minorEastAsia" w:hAnsiTheme="minorEastAsia" w:eastAsiaTheme="minorEastAsia" w:cstheme="minorEastAsia"/>
          <w:color w:val="000000" w:themeColor="text1"/>
          <w:kern w:val="2"/>
          <w:szCs w:val="21"/>
        </w:rPr>
        <w:t>AQ/T 2063</w:t>
      </w:r>
      <w:r>
        <w:rPr>
          <w:rFonts w:hint="eastAsia" w:asciiTheme="minorEastAsia" w:hAnsiTheme="minorEastAsia" w:eastAsiaTheme="minorEastAsia" w:cstheme="minorEastAsia"/>
          <w:color w:val="000000" w:themeColor="text1"/>
          <w:kern w:val="2"/>
          <w:szCs w:val="21"/>
        </w:rPr>
        <w:t>中5</w:t>
      </w:r>
      <w:r>
        <w:rPr>
          <w:rFonts w:asciiTheme="minorEastAsia" w:hAnsiTheme="minorEastAsia" w:eastAsiaTheme="minorEastAsia" w:cstheme="minorEastAsia"/>
          <w:color w:val="000000" w:themeColor="text1"/>
          <w:kern w:val="2"/>
          <w:szCs w:val="21"/>
        </w:rPr>
        <w:t>.2</w:t>
      </w:r>
      <w:r>
        <w:rPr>
          <w:rFonts w:hint="eastAsia" w:asciiTheme="minorEastAsia" w:hAnsiTheme="minorEastAsia" w:eastAsiaTheme="minorEastAsia" w:cstheme="minorEastAsia"/>
          <w:color w:val="000000" w:themeColor="text1"/>
          <w:kern w:val="2"/>
          <w:szCs w:val="21"/>
        </w:rPr>
        <w:t>、5</w:t>
      </w:r>
      <w:r>
        <w:rPr>
          <w:rFonts w:asciiTheme="minorEastAsia" w:hAnsiTheme="minorEastAsia" w:eastAsiaTheme="minorEastAsia" w:cstheme="minorEastAsia"/>
          <w:color w:val="000000" w:themeColor="text1"/>
          <w:kern w:val="2"/>
          <w:szCs w:val="21"/>
        </w:rPr>
        <w:t>.3</w:t>
      </w:r>
      <w:r>
        <w:rPr>
          <w:rFonts w:hint="eastAsia" w:asciiTheme="minorEastAsia" w:hAnsiTheme="minorEastAsia" w:eastAsiaTheme="minorEastAsia" w:cstheme="minorEastAsia"/>
          <w:color w:val="000000" w:themeColor="text1"/>
          <w:kern w:val="2"/>
          <w:szCs w:val="21"/>
        </w:rPr>
        <w:t>的相关要求；5</w:t>
      </w:r>
      <w:r>
        <w:rPr>
          <w:rFonts w:asciiTheme="minorEastAsia" w:hAnsiTheme="minorEastAsia" w:eastAsiaTheme="minorEastAsia" w:cstheme="minorEastAsia"/>
          <w:color w:val="000000" w:themeColor="text1"/>
          <w:kern w:val="2"/>
          <w:szCs w:val="21"/>
        </w:rPr>
        <w:t>.2.4</w:t>
      </w:r>
      <w:r>
        <w:rPr>
          <w:rFonts w:hint="eastAsia" w:asciiTheme="minorEastAsia" w:hAnsiTheme="minorEastAsia" w:eastAsiaTheme="minorEastAsia" w:cstheme="minorEastAsia"/>
          <w:color w:val="000000" w:themeColor="text1"/>
          <w:kern w:val="2"/>
          <w:szCs w:val="21"/>
        </w:rPr>
        <w:t>中观测墩的施工要求依据G</w:t>
      </w:r>
      <w:r>
        <w:rPr>
          <w:rFonts w:asciiTheme="minorEastAsia" w:hAnsiTheme="minorEastAsia" w:eastAsiaTheme="minorEastAsia" w:cstheme="minorEastAsia"/>
          <w:color w:val="000000" w:themeColor="text1"/>
          <w:kern w:val="2"/>
          <w:szCs w:val="21"/>
        </w:rPr>
        <w:t>B 50666</w:t>
      </w:r>
      <w:r>
        <w:rPr>
          <w:rFonts w:hint="eastAsia" w:asciiTheme="minorEastAsia" w:hAnsiTheme="minorEastAsia" w:eastAsiaTheme="minorEastAsia" w:cstheme="minorEastAsia"/>
          <w:color w:val="000000" w:themeColor="text1"/>
          <w:kern w:val="2"/>
          <w:szCs w:val="21"/>
        </w:rPr>
        <w:t>中第3章、第5章和第8章的相关要求；5</w:t>
      </w:r>
      <w:r>
        <w:rPr>
          <w:rFonts w:asciiTheme="minorEastAsia" w:hAnsiTheme="minorEastAsia" w:eastAsiaTheme="minorEastAsia" w:cstheme="minorEastAsia"/>
          <w:color w:val="000000" w:themeColor="text1"/>
          <w:kern w:val="2"/>
          <w:szCs w:val="21"/>
        </w:rPr>
        <w:t>.4</w:t>
      </w:r>
      <w:r>
        <w:rPr>
          <w:rFonts w:hint="eastAsia" w:asciiTheme="minorEastAsia" w:hAnsiTheme="minorEastAsia" w:eastAsiaTheme="minorEastAsia" w:cstheme="minorEastAsia"/>
          <w:color w:val="000000" w:themeColor="text1"/>
          <w:kern w:val="2"/>
          <w:szCs w:val="21"/>
        </w:rPr>
        <w:t>参照AQ/T 2063中5</w:t>
      </w:r>
      <w:r>
        <w:rPr>
          <w:rFonts w:asciiTheme="minorEastAsia" w:hAnsiTheme="minorEastAsia" w:eastAsiaTheme="minorEastAsia" w:cstheme="minorEastAsia"/>
          <w:color w:val="000000" w:themeColor="text1"/>
          <w:kern w:val="2"/>
          <w:szCs w:val="21"/>
        </w:rPr>
        <w:t>.4</w:t>
      </w:r>
      <w:r>
        <w:rPr>
          <w:rFonts w:hint="eastAsia" w:asciiTheme="minorEastAsia" w:hAnsiTheme="minorEastAsia" w:eastAsiaTheme="minorEastAsia" w:cstheme="minorEastAsia"/>
          <w:color w:val="000000" w:themeColor="text1"/>
          <w:kern w:val="2"/>
          <w:szCs w:val="21"/>
        </w:rPr>
        <w:t>的相关要求。</w:t>
      </w:r>
    </w:p>
    <w:p>
      <w:pPr>
        <w:pStyle w:val="17"/>
        <w:spacing w:line="300" w:lineRule="auto"/>
        <w:rPr>
          <w:rFonts w:ascii="黑体" w:hAnsi="黑体" w:eastAsia="黑体" w:cs="黑体"/>
          <w:color w:val="000000" w:themeColor="text1"/>
          <w:kern w:val="2"/>
          <w:szCs w:val="21"/>
        </w:rPr>
      </w:pPr>
      <w:r>
        <w:rPr>
          <w:rFonts w:hint="eastAsia" w:ascii="黑体" w:hAnsi="黑体" w:eastAsia="黑体" w:cs="黑体"/>
          <w:color w:val="000000" w:themeColor="text1"/>
          <w:kern w:val="2"/>
          <w:szCs w:val="21"/>
        </w:rPr>
        <w:t>6 土压力监测</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本条规定了土压力监测的监测布置和设备安装要求。</w:t>
      </w:r>
    </w:p>
    <w:p>
      <w:pPr>
        <w:pStyle w:val="17"/>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依据现场监测系统建设和运行实践经验总结。</w:t>
      </w:r>
    </w:p>
    <w:p>
      <w:pPr>
        <w:pStyle w:val="17"/>
        <w:spacing w:line="300" w:lineRule="auto"/>
        <w:rPr>
          <w:rFonts w:ascii="黑体" w:hAnsi="黑体" w:eastAsia="黑体" w:cs="黑体"/>
          <w:color w:val="000000" w:themeColor="text1"/>
          <w:kern w:val="2"/>
          <w:szCs w:val="21"/>
        </w:rPr>
      </w:pPr>
      <w:r>
        <w:rPr>
          <w:rFonts w:hint="eastAsia" w:ascii="黑体" w:hAnsi="黑体" w:eastAsia="黑体" w:cs="黑体"/>
          <w:color w:val="000000" w:themeColor="text1"/>
          <w:kern w:val="2"/>
          <w:szCs w:val="21"/>
        </w:rPr>
        <w:t>7 土壤含水率监测</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本条规定了土壤含水率监测的监测布置和设备安装要求。</w:t>
      </w:r>
    </w:p>
    <w:p>
      <w:pPr>
        <w:pStyle w:val="17"/>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依据现场监测系统建设、运行实践经验总结以及设备供应单位的反馈。</w:t>
      </w:r>
    </w:p>
    <w:p>
      <w:pPr>
        <w:pStyle w:val="17"/>
        <w:spacing w:line="300" w:lineRule="auto"/>
        <w:rPr>
          <w:rFonts w:ascii="黑体" w:hAnsi="黑体" w:eastAsia="黑体" w:cs="黑体"/>
          <w:color w:val="000000" w:themeColor="text1"/>
          <w:kern w:val="2"/>
          <w:szCs w:val="21"/>
        </w:rPr>
      </w:pPr>
      <w:r>
        <w:rPr>
          <w:rFonts w:hint="eastAsia" w:ascii="黑体" w:hAnsi="黑体" w:eastAsia="黑体" w:cs="黑体"/>
          <w:color w:val="000000" w:themeColor="text1"/>
          <w:kern w:val="2"/>
          <w:szCs w:val="21"/>
        </w:rPr>
        <w:t>8 水文气象监测</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本条规定了水文气象监测的监测布置和设备安装要求。</w:t>
      </w:r>
    </w:p>
    <w:p>
      <w:pPr>
        <w:pStyle w:val="17"/>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依据现场监测系统建设和运行实践经验，8</w:t>
      </w:r>
      <w:r>
        <w:rPr>
          <w:rFonts w:asciiTheme="minorEastAsia" w:hAnsiTheme="minorEastAsia" w:eastAsiaTheme="minorEastAsia" w:cstheme="minorEastAsia"/>
          <w:color w:val="000000" w:themeColor="text1"/>
          <w:szCs w:val="21"/>
        </w:rPr>
        <w:t>.1</w:t>
      </w:r>
      <w:r>
        <w:rPr>
          <w:rFonts w:hint="eastAsia" w:asciiTheme="minorEastAsia" w:hAnsiTheme="minorEastAsia" w:eastAsiaTheme="minorEastAsia" w:cstheme="minorEastAsia"/>
          <w:color w:val="000000" w:themeColor="text1"/>
          <w:szCs w:val="21"/>
        </w:rPr>
        <w:t>参照AQ</w:t>
      </w:r>
      <w:r>
        <w:rPr>
          <w:rFonts w:asciiTheme="minorEastAsia" w:hAnsiTheme="minorEastAsia" w:eastAsiaTheme="minorEastAsia" w:cstheme="minorEastAsia"/>
          <w:color w:val="000000" w:themeColor="text1"/>
          <w:szCs w:val="21"/>
        </w:rPr>
        <w:t xml:space="preserve"> </w:t>
      </w:r>
      <w:r>
        <w:rPr>
          <w:rFonts w:hint="eastAsia" w:asciiTheme="minorEastAsia" w:hAnsiTheme="minorEastAsia" w:eastAsiaTheme="minorEastAsia" w:cstheme="minorEastAsia"/>
          <w:color w:val="000000" w:themeColor="text1"/>
          <w:szCs w:val="21"/>
        </w:rPr>
        <w:t>2030中8</w:t>
      </w:r>
      <w:r>
        <w:rPr>
          <w:rFonts w:asciiTheme="minorEastAsia" w:hAnsiTheme="minorEastAsia" w:eastAsiaTheme="minorEastAsia" w:cstheme="minorEastAsia"/>
          <w:color w:val="000000" w:themeColor="text1"/>
          <w:szCs w:val="21"/>
        </w:rPr>
        <w:t>.2</w:t>
      </w:r>
      <w:r>
        <w:rPr>
          <w:rFonts w:hint="eastAsia" w:asciiTheme="minorEastAsia" w:hAnsiTheme="minorEastAsia" w:eastAsiaTheme="minorEastAsia" w:cstheme="minorEastAsia"/>
          <w:color w:val="000000" w:themeColor="text1"/>
          <w:szCs w:val="21"/>
        </w:rPr>
        <w:t>和</w:t>
      </w:r>
      <w:r>
        <w:rPr>
          <w:rFonts w:asciiTheme="minorEastAsia" w:hAnsiTheme="minorEastAsia" w:eastAsiaTheme="minorEastAsia" w:cstheme="minorEastAsia"/>
          <w:color w:val="000000" w:themeColor="text1"/>
          <w:kern w:val="2"/>
          <w:szCs w:val="21"/>
        </w:rPr>
        <w:t>AQ/T 2063</w:t>
      </w:r>
      <w:r>
        <w:rPr>
          <w:rFonts w:hint="eastAsia" w:asciiTheme="minorEastAsia" w:hAnsiTheme="minorEastAsia" w:eastAsiaTheme="minorEastAsia" w:cstheme="minorEastAsia"/>
          <w:color w:val="000000" w:themeColor="text1"/>
          <w:szCs w:val="21"/>
        </w:rPr>
        <w:t>中8</w:t>
      </w:r>
      <w:r>
        <w:rPr>
          <w:rFonts w:asciiTheme="minorEastAsia" w:hAnsiTheme="minorEastAsia" w:eastAsiaTheme="minorEastAsia" w:cstheme="minorEastAsia"/>
          <w:color w:val="000000" w:themeColor="text1"/>
          <w:szCs w:val="21"/>
        </w:rPr>
        <w:t>.2</w:t>
      </w:r>
      <w:r>
        <w:rPr>
          <w:rFonts w:hint="eastAsia" w:asciiTheme="minorEastAsia" w:hAnsiTheme="minorEastAsia" w:eastAsiaTheme="minorEastAsia" w:cstheme="minorEastAsia"/>
          <w:color w:val="000000" w:themeColor="text1"/>
          <w:szCs w:val="21"/>
        </w:rPr>
        <w:t>的相关要求；8</w:t>
      </w:r>
      <w:r>
        <w:rPr>
          <w:rFonts w:asciiTheme="minorEastAsia" w:hAnsiTheme="minorEastAsia" w:eastAsiaTheme="minorEastAsia" w:cstheme="minorEastAsia"/>
          <w:color w:val="000000" w:themeColor="text1"/>
          <w:szCs w:val="21"/>
        </w:rPr>
        <w:t>.2</w:t>
      </w:r>
      <w:r>
        <w:rPr>
          <w:rFonts w:hint="eastAsia" w:asciiTheme="minorEastAsia" w:hAnsiTheme="minorEastAsia" w:eastAsiaTheme="minorEastAsia" w:cstheme="minorEastAsia"/>
          <w:color w:val="000000" w:themeColor="text1"/>
          <w:szCs w:val="21"/>
        </w:rPr>
        <w:t>参照AQ</w:t>
      </w:r>
      <w:r>
        <w:rPr>
          <w:rFonts w:asciiTheme="minorEastAsia" w:hAnsiTheme="minorEastAsia" w:eastAsiaTheme="minorEastAsia" w:cstheme="minorEastAsia"/>
          <w:color w:val="000000" w:themeColor="text1"/>
          <w:szCs w:val="21"/>
        </w:rPr>
        <w:t xml:space="preserve"> </w:t>
      </w:r>
      <w:r>
        <w:rPr>
          <w:rFonts w:hint="eastAsia" w:asciiTheme="minorEastAsia" w:hAnsiTheme="minorEastAsia" w:eastAsiaTheme="minorEastAsia" w:cstheme="minorEastAsia"/>
          <w:color w:val="000000" w:themeColor="text1"/>
          <w:szCs w:val="21"/>
        </w:rPr>
        <w:t>2030中8</w:t>
      </w:r>
      <w:r>
        <w:rPr>
          <w:rFonts w:asciiTheme="minorEastAsia" w:hAnsiTheme="minorEastAsia" w:eastAsiaTheme="minorEastAsia" w:cstheme="minorEastAsia"/>
          <w:color w:val="000000" w:themeColor="text1"/>
          <w:szCs w:val="21"/>
        </w:rPr>
        <w:t>.3</w:t>
      </w:r>
      <w:r>
        <w:rPr>
          <w:rFonts w:hint="eastAsia" w:asciiTheme="minorEastAsia" w:hAnsiTheme="minorEastAsia" w:eastAsiaTheme="minorEastAsia" w:cstheme="minorEastAsia"/>
          <w:color w:val="000000" w:themeColor="text1"/>
          <w:szCs w:val="21"/>
        </w:rPr>
        <w:t>和</w:t>
      </w:r>
      <w:r>
        <w:rPr>
          <w:rFonts w:asciiTheme="minorEastAsia" w:hAnsiTheme="minorEastAsia" w:eastAsiaTheme="minorEastAsia" w:cstheme="minorEastAsia"/>
          <w:color w:val="000000" w:themeColor="text1"/>
          <w:kern w:val="2"/>
          <w:szCs w:val="21"/>
        </w:rPr>
        <w:t>AQ/T 2063</w:t>
      </w:r>
      <w:r>
        <w:rPr>
          <w:rFonts w:hint="eastAsia" w:asciiTheme="minorEastAsia" w:hAnsiTheme="minorEastAsia" w:eastAsiaTheme="minorEastAsia" w:cstheme="minorEastAsia"/>
          <w:color w:val="000000" w:themeColor="text1"/>
          <w:szCs w:val="21"/>
        </w:rPr>
        <w:t>中8</w:t>
      </w:r>
      <w:r>
        <w:rPr>
          <w:rFonts w:asciiTheme="minorEastAsia" w:hAnsiTheme="minorEastAsia" w:eastAsiaTheme="minorEastAsia" w:cstheme="minorEastAsia"/>
          <w:color w:val="000000" w:themeColor="text1"/>
          <w:szCs w:val="21"/>
        </w:rPr>
        <w:t>.3</w:t>
      </w:r>
      <w:r>
        <w:rPr>
          <w:rFonts w:hint="eastAsia" w:asciiTheme="minorEastAsia" w:hAnsiTheme="minorEastAsia" w:eastAsiaTheme="minorEastAsia" w:cstheme="minorEastAsia"/>
          <w:color w:val="000000" w:themeColor="text1"/>
          <w:szCs w:val="21"/>
        </w:rPr>
        <w:t>的相关要求。</w:t>
      </w:r>
    </w:p>
    <w:p>
      <w:pPr>
        <w:pStyle w:val="17"/>
        <w:spacing w:line="300" w:lineRule="auto"/>
        <w:rPr>
          <w:rFonts w:hint="eastAsia" w:ascii="黑体" w:hAnsi="黑体" w:eastAsia="黑体" w:cs="黑体"/>
          <w:color w:val="000000" w:themeColor="text1"/>
          <w:kern w:val="2"/>
          <w:szCs w:val="21"/>
        </w:rPr>
      </w:pPr>
      <w:r>
        <w:rPr>
          <w:rFonts w:hint="eastAsia" w:ascii="黑体" w:hAnsi="黑体" w:eastAsia="黑体" w:cs="黑体"/>
          <w:color w:val="000000" w:themeColor="text1"/>
          <w:kern w:val="2"/>
          <w:szCs w:val="21"/>
        </w:rPr>
        <w:t>9 现场供电及防雷</w:t>
      </w:r>
    </w:p>
    <w:p>
      <w:pPr>
        <w:pStyle w:val="17"/>
        <w:spacing w:line="300" w:lineRule="auto"/>
        <w:rPr>
          <w:rFonts w:hint="eastAsia" w:ascii="黑体" w:hAnsi="黑体" w:eastAsia="黑体" w:cs="黑体"/>
          <w:color w:val="000000" w:themeColor="text1"/>
          <w:kern w:val="2"/>
          <w:szCs w:val="21"/>
        </w:rPr>
      </w:pPr>
      <w:r>
        <w:rPr>
          <w:rFonts w:hint="eastAsia" w:ascii="黑体" w:hAnsi="黑体" w:eastAsia="黑体" w:cs="黑体"/>
          <w:color w:val="000000" w:themeColor="text1"/>
          <w:kern w:val="2"/>
          <w:szCs w:val="21"/>
        </w:rPr>
        <w:t>9.1 供电</w:t>
      </w:r>
    </w:p>
    <w:p>
      <w:pPr>
        <w:pStyle w:val="17"/>
        <w:spacing w:line="300" w:lineRule="auto"/>
        <w:rPr>
          <w:rFonts w:hint="eastAsia"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本条规定了排土场现场监测仪器的供电要求。</w:t>
      </w:r>
    </w:p>
    <w:p>
      <w:pPr>
        <w:pStyle w:val="17"/>
        <w:spacing w:line="300" w:lineRule="auto"/>
        <w:rPr>
          <w:rFonts w:hint="eastAsia"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依据现场监测系统建设和运行实践经验总结，采用太阳能供电时，供电能力根据现场监测仪器用电量计算并考虑一定富余量。</w:t>
      </w:r>
    </w:p>
    <w:p>
      <w:pPr>
        <w:pStyle w:val="17"/>
        <w:spacing w:line="300" w:lineRule="auto"/>
        <w:rPr>
          <w:rFonts w:hint="eastAsia" w:ascii="黑体" w:hAnsi="黑体" w:eastAsia="黑体" w:cs="黑体"/>
          <w:color w:val="000000" w:themeColor="text1"/>
          <w:kern w:val="2"/>
          <w:szCs w:val="21"/>
        </w:rPr>
      </w:pPr>
      <w:r>
        <w:rPr>
          <w:rFonts w:hint="eastAsia" w:ascii="黑体" w:hAnsi="黑体" w:eastAsia="黑体" w:cs="黑体"/>
          <w:color w:val="000000" w:themeColor="text1"/>
          <w:kern w:val="2"/>
          <w:szCs w:val="21"/>
        </w:rPr>
        <w:t>9.2 防雷</w:t>
      </w:r>
    </w:p>
    <w:p>
      <w:pPr>
        <w:pStyle w:val="17"/>
        <w:spacing w:line="300" w:lineRule="auto"/>
        <w:rPr>
          <w:rFonts w:hint="eastAsia"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本条规定了排土场现场监测的防雷要求。</w:t>
      </w:r>
    </w:p>
    <w:p>
      <w:pPr>
        <w:pStyle w:val="17"/>
        <w:spacing w:line="300" w:lineRule="auto"/>
        <w:rPr>
          <w:rFonts w:hint="eastAsia" w:ascii="黑体" w:hAnsi="黑体" w:eastAsia="黑体" w:cs="黑体"/>
          <w:color w:val="000000" w:themeColor="text1"/>
          <w:kern w:val="2"/>
          <w:szCs w:val="21"/>
        </w:rPr>
      </w:pPr>
      <w:r>
        <w:rPr>
          <w:rFonts w:hint="eastAsia" w:asciiTheme="minorEastAsia" w:hAnsiTheme="minorEastAsia" w:eastAsiaTheme="minorEastAsia" w:cstheme="minorEastAsia"/>
          <w:color w:val="000000" w:themeColor="text1"/>
          <w:kern w:val="2"/>
          <w:szCs w:val="21"/>
        </w:rPr>
        <w:t>依据GBT 16895.10中443.3.2.1条的相关要求，结合当地雷暴日，通过计算，监测现场设备防雷接地电阻，直击雷防护系统接地电阻不大于10Ω，感应雷接地防护系统接地电阻不大于4Ω。</w:t>
      </w:r>
    </w:p>
    <w:p>
      <w:pPr>
        <w:pStyle w:val="17"/>
        <w:spacing w:line="300" w:lineRule="auto"/>
        <w:rPr>
          <w:rFonts w:ascii="黑体" w:hAnsi="黑体" w:eastAsia="黑体" w:cs="黑体"/>
          <w:color w:val="000000" w:themeColor="text1"/>
          <w:kern w:val="2"/>
          <w:szCs w:val="21"/>
        </w:rPr>
      </w:pPr>
      <w:r>
        <w:rPr>
          <w:rFonts w:hint="eastAsia" w:ascii="黑体" w:hAnsi="黑体" w:eastAsia="黑体" w:cs="黑体"/>
          <w:color w:val="000000" w:themeColor="text1"/>
          <w:kern w:val="2"/>
          <w:szCs w:val="21"/>
        </w:rPr>
        <w:t>10 在线监测系统</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本条规定了在线监测系统的设计、安装与调试、运行与管理的要求。</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依据现场监测系统建设经验，参照</w:t>
      </w:r>
      <w:r>
        <w:rPr>
          <w:rFonts w:hint="eastAsia" w:asciiTheme="minorEastAsia" w:hAnsiTheme="minorEastAsia" w:eastAsiaTheme="minorEastAsia" w:cstheme="minorEastAsia"/>
          <w:color w:val="000000" w:themeColor="text1"/>
          <w:szCs w:val="21"/>
        </w:rPr>
        <w:t>AQ</w:t>
      </w:r>
      <w:r>
        <w:rPr>
          <w:rFonts w:asciiTheme="minorEastAsia" w:hAnsiTheme="minorEastAsia" w:eastAsiaTheme="minorEastAsia" w:cstheme="minorEastAsia"/>
          <w:color w:val="000000" w:themeColor="text1"/>
          <w:szCs w:val="21"/>
        </w:rPr>
        <w:t xml:space="preserve"> </w:t>
      </w:r>
      <w:r>
        <w:rPr>
          <w:rFonts w:hint="eastAsia" w:asciiTheme="minorEastAsia" w:hAnsiTheme="minorEastAsia" w:eastAsiaTheme="minorEastAsia" w:cstheme="minorEastAsia"/>
          <w:color w:val="000000" w:themeColor="text1"/>
          <w:szCs w:val="21"/>
        </w:rPr>
        <w:t>2030第9章和</w:t>
      </w:r>
      <w:r>
        <w:rPr>
          <w:rFonts w:asciiTheme="minorEastAsia" w:hAnsiTheme="minorEastAsia" w:eastAsiaTheme="minorEastAsia" w:cstheme="minorEastAsia"/>
          <w:color w:val="000000" w:themeColor="text1"/>
          <w:kern w:val="2"/>
          <w:szCs w:val="21"/>
        </w:rPr>
        <w:t>AQ/T 2063</w:t>
      </w:r>
      <w:r>
        <w:rPr>
          <w:rFonts w:hint="eastAsia" w:asciiTheme="minorEastAsia" w:hAnsiTheme="minorEastAsia" w:eastAsiaTheme="minorEastAsia" w:cstheme="minorEastAsia"/>
          <w:color w:val="000000" w:themeColor="text1"/>
          <w:szCs w:val="21"/>
        </w:rPr>
        <w:t>中第1</w:t>
      </w:r>
      <w:r>
        <w:rPr>
          <w:rFonts w:asciiTheme="minorEastAsia" w:hAnsiTheme="minorEastAsia" w:eastAsiaTheme="minorEastAsia" w:cstheme="minorEastAsia"/>
          <w:color w:val="000000" w:themeColor="text1"/>
          <w:szCs w:val="21"/>
        </w:rPr>
        <w:t>0</w:t>
      </w:r>
      <w:r>
        <w:rPr>
          <w:rFonts w:hint="eastAsia" w:asciiTheme="minorEastAsia" w:hAnsiTheme="minorEastAsia" w:eastAsiaTheme="minorEastAsia" w:cstheme="minorEastAsia"/>
          <w:color w:val="000000" w:themeColor="text1"/>
          <w:szCs w:val="21"/>
        </w:rPr>
        <w:t>章的相关要求。</w:t>
      </w:r>
    </w:p>
    <w:p>
      <w:pPr>
        <w:pStyle w:val="17"/>
        <w:spacing w:line="300" w:lineRule="auto"/>
        <w:rPr>
          <w:rFonts w:ascii="黑体" w:hAnsi="黑体" w:eastAsia="黑体" w:cs="黑体"/>
          <w:color w:val="000000" w:themeColor="text1"/>
          <w:kern w:val="2"/>
          <w:szCs w:val="21"/>
        </w:rPr>
      </w:pPr>
      <w:r>
        <w:rPr>
          <w:rFonts w:hint="eastAsia" w:ascii="黑体" w:hAnsi="黑体" w:eastAsia="黑体" w:cs="黑体"/>
          <w:color w:val="000000" w:themeColor="text1"/>
          <w:kern w:val="2"/>
          <w:szCs w:val="21"/>
        </w:rPr>
        <w:t>11 监测资料整理与分析</w:t>
      </w:r>
    </w:p>
    <w:p>
      <w:pPr>
        <w:pStyle w:val="17"/>
        <w:spacing w:line="300" w:lineRule="auto"/>
        <w:rPr>
          <w:rFonts w:asciiTheme="minorEastAsia" w:hAnsiTheme="minorEastAsia" w:eastAsiaTheme="minorEastAsia" w:cstheme="minorEastAsia"/>
          <w:color w:val="000000" w:themeColor="text1"/>
          <w:kern w:val="2"/>
          <w:szCs w:val="21"/>
        </w:rPr>
      </w:pPr>
      <w:r>
        <w:rPr>
          <w:rFonts w:hint="eastAsia" w:asciiTheme="minorEastAsia" w:hAnsiTheme="minorEastAsia" w:eastAsiaTheme="minorEastAsia" w:cstheme="minorEastAsia"/>
          <w:color w:val="000000" w:themeColor="text1"/>
          <w:kern w:val="2"/>
          <w:szCs w:val="21"/>
        </w:rPr>
        <w:t>本条规定了监测资料整理和分析的要求。</w:t>
      </w:r>
    </w:p>
    <w:p>
      <w:pPr>
        <w:pStyle w:val="17"/>
        <w:spacing w:line="300" w:lineRule="auto"/>
        <w:rPr>
          <w:rFonts w:ascii="黑体" w:hAnsi="黑体" w:eastAsia="黑体" w:cs="黑体"/>
          <w:color w:val="000000" w:themeColor="text1"/>
          <w:kern w:val="2"/>
          <w:szCs w:val="21"/>
        </w:rPr>
      </w:pPr>
      <w:r>
        <w:rPr>
          <w:rFonts w:hint="eastAsia" w:asciiTheme="minorEastAsia" w:hAnsiTheme="minorEastAsia" w:eastAsiaTheme="minorEastAsia" w:cstheme="minorEastAsia"/>
          <w:color w:val="000000" w:themeColor="text1"/>
          <w:kern w:val="2"/>
          <w:szCs w:val="21"/>
        </w:rPr>
        <w:t>参照</w:t>
      </w:r>
      <w:r>
        <w:rPr>
          <w:rFonts w:hint="eastAsia" w:asciiTheme="minorEastAsia" w:hAnsiTheme="minorEastAsia" w:eastAsiaTheme="minorEastAsia" w:cstheme="minorEastAsia"/>
          <w:color w:val="000000" w:themeColor="text1"/>
          <w:szCs w:val="21"/>
        </w:rPr>
        <w:t>AQ</w:t>
      </w:r>
      <w:r>
        <w:rPr>
          <w:rFonts w:asciiTheme="minorEastAsia" w:hAnsiTheme="minorEastAsia" w:eastAsiaTheme="minorEastAsia" w:cstheme="minorEastAsia"/>
          <w:color w:val="000000" w:themeColor="text1"/>
          <w:szCs w:val="21"/>
        </w:rPr>
        <w:t xml:space="preserve"> </w:t>
      </w:r>
      <w:r>
        <w:rPr>
          <w:rFonts w:hint="eastAsia" w:asciiTheme="minorEastAsia" w:hAnsiTheme="minorEastAsia" w:eastAsiaTheme="minorEastAsia" w:cstheme="minorEastAsia"/>
          <w:color w:val="000000" w:themeColor="text1"/>
          <w:szCs w:val="21"/>
        </w:rPr>
        <w:t>2030第1</w:t>
      </w:r>
      <w:r>
        <w:rPr>
          <w:rFonts w:asciiTheme="minorEastAsia" w:hAnsiTheme="minorEastAsia" w:eastAsiaTheme="minorEastAsia" w:cstheme="minorEastAsia"/>
          <w:color w:val="000000" w:themeColor="text1"/>
          <w:szCs w:val="21"/>
        </w:rPr>
        <w:t>1</w:t>
      </w:r>
      <w:r>
        <w:rPr>
          <w:rFonts w:hint="eastAsia" w:asciiTheme="minorEastAsia" w:hAnsiTheme="minorEastAsia" w:eastAsiaTheme="minorEastAsia" w:cstheme="minorEastAsia"/>
          <w:color w:val="000000" w:themeColor="text1"/>
          <w:szCs w:val="21"/>
        </w:rPr>
        <w:t>章和</w:t>
      </w:r>
      <w:r>
        <w:rPr>
          <w:rFonts w:asciiTheme="minorEastAsia" w:hAnsiTheme="minorEastAsia" w:eastAsiaTheme="minorEastAsia" w:cstheme="minorEastAsia"/>
          <w:color w:val="000000" w:themeColor="text1"/>
          <w:kern w:val="2"/>
          <w:szCs w:val="21"/>
        </w:rPr>
        <w:t>AQ/T 2063</w:t>
      </w:r>
      <w:r>
        <w:rPr>
          <w:rFonts w:hint="eastAsia" w:asciiTheme="minorEastAsia" w:hAnsiTheme="minorEastAsia" w:eastAsiaTheme="minorEastAsia" w:cstheme="minorEastAsia"/>
          <w:color w:val="000000" w:themeColor="text1"/>
          <w:szCs w:val="21"/>
        </w:rPr>
        <w:t>中第1</w:t>
      </w:r>
      <w:r>
        <w:rPr>
          <w:rFonts w:asciiTheme="minorEastAsia" w:hAnsiTheme="minorEastAsia" w:eastAsiaTheme="minorEastAsia" w:cstheme="minorEastAsia"/>
          <w:color w:val="000000" w:themeColor="text1"/>
          <w:szCs w:val="21"/>
        </w:rPr>
        <w:t>1</w:t>
      </w:r>
      <w:r>
        <w:rPr>
          <w:rFonts w:hint="eastAsia" w:asciiTheme="minorEastAsia" w:hAnsiTheme="minorEastAsia" w:eastAsiaTheme="minorEastAsia" w:cstheme="minorEastAsia"/>
          <w:color w:val="000000" w:themeColor="text1"/>
          <w:szCs w:val="21"/>
        </w:rPr>
        <w:t>章的相关要求。</w:t>
      </w:r>
    </w:p>
    <w:p>
      <w:pPr>
        <w:pStyle w:val="17"/>
        <w:spacing w:line="300" w:lineRule="auto"/>
        <w:rPr>
          <w:rFonts w:ascii="黑体" w:hAnsi="黑体" w:eastAsia="黑体" w:cs="黑体"/>
          <w:color w:val="000000" w:themeColor="text1"/>
          <w:kern w:val="2"/>
          <w:szCs w:val="21"/>
        </w:rPr>
      </w:pP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6 与现行相关法律、法规、规章及相关标准，特别是强制性标准的协调性</w:t>
      </w:r>
    </w:p>
    <w:p>
      <w:pPr>
        <w:spacing w:line="300" w:lineRule="auto"/>
        <w:ind w:firstLine="420" w:firstLineChars="200"/>
        <w:rPr>
          <w:rFonts w:ascii="宋体" w:hAnsi="宋体" w:cs="宋体"/>
          <w:color w:val="000000" w:themeColor="text1"/>
          <w:kern w:val="0"/>
          <w:szCs w:val="21"/>
        </w:rPr>
      </w:pPr>
      <w:r>
        <w:rPr>
          <w:rFonts w:hint="eastAsia" w:ascii="宋体" w:hAnsi="宋体" w:cs="宋体"/>
          <w:color w:val="000000" w:themeColor="text1"/>
          <w:kern w:val="0"/>
          <w:szCs w:val="21"/>
        </w:rPr>
        <w:t>目前国内尚无制定国家和行业标准，我省也无相关地方标准，与现行的法律、法规、规章制度等要求无冲突。</w:t>
      </w:r>
    </w:p>
    <w:p>
      <w:pPr>
        <w:spacing w:line="300" w:lineRule="auto"/>
        <w:rPr>
          <w:rFonts w:ascii="宋体" w:hAnsi="宋体" w:cs="宋体"/>
          <w:b/>
          <w:bCs/>
          <w:color w:val="000000" w:themeColor="text1"/>
          <w:sz w:val="32"/>
          <w:szCs w:val="32"/>
        </w:rPr>
      </w:pPr>
      <w:r>
        <w:rPr>
          <w:rFonts w:hint="eastAsia" w:ascii="黑体" w:hAnsi="黑体" w:eastAsia="黑体" w:cs="黑体"/>
          <w:color w:val="000000" w:themeColor="text1"/>
          <w:sz w:val="24"/>
        </w:rPr>
        <w:t>7 专利及涉及知识产权情况</w:t>
      </w:r>
    </w:p>
    <w:p>
      <w:pPr>
        <w:spacing w:line="300" w:lineRule="auto"/>
        <w:ind w:firstLine="420" w:firstLineChars="200"/>
        <w:rPr>
          <w:rFonts w:ascii="宋体" w:hAnsi="宋体" w:cs="宋体"/>
          <w:color w:val="000000" w:themeColor="text1"/>
          <w:kern w:val="0"/>
          <w:szCs w:val="21"/>
        </w:rPr>
      </w:pPr>
      <w:r>
        <w:rPr>
          <w:rFonts w:hint="eastAsia" w:ascii="宋体" w:hAnsi="宋体" w:cs="宋体"/>
          <w:color w:val="000000" w:themeColor="text1"/>
          <w:kern w:val="0"/>
          <w:szCs w:val="21"/>
        </w:rPr>
        <w:t>本标准不涉及任何专利及知识产权。</w:t>
      </w: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8 重大分歧意见的处理经过</w:t>
      </w:r>
    </w:p>
    <w:p>
      <w:pPr>
        <w:spacing w:line="300" w:lineRule="auto"/>
        <w:ind w:firstLine="420" w:firstLineChars="200"/>
        <w:rPr>
          <w:rFonts w:asciiTheme="minorEastAsia" w:hAnsiTheme="minorEastAsia" w:eastAsiaTheme="minorEastAsia" w:cstheme="minorEastAsia"/>
          <w:color w:val="000000" w:themeColor="text1"/>
          <w:kern w:val="0"/>
          <w:szCs w:val="21"/>
        </w:rPr>
      </w:pPr>
      <w:r>
        <w:rPr>
          <w:rFonts w:hint="eastAsia" w:asciiTheme="minorEastAsia" w:hAnsiTheme="minorEastAsia" w:eastAsiaTheme="minorEastAsia" w:cstheme="minorEastAsia"/>
          <w:color w:val="000000" w:themeColor="text1"/>
          <w:kern w:val="0"/>
          <w:szCs w:val="21"/>
        </w:rPr>
        <w:t>本标准在整个制定过程中未发生重大分歧意见。</w:t>
      </w: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9 标准作为强制性或推荐性地方标准的建议</w:t>
      </w:r>
    </w:p>
    <w:p>
      <w:pPr>
        <w:spacing w:line="300" w:lineRule="auto"/>
        <w:ind w:firstLine="420" w:firstLineChars="200"/>
        <w:rPr>
          <w:rFonts w:ascii="宋体" w:hAnsi="宋体" w:cs="宋体"/>
          <w:color w:val="000000" w:themeColor="text1"/>
          <w:kern w:val="0"/>
          <w:szCs w:val="21"/>
        </w:rPr>
      </w:pPr>
      <w:r>
        <w:rPr>
          <w:rFonts w:hint="eastAsia" w:ascii="宋体" w:hAnsi="宋体" w:cs="宋体"/>
          <w:color w:val="000000" w:themeColor="text1"/>
          <w:kern w:val="0"/>
          <w:szCs w:val="21"/>
        </w:rPr>
        <w:t>本标准的发布实施，对我省矿山排土场灾害防范监测技术具有较强的指导作用，建议本标准作为推荐性的地方标准发布实施。</w:t>
      </w:r>
    </w:p>
    <w:p>
      <w:pPr>
        <w:spacing w:line="300" w:lineRule="auto"/>
        <w:rPr>
          <w:rFonts w:ascii="黑体" w:hAnsi="黑体" w:eastAsia="黑体" w:cs="黑体"/>
          <w:color w:val="000000" w:themeColor="text1"/>
          <w:sz w:val="24"/>
        </w:rPr>
      </w:pPr>
      <w:r>
        <w:rPr>
          <w:rFonts w:hint="eastAsia" w:ascii="黑体" w:hAnsi="黑体" w:eastAsia="黑体" w:cs="黑体"/>
          <w:color w:val="000000" w:themeColor="text1"/>
          <w:sz w:val="24"/>
        </w:rPr>
        <w:t>10 废止现行有关标准的建议</w:t>
      </w:r>
    </w:p>
    <w:p>
      <w:pPr>
        <w:spacing w:line="300" w:lineRule="auto"/>
        <w:ind w:firstLine="420" w:firstLineChars="200"/>
        <w:rPr>
          <w:rFonts w:ascii="宋体" w:hAnsi="宋体" w:cs="宋体"/>
          <w:color w:val="000000" w:themeColor="text1"/>
          <w:kern w:val="0"/>
          <w:szCs w:val="21"/>
        </w:rPr>
      </w:pPr>
      <w:r>
        <w:rPr>
          <w:rFonts w:hint="eastAsia" w:ascii="宋体" w:hAnsi="宋体" w:cs="宋体"/>
          <w:color w:val="000000" w:themeColor="text1"/>
          <w:kern w:val="0"/>
          <w:szCs w:val="21"/>
        </w:rPr>
        <w:t>本标准为首次制定，无废止现行有关标准的建议。</w:t>
      </w:r>
    </w:p>
    <w:p>
      <w:pPr>
        <w:spacing w:line="300" w:lineRule="auto"/>
        <w:rPr>
          <w:rFonts w:ascii="宋体" w:hAnsi="宋体" w:cs="宋体"/>
          <w:b/>
          <w:bCs/>
          <w:color w:val="000000" w:themeColor="text1"/>
          <w:sz w:val="24"/>
        </w:rPr>
      </w:pPr>
      <w:r>
        <w:rPr>
          <w:rFonts w:hint="eastAsia" w:ascii="黑体" w:hAnsi="黑体" w:eastAsia="黑体" w:cs="黑体"/>
          <w:color w:val="000000" w:themeColor="text1"/>
          <w:sz w:val="24"/>
        </w:rPr>
        <w:t>11 贯彻标准的要求和措施建议</w:t>
      </w:r>
    </w:p>
    <w:p>
      <w:pPr>
        <w:pStyle w:val="23"/>
        <w:spacing w:line="360" w:lineRule="auto"/>
        <w:ind w:firstLine="484" w:firstLineChars="202"/>
        <w:rPr>
          <w:color w:val="000000" w:themeColor="text1"/>
          <w:sz w:val="24"/>
        </w:rPr>
      </w:pPr>
      <w:r>
        <w:rPr>
          <w:color w:val="000000" w:themeColor="text1"/>
          <w:sz w:val="24"/>
        </w:rPr>
        <w:t>为保证标准的贯彻执行，具体要求如下：</w:t>
      </w:r>
    </w:p>
    <w:p>
      <w:pPr>
        <w:pStyle w:val="23"/>
        <w:spacing w:line="360" w:lineRule="auto"/>
        <w:ind w:firstLine="484" w:firstLineChars="202"/>
        <w:rPr>
          <w:color w:val="000000" w:themeColor="text1"/>
          <w:sz w:val="24"/>
        </w:rPr>
      </w:pPr>
      <w:r>
        <w:rPr>
          <w:color w:val="000000" w:themeColor="text1"/>
          <w:sz w:val="24"/>
        </w:rPr>
        <w:t>（1）对制订后的标准进行必要的宣传。首先要通过发文件、行业的各种媒体把标准介绍给各矿山排土场生产企业，还要按要求做好标淮的出版发行工作。</w:t>
      </w:r>
    </w:p>
    <w:p>
      <w:pPr>
        <w:pStyle w:val="23"/>
        <w:spacing w:line="360" w:lineRule="auto"/>
        <w:ind w:firstLine="484" w:firstLineChars="202"/>
        <w:rPr>
          <w:color w:val="000000" w:themeColor="text1"/>
          <w:sz w:val="24"/>
        </w:rPr>
      </w:pPr>
      <w:r>
        <w:rPr>
          <w:color w:val="000000" w:themeColor="text1"/>
          <w:sz w:val="24"/>
        </w:rPr>
        <w:t>（2）进行培训。首先要在矿山排土场生产企业的技术、管理人员中培养一批宣传贯彻标准的骨干。要请标准的制订者给他们讲解标准，使他们了解标准的技术特点，掌握标准的要领，从而成为矿山排土场生产企业贯彻标准的中坚力量。</w:t>
      </w:r>
    </w:p>
    <w:p>
      <w:pPr>
        <w:pStyle w:val="23"/>
        <w:spacing w:line="360" w:lineRule="auto"/>
        <w:ind w:firstLine="484" w:firstLineChars="202"/>
        <w:rPr>
          <w:color w:val="000000" w:themeColor="text1"/>
          <w:sz w:val="24"/>
        </w:rPr>
      </w:pPr>
      <w:r>
        <w:rPr>
          <w:color w:val="000000" w:themeColor="text1"/>
          <w:sz w:val="24"/>
        </w:rPr>
        <w:t>（3）大力推动各矿山排土场生产企业执行该标准，努力按标准的要求做。</w:t>
      </w:r>
    </w:p>
    <w:p>
      <w:pPr>
        <w:pStyle w:val="23"/>
        <w:spacing w:line="360" w:lineRule="auto"/>
        <w:ind w:firstLine="484" w:firstLineChars="202"/>
        <w:rPr>
          <w:color w:val="000000" w:themeColor="text1"/>
          <w:sz w:val="24"/>
        </w:rPr>
      </w:pPr>
      <w:r>
        <w:rPr>
          <w:color w:val="000000" w:themeColor="text1"/>
          <w:sz w:val="24"/>
        </w:rPr>
        <w:t>（4）注意实践中反馈的信息，不断总结，使标准在实践中不断得到检验。一旦标准落后于实践，就应对其进行修订完善。</w:t>
      </w:r>
    </w:p>
    <w:p>
      <w:pPr>
        <w:pStyle w:val="23"/>
        <w:spacing w:line="360" w:lineRule="auto"/>
        <w:ind w:firstLine="484" w:firstLineChars="202"/>
        <w:rPr>
          <w:color w:val="000000" w:themeColor="text1"/>
          <w:sz w:val="24"/>
        </w:rPr>
      </w:pPr>
      <w:bookmarkStart w:id="0" w:name="_Toc492898167"/>
      <w:bookmarkStart w:id="1" w:name="_Toc524354505"/>
      <w:bookmarkStart w:id="2" w:name="_Toc16783"/>
      <w:bookmarkStart w:id="3" w:name="_Toc260038325"/>
      <w:bookmarkStart w:id="4" w:name="_Toc492669257"/>
      <w:bookmarkStart w:id="5" w:name="_Toc1529"/>
      <w:bookmarkStart w:id="6" w:name="_Toc3629"/>
      <w:bookmarkStart w:id="7" w:name="_Toc29213"/>
      <w:bookmarkStart w:id="8" w:name="_Toc5884"/>
      <w:r>
        <w:rPr>
          <w:color w:val="000000" w:themeColor="text1"/>
          <w:sz w:val="24"/>
        </w:rPr>
        <w:t>标准实施</w:t>
      </w:r>
      <w:r>
        <w:rPr>
          <w:rFonts w:hint="eastAsia"/>
          <w:color w:val="000000" w:themeColor="text1"/>
          <w:sz w:val="24"/>
        </w:rPr>
        <w:t>的</w:t>
      </w:r>
      <w:r>
        <w:rPr>
          <w:color w:val="000000" w:themeColor="text1"/>
          <w:sz w:val="24"/>
        </w:rPr>
        <w:t>建议措施</w:t>
      </w:r>
      <w:bookmarkEnd w:id="0"/>
      <w:bookmarkEnd w:id="1"/>
      <w:bookmarkEnd w:id="2"/>
      <w:bookmarkEnd w:id="3"/>
      <w:bookmarkEnd w:id="4"/>
      <w:bookmarkEnd w:id="5"/>
      <w:bookmarkEnd w:id="6"/>
      <w:bookmarkEnd w:id="7"/>
      <w:bookmarkEnd w:id="8"/>
      <w:r>
        <w:rPr>
          <w:rFonts w:hint="eastAsia"/>
          <w:color w:val="000000" w:themeColor="text1"/>
          <w:sz w:val="24"/>
        </w:rPr>
        <w:t>如下：</w:t>
      </w:r>
    </w:p>
    <w:p>
      <w:pPr>
        <w:pStyle w:val="23"/>
        <w:spacing w:line="360" w:lineRule="auto"/>
        <w:ind w:firstLine="484" w:firstLineChars="202"/>
        <w:rPr>
          <w:color w:val="000000" w:themeColor="text1"/>
          <w:sz w:val="24"/>
        </w:rPr>
      </w:pPr>
      <w:r>
        <w:rPr>
          <w:color w:val="000000" w:themeColor="text1"/>
          <w:sz w:val="24"/>
        </w:rPr>
        <w:t>（1）各级人民政府安全生产监督管理部门负责监督实施该标准。</w:t>
      </w:r>
    </w:p>
    <w:p>
      <w:pPr>
        <w:pStyle w:val="23"/>
        <w:spacing w:line="360" w:lineRule="auto"/>
        <w:ind w:firstLine="484" w:firstLineChars="202"/>
        <w:rPr>
          <w:color w:val="000000" w:themeColor="text1"/>
          <w:sz w:val="24"/>
        </w:rPr>
      </w:pPr>
      <w:r>
        <w:rPr>
          <w:color w:val="000000" w:themeColor="text1"/>
          <w:sz w:val="24"/>
        </w:rPr>
        <w:t>（2）矿山排土场生产企业应当按照标准的要求组织培训，贯彻标准的实施。</w:t>
      </w:r>
    </w:p>
    <w:p>
      <w:pPr>
        <w:spacing w:before="156" w:line="300" w:lineRule="auto"/>
        <w:ind w:firstLine="560" w:firstLineChars="200"/>
        <w:rPr>
          <w:rFonts w:ascii="宋体" w:hAnsi="宋体" w:cs="宋体"/>
          <w:color w:val="000000" w:themeColor="text1"/>
          <w:kern w:val="0"/>
          <w:sz w:val="28"/>
          <w:szCs w:val="28"/>
        </w:rPr>
      </w:pPr>
    </w:p>
    <w:p>
      <w:pPr>
        <w:spacing w:before="156" w:line="300" w:lineRule="auto"/>
        <w:ind w:firstLine="560" w:firstLineChars="200"/>
        <w:rPr>
          <w:rFonts w:ascii="宋体" w:hAnsi="宋体" w:cs="宋体"/>
          <w:color w:val="000000" w:themeColor="text1"/>
          <w:kern w:val="0"/>
          <w:sz w:val="28"/>
          <w:szCs w:val="28"/>
        </w:rPr>
      </w:pPr>
    </w:p>
    <w:p>
      <w:pPr>
        <w:spacing w:before="156" w:line="300" w:lineRule="auto"/>
        <w:ind w:firstLine="560" w:firstLineChars="200"/>
        <w:rPr>
          <w:rFonts w:ascii="宋体" w:hAnsi="宋体" w:cs="宋体"/>
          <w:color w:val="000000" w:themeColor="text1"/>
          <w:kern w:val="0"/>
          <w:sz w:val="28"/>
          <w:szCs w:val="28"/>
        </w:rPr>
      </w:pPr>
    </w:p>
    <w:p>
      <w:pPr>
        <w:spacing w:before="156" w:line="300" w:lineRule="auto"/>
        <w:jc w:val="right"/>
        <w:rPr>
          <w:rFonts w:ascii="宋体" w:hAnsi="宋体" w:cs="宋体"/>
          <w:color w:val="000000" w:themeColor="text1"/>
          <w:kern w:val="0"/>
          <w:szCs w:val="21"/>
        </w:rPr>
      </w:pPr>
      <w:r>
        <w:rPr>
          <w:rFonts w:hint="eastAsia" w:ascii="宋体" w:hAnsi="宋体" w:cs="宋体"/>
          <w:color w:val="000000" w:themeColor="text1"/>
          <w:kern w:val="0"/>
          <w:szCs w:val="21"/>
        </w:rPr>
        <w:t>《矿山排土场灾害防范技术规范第1部分：监测》标准编制组</w:t>
      </w:r>
    </w:p>
    <w:p>
      <w:pPr>
        <w:spacing w:line="300" w:lineRule="auto"/>
        <w:ind w:firstLine="560" w:firstLineChars="200"/>
        <w:jc w:val="right"/>
        <w:rPr>
          <w:rFonts w:ascii="宋体" w:hAnsi="宋体" w:cs="宋体"/>
          <w:color w:val="000000" w:themeColor="text1"/>
          <w:kern w:val="0"/>
          <w:szCs w:val="21"/>
        </w:rPr>
        <w:sectPr>
          <w:footerReference r:id="rId5" w:type="first"/>
          <w:headerReference r:id="rId3" w:type="default"/>
          <w:footerReference r:id="rId4" w:type="default"/>
          <w:pgSz w:w="11906" w:h="16838"/>
          <w:pgMar w:top="1270" w:right="1800" w:bottom="1270" w:left="1800" w:header="851" w:footer="992" w:gutter="0"/>
          <w:cols w:space="0" w:num="1"/>
          <w:titlePg/>
          <w:docGrid w:type="lines" w:linePitch="312" w:charSpace="0"/>
        </w:sectPr>
      </w:pPr>
      <w:r>
        <w:rPr>
          <w:rFonts w:hint="eastAsia" w:ascii="宋体" w:hAnsi="宋体" w:cs="宋体"/>
          <w:color w:val="000000" w:themeColor="text1"/>
          <w:kern w:val="0"/>
          <w:sz w:val="28"/>
          <w:szCs w:val="28"/>
        </w:rPr>
        <w:t xml:space="preserve">                               </w:t>
      </w:r>
      <w:r>
        <w:rPr>
          <w:rFonts w:hint="eastAsia" w:ascii="宋体" w:hAnsi="宋体" w:cs="宋体"/>
          <w:color w:val="000000" w:themeColor="text1"/>
          <w:kern w:val="0"/>
          <w:szCs w:val="21"/>
        </w:rPr>
        <w:t xml:space="preserve"> 2018年12月20日</w:t>
      </w:r>
    </w:p>
    <w:p>
      <w:pPr>
        <w:spacing w:line="300" w:lineRule="auto"/>
        <w:ind w:firstLine="420" w:firstLineChars="200"/>
        <w:jc w:val="right"/>
        <w:rPr>
          <w:rFonts w:ascii="宋体" w:hAnsi="宋体" w:cs="宋体"/>
          <w:color w:val="000000" w:themeColor="text1"/>
          <w:kern w:val="0"/>
          <w:szCs w:val="21"/>
        </w:rPr>
      </w:pPr>
    </w:p>
    <w:p>
      <w:pPr>
        <w:rPr>
          <w:rFonts w:ascii="宋体" w:hAnsi="宋体" w:cs="宋体"/>
          <w:color w:val="000000" w:themeColor="text1"/>
          <w:szCs w:val="21"/>
        </w:rPr>
      </w:pPr>
      <w:r>
        <w:rPr>
          <w:rFonts w:hint="eastAsia" w:ascii="宋体" w:hAnsi="宋体" w:cs="宋体"/>
          <w:color w:val="000000" w:themeColor="text1"/>
          <w:szCs w:val="21"/>
        </w:rPr>
        <w:t>附件：</w:t>
      </w:r>
    </w:p>
    <w:p>
      <w:pPr>
        <w:spacing w:afterLines="50" w:line="300" w:lineRule="auto"/>
        <w:ind w:firstLine="420" w:firstLineChars="200"/>
        <w:jc w:val="center"/>
        <w:rPr>
          <w:rFonts w:ascii="宋体" w:hAnsi="宋体" w:cs="宋体"/>
          <w:color w:val="000000" w:themeColor="text1"/>
          <w:szCs w:val="21"/>
        </w:rPr>
      </w:pPr>
      <w:r>
        <w:rPr>
          <w:rFonts w:hint="eastAsia" w:ascii="宋体" w:hAnsi="宋体" w:cs="宋体"/>
          <w:color w:val="000000" w:themeColor="text1"/>
          <w:szCs w:val="21"/>
        </w:rPr>
        <w:t>《矿山排土场灾害防范技术规范 第1部分：监测》标准专家意见清单</w:t>
      </w:r>
    </w:p>
    <w:tbl>
      <w:tblPr>
        <w:tblStyle w:val="11"/>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1590"/>
        <w:gridCol w:w="6517"/>
        <w:gridCol w:w="1596"/>
        <w:gridCol w:w="3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blHeader/>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序号</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标准章条编号</w:t>
            </w:r>
          </w:p>
        </w:tc>
        <w:tc>
          <w:tcPr>
            <w:tcW w:w="651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意见内容</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提出单位（人）</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处理意见及理由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3.2</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删掉“建立安全管理机制”</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3.3</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删掉“行政许可”</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全体专家</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3</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3.5</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删掉“且符合GB/T 21061的要求”</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3.6</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整段改为“网上办事平台具有提供不限于信息公开、网上办理、民意互动等综合多项服务的功能。”</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全体专家</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5</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4.1.1</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“网上办事平台应具备公示基本信息功能并及时更新，包括但不限于以下内容”改为“网上办事平台应具备基本信息公开，并及时更新的功能，包括但不限于以下公开内容”</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全体专家</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6</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4.1.2</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“网上办事平台应具备公示行政许可事项办事指南功能并及时更新，包括但不限于以下内容”改为“网上办事平台应具备行政许可事项办事指南公开并及时更新的功能，包括但不限于以下公开内容”</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全体专家</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7</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4.1.2 d)</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“进驻办理事项的收费依据和收费标准；”单独列为项e)</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8</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4.1.3</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网上办事平台应具备向公众提供动态的、综合性的信息展现功能并及时更新，包括但不限于以下内容”改为“网上办事平台应具备向公众提供动态的、综合性的信息公开并及时更新的功能，包括但不限于以下公开内容”</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9</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4.1.3 b)</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“行政审批”改为“行政许可”</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张玉忠</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10</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标题删掉“服务”</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张玉忠</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11</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4.2.1</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“服务”改为“功能”</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陆明静</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12</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4.2.1 a)</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“姓名（单位名称）、身份证号码（统一社会信用代码）”改为“单位名称（姓名）、统一社会信用代码（身份证号码）”</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13</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4.2.1b)</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“以及查询网上办事平台的办理操作痕迹”改为“并查询其事项办理的信息”</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14</w:t>
            </w:r>
          </w:p>
        </w:tc>
        <w:tc>
          <w:tcPr>
            <w:tcW w:w="1590"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4.2.2</w:t>
            </w:r>
          </w:p>
        </w:tc>
        <w:tc>
          <w:tcPr>
            <w:tcW w:w="6517" w:type="dxa"/>
            <w:vAlign w:val="center"/>
          </w:tcPr>
          <w:p>
            <w:pPr>
              <w:spacing w:line="300" w:lineRule="auto"/>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申请人通过网上办事平台提交办事预约。网上预约需用户登录，可在网上办事平台、APP等渠道预约，选择预约窗口和事项、日期和时间段，预约申请提交后应给予明确提示是否成功。”改为“网上办事平台应具备网上预约功能提交办事预约，用户登录可通过选择预约窗口和事项、日期和时间段，提交预约申请后应具有是否预约成功的提示功能”</w:t>
            </w:r>
          </w:p>
        </w:tc>
        <w:tc>
          <w:tcPr>
            <w:tcW w:w="1596"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张玉忠</w:t>
            </w:r>
          </w:p>
        </w:tc>
        <w:tc>
          <w:tcPr>
            <w:tcW w:w="3744"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15</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4.2.3</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在“功能”前加上“申请”</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16</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4.2.3a)</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删掉“所有格式”和“并将网上申报的材料传送到相应行政许可服务系统”</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全体专家</w:t>
            </w:r>
          </w:p>
        </w:tc>
        <w:tc>
          <w:tcPr>
            <w:tcW w:w="3744"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17</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4.2.3b)</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“应将是否受理的决定在法定时限内反馈给用户”改为“法定时限将是否受理的决定反馈给用户”</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18</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4.2.3c)</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删掉该条</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全体专家</w:t>
            </w:r>
          </w:p>
        </w:tc>
        <w:tc>
          <w:tcPr>
            <w:tcW w:w="3744"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19</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4.2.3d)</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删掉“通过内部流转”</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张玉忠</w:t>
            </w:r>
          </w:p>
        </w:tc>
        <w:tc>
          <w:tcPr>
            <w:tcW w:w="3744"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20</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4.2.4</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删掉该条</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全体专家</w:t>
            </w:r>
          </w:p>
        </w:tc>
        <w:tc>
          <w:tcPr>
            <w:tcW w:w="3744" w:type="dxa"/>
            <w:vAlign w:val="center"/>
          </w:tcPr>
          <w:p>
            <w:pP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21</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4.2.5</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整段改为“审批人通过网上办事平台向申请人发出决定受理或者不予受理结果，或发出网上一次性告知通知书，要求申请人补正有关材料。”</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22</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4.2.6</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整段改为“应提供网上审查作出决定，并反馈审批决定的功能。”</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23</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4.2.7</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整段改为“应设立行政许可事项办理状态查询栏目，具有依据申请人信息、受理编号等方式查询的功能。”</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24</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4.3</w:t>
            </w:r>
          </w:p>
        </w:tc>
        <w:tc>
          <w:tcPr>
            <w:tcW w:w="6517" w:type="dxa"/>
            <w:vAlign w:val="center"/>
          </w:tcPr>
          <w:p>
            <w:pPr>
              <w:pStyle w:val="18"/>
              <w:widowControl w:val="0"/>
              <w:numPr>
                <w:ilvl w:val="0"/>
                <w:numId w:val="0"/>
              </w:numPr>
              <w:jc w:val="both"/>
              <w:rPr>
                <w:rFonts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rPr>
              <w:t>整段改为“网上办事平台应具有以下互动交流功能：</w:t>
            </w:r>
          </w:p>
          <w:p>
            <w:pPr>
              <w:pStyle w:val="21"/>
              <w:widowControl w:val="0"/>
              <w:numPr>
                <w:ilvl w:val="0"/>
                <w:numId w:val="0"/>
              </w:numP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a)应提供在线咨询和回复离线咨询；</w:t>
            </w:r>
          </w:p>
          <w:p>
            <w:pPr>
              <w:pStyle w:val="21"/>
              <w:widowControl w:val="0"/>
              <w:numPr>
                <w:ilvl w:val="0"/>
                <w:numId w:val="0"/>
              </w:numP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b)应设立政务信箱、征集调查、服务热线、留言评论等；</w:t>
            </w:r>
          </w:p>
          <w:p>
            <w:pPr>
              <w:pStyle w:val="21"/>
              <w:widowControl w:val="0"/>
              <w:numPr>
                <w:ilvl w:val="0"/>
                <w:numId w:val="0"/>
              </w:numPr>
              <w:rPr>
                <w:rFonts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c)应具有知识库提供问题查询。”</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25</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4.4</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删掉“4.4.1”和“4.4.3”改为“应具有网上监督投诉申请受理及处理结果反馈及查询功能。”</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26</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4.5</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“DB52/T 1258”改为“GB/T 21061”</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邵建平</w:t>
            </w:r>
          </w:p>
        </w:tc>
        <w:tc>
          <w:tcPr>
            <w:tcW w:w="374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7" w:type="dxa"/>
            <w:vAlign w:val="center"/>
          </w:tcPr>
          <w:p>
            <w:pPr>
              <w:spacing w:line="300" w:lineRule="auto"/>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27</w:t>
            </w:r>
          </w:p>
        </w:tc>
        <w:tc>
          <w:tcPr>
            <w:tcW w:w="1590"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4.5g)</w:t>
            </w:r>
          </w:p>
        </w:tc>
        <w:tc>
          <w:tcPr>
            <w:tcW w:w="6517" w:type="dxa"/>
            <w:vAlign w:val="center"/>
          </w:tcPr>
          <w:p>
            <w:pPr>
              <w:widowControl/>
              <w:spacing w:line="384" w:lineRule="atLeas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删掉该条</w:t>
            </w:r>
          </w:p>
        </w:tc>
        <w:tc>
          <w:tcPr>
            <w:tcW w:w="1596" w:type="dxa"/>
            <w:vAlign w:val="center"/>
          </w:tcPr>
          <w:p>
            <w:pPr>
              <w:widowControl/>
              <w:jc w:val="center"/>
              <w:textAlignment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全体专家</w:t>
            </w:r>
          </w:p>
        </w:tc>
        <w:tc>
          <w:tcPr>
            <w:tcW w:w="3744" w:type="dxa"/>
            <w:vAlign w:val="center"/>
          </w:tcPr>
          <w:p>
            <w:pPr>
              <w:jc w:val="center"/>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已按照所提出的的意见进行修改完善</w:t>
            </w:r>
          </w:p>
        </w:tc>
      </w:tr>
    </w:tbl>
    <w:p>
      <w:pPr>
        <w:spacing w:line="300" w:lineRule="auto"/>
        <w:ind w:firstLine="420" w:firstLineChars="200"/>
        <w:rPr>
          <w:rFonts w:ascii="宋体" w:hAnsi="宋体" w:cs="宋体"/>
          <w:color w:val="000000" w:themeColor="text1"/>
          <w:kern w:val="0"/>
          <w:szCs w:val="21"/>
        </w:rPr>
      </w:pPr>
    </w:p>
    <w:p>
      <w:pPr>
        <w:rPr>
          <w:color w:val="000000" w:themeColor="text1"/>
        </w:rPr>
      </w:pPr>
    </w:p>
    <w:sectPr>
      <w:pgSz w:w="16838" w:h="11906" w:orient="landscape"/>
      <w:pgMar w:top="1800" w:right="1270" w:bottom="1800" w:left="1270" w:header="851" w:footer="992" w:gutter="0"/>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28951"/>
      <w:docPartObj>
        <w:docPartGallery w:val="autotext"/>
      </w:docPartObj>
    </w:sdtPr>
    <w:sdtContent>
      <w:p>
        <w:pPr>
          <w:pStyle w:val="7"/>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19"/>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371E4A40"/>
    <w:multiLevelType w:val="multilevel"/>
    <w:tmpl w:val="371E4A40"/>
    <w:lvl w:ilvl="0" w:tentative="0">
      <w:start w:val="1"/>
      <w:numFmt w:val="lowerLetter"/>
      <w:pStyle w:val="21"/>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lvlText w:val="%2)"/>
      <w:lvlJc w:val="left"/>
      <w:pPr>
        <w:tabs>
          <w:tab w:val="left" w:pos="1259"/>
        </w:tabs>
        <w:ind w:left="1259" w:hanging="420"/>
      </w:pPr>
      <w:rPr>
        <w:rFonts w:hint="eastAsia" w:ascii="宋体" w:hAnsi="宋体" w:eastAsia="宋体"/>
        <w:b w:val="0"/>
        <w:i w:val="0"/>
        <w:sz w:val="20"/>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3397"/>
    <w:rsid w:val="00015778"/>
    <w:rsid w:val="0009307B"/>
    <w:rsid w:val="00145C6E"/>
    <w:rsid w:val="00172A27"/>
    <w:rsid w:val="0022746C"/>
    <w:rsid w:val="00254FC5"/>
    <w:rsid w:val="00260C0E"/>
    <w:rsid w:val="002B68A3"/>
    <w:rsid w:val="00360A4D"/>
    <w:rsid w:val="0036528C"/>
    <w:rsid w:val="005465FE"/>
    <w:rsid w:val="005545BD"/>
    <w:rsid w:val="005E1027"/>
    <w:rsid w:val="006861FC"/>
    <w:rsid w:val="006909C4"/>
    <w:rsid w:val="007C7142"/>
    <w:rsid w:val="007F71CC"/>
    <w:rsid w:val="0081714A"/>
    <w:rsid w:val="0089008E"/>
    <w:rsid w:val="00AF121A"/>
    <w:rsid w:val="00B02E1A"/>
    <w:rsid w:val="00B4108F"/>
    <w:rsid w:val="00B7553D"/>
    <w:rsid w:val="00BB3271"/>
    <w:rsid w:val="00C11830"/>
    <w:rsid w:val="00CE5884"/>
    <w:rsid w:val="00D0539A"/>
    <w:rsid w:val="00E07884"/>
    <w:rsid w:val="00E349F0"/>
    <w:rsid w:val="00FD5C01"/>
    <w:rsid w:val="0B714423"/>
    <w:rsid w:val="1535161D"/>
    <w:rsid w:val="1E89088A"/>
    <w:rsid w:val="220B3B6F"/>
    <w:rsid w:val="228F399E"/>
    <w:rsid w:val="30F15A8F"/>
    <w:rsid w:val="407614DC"/>
    <w:rsid w:val="4C7C6E40"/>
    <w:rsid w:val="583912E5"/>
    <w:rsid w:val="658B2A7B"/>
    <w:rsid w:val="66611D26"/>
    <w:rsid w:val="693B0635"/>
    <w:rsid w:val="74120D90"/>
    <w:rsid w:val="74A91CA4"/>
    <w:rsid w:val="79C2204B"/>
    <w:rsid w:val="7DE2503E"/>
    <w:rsid w:val="7E7F4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6" w:lineRule="auto"/>
      <w:jc w:val="center"/>
      <w:outlineLvl w:val="0"/>
    </w:pPr>
    <w:rPr>
      <w:rFonts w:ascii="Calibri" w:hAnsi="Calibri" w:eastAsia="黑体"/>
      <w:b/>
      <w:kern w:val="44"/>
      <w:sz w:val="44"/>
    </w:rPr>
  </w:style>
  <w:style w:type="paragraph" w:styleId="3">
    <w:name w:val="heading 2"/>
    <w:basedOn w:val="1"/>
    <w:next w:val="1"/>
    <w:link w:val="15"/>
    <w:semiHidden/>
    <w:unhideWhenUsed/>
    <w:qFormat/>
    <w:uiPriority w:val="0"/>
    <w:pPr>
      <w:keepNext/>
      <w:keepLines/>
      <w:jc w:val="center"/>
      <w:outlineLvl w:val="1"/>
    </w:pPr>
    <w:rPr>
      <w:rFonts w:ascii="Arial" w:hAnsi="Arial" w:eastAsia="黑体"/>
      <w:b/>
      <w:bCs/>
      <w:sz w:val="32"/>
      <w:szCs w:val="32"/>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4">
    <w:name w:val="Document Map"/>
    <w:basedOn w:val="1"/>
    <w:link w:val="25"/>
    <w:uiPriority w:val="0"/>
    <w:rPr>
      <w:rFonts w:ascii="宋体"/>
      <w:sz w:val="18"/>
      <w:szCs w:val="18"/>
    </w:rPr>
  </w:style>
  <w:style w:type="paragraph" w:styleId="5">
    <w:name w:val="annotation text"/>
    <w:basedOn w:val="1"/>
    <w:uiPriority w:val="0"/>
    <w:pPr>
      <w:jc w:val="left"/>
    </w:pPr>
  </w:style>
  <w:style w:type="paragraph" w:styleId="6">
    <w:name w:val="Balloon Text"/>
    <w:basedOn w:val="1"/>
    <w:link w:val="24"/>
    <w:uiPriority w:val="0"/>
    <w:rPr>
      <w:sz w:val="18"/>
      <w:szCs w:val="18"/>
    </w:rPr>
  </w:style>
  <w:style w:type="paragraph" w:styleId="7">
    <w:name w:val="footer"/>
    <w:basedOn w:val="1"/>
    <w:link w:val="26"/>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qFormat/>
    <w:uiPriority w:val="0"/>
    <w:rPr>
      <w:sz w:val="21"/>
      <w:szCs w:val="21"/>
    </w:rPr>
  </w:style>
  <w:style w:type="paragraph" w:customStyle="1" w:styleId="12">
    <w:name w:val="第二级"/>
    <w:basedOn w:val="1"/>
    <w:uiPriority w:val="0"/>
    <w:pPr>
      <w:spacing w:line="480" w:lineRule="auto"/>
      <w:jc w:val="center"/>
    </w:pPr>
    <w:rPr>
      <w:rFonts w:ascii="Calibri" w:hAnsi="Calibri" w:eastAsia="黑体"/>
      <w:sz w:val="36"/>
    </w:rPr>
  </w:style>
  <w:style w:type="paragraph" w:customStyle="1" w:styleId="13">
    <w:name w:val="第三极"/>
    <w:basedOn w:val="1"/>
    <w:link w:val="16"/>
    <w:qFormat/>
    <w:uiPriority w:val="0"/>
    <w:pPr>
      <w:ind w:left="735" w:leftChars="350"/>
      <w:jc w:val="left"/>
    </w:pPr>
    <w:rPr>
      <w:rFonts w:eastAsia="仿宋gb2312"/>
      <w:b/>
      <w:sz w:val="32"/>
    </w:rPr>
  </w:style>
  <w:style w:type="character" w:customStyle="1" w:styleId="14">
    <w:name w:val="标题 1 Char"/>
    <w:link w:val="2"/>
    <w:qFormat/>
    <w:uiPriority w:val="0"/>
    <w:rPr>
      <w:rFonts w:ascii="Calibri" w:hAnsi="Calibri" w:eastAsia="黑体" w:cs="Times New Roman"/>
      <w:b/>
      <w:kern w:val="44"/>
      <w:sz w:val="44"/>
    </w:rPr>
  </w:style>
  <w:style w:type="character" w:customStyle="1" w:styleId="15">
    <w:name w:val="标题 2 Char"/>
    <w:link w:val="3"/>
    <w:uiPriority w:val="0"/>
    <w:rPr>
      <w:rFonts w:ascii="Arial" w:hAnsi="Arial" w:eastAsia="黑体" w:cs="Times New Roman"/>
      <w:b/>
      <w:bCs/>
      <w:sz w:val="32"/>
      <w:szCs w:val="32"/>
    </w:rPr>
  </w:style>
  <w:style w:type="character" w:customStyle="1" w:styleId="16">
    <w:name w:val="第三极 Char"/>
    <w:link w:val="13"/>
    <w:uiPriority w:val="0"/>
    <w:rPr>
      <w:rFonts w:eastAsia="仿宋gb2312"/>
      <w:b/>
      <w:sz w:val="32"/>
    </w:rPr>
  </w:style>
  <w:style w:type="paragraph" w:customStyle="1" w:styleId="1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8">
    <w:name w:val="二级无"/>
    <w:basedOn w:val="19"/>
    <w:qFormat/>
    <w:uiPriority w:val="0"/>
    <w:pPr>
      <w:spacing w:beforeLines="0" w:afterLines="0"/>
    </w:pPr>
    <w:rPr>
      <w:rFonts w:ascii="宋体" w:eastAsia="宋体"/>
    </w:rPr>
  </w:style>
  <w:style w:type="paragraph" w:customStyle="1" w:styleId="19">
    <w:name w:val="二级条标题"/>
    <w:basedOn w:val="20"/>
    <w:next w:val="17"/>
    <w:qFormat/>
    <w:uiPriority w:val="0"/>
    <w:pPr>
      <w:numPr>
        <w:ilvl w:val="2"/>
      </w:numPr>
      <w:spacing w:before="50" w:after="50"/>
      <w:outlineLvl w:val="3"/>
    </w:pPr>
  </w:style>
  <w:style w:type="paragraph" w:customStyle="1" w:styleId="20">
    <w:name w:val="一级条标题"/>
    <w:next w:val="17"/>
    <w:qFormat/>
    <w:uiPriority w:val="0"/>
    <w:pPr>
      <w:numPr>
        <w:ilvl w:val="1"/>
        <w:numId w:val="1"/>
      </w:numPr>
      <w:spacing w:beforeLines="50" w:afterLines="50"/>
      <w:outlineLvl w:val="2"/>
    </w:pPr>
    <w:rPr>
      <w:rFonts w:ascii="黑体" w:eastAsia="黑体" w:hAnsiTheme="minorHAnsi" w:cstheme="minorBidi"/>
      <w:sz w:val="21"/>
      <w:szCs w:val="21"/>
      <w:lang w:val="en-US" w:eastAsia="zh-CN" w:bidi="ar-SA"/>
    </w:rPr>
  </w:style>
  <w:style w:type="paragraph" w:customStyle="1" w:styleId="21">
    <w:name w:val="字母编号列项（一级）"/>
    <w:qFormat/>
    <w:uiPriority w:val="0"/>
    <w:pPr>
      <w:numPr>
        <w:ilvl w:val="0"/>
        <w:numId w:val="2"/>
      </w:numPr>
      <w:jc w:val="both"/>
    </w:pPr>
    <w:rPr>
      <w:rFonts w:ascii="宋体" w:hAnsiTheme="minorHAnsi" w:eastAsiaTheme="minorEastAsia" w:cstheme="minorBidi"/>
      <w:sz w:val="21"/>
      <w:szCs w:val="22"/>
      <w:lang w:val="en-US" w:eastAsia="zh-CN" w:bidi="ar-SA"/>
    </w:rPr>
  </w:style>
  <w:style w:type="paragraph" w:customStyle="1" w:styleId="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styleId="23">
    <w:name w:val="List Paragraph"/>
    <w:basedOn w:val="1"/>
    <w:qFormat/>
    <w:uiPriority w:val="34"/>
    <w:pPr>
      <w:ind w:firstLine="420" w:firstLineChars="200"/>
    </w:pPr>
  </w:style>
  <w:style w:type="character" w:customStyle="1" w:styleId="24">
    <w:name w:val="批注框文本 Char"/>
    <w:basedOn w:val="9"/>
    <w:link w:val="6"/>
    <w:uiPriority w:val="0"/>
    <w:rPr>
      <w:kern w:val="2"/>
      <w:sz w:val="18"/>
      <w:szCs w:val="18"/>
    </w:rPr>
  </w:style>
  <w:style w:type="character" w:customStyle="1" w:styleId="25">
    <w:name w:val="文档结构图 Char"/>
    <w:basedOn w:val="9"/>
    <w:link w:val="4"/>
    <w:uiPriority w:val="0"/>
    <w:rPr>
      <w:rFonts w:ascii="宋体"/>
      <w:kern w:val="2"/>
      <w:sz w:val="18"/>
      <w:szCs w:val="18"/>
    </w:rPr>
  </w:style>
  <w:style w:type="character" w:customStyle="1" w:styleId="26">
    <w:name w:val="页脚 Char"/>
    <w:basedOn w:val="9"/>
    <w:link w:val="7"/>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9</Pages>
  <Words>1091</Words>
  <Characters>6220</Characters>
  <Lines>51</Lines>
  <Paragraphs>14</Paragraphs>
  <TotalTime>8</TotalTime>
  <ScaleCrop>false</ScaleCrop>
  <LinksUpToDate>false</LinksUpToDate>
  <CharactersWithSpaces>7297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2018-12-21T04:39:00Z</dcterms:created>
  <dc:creator>训兵</dc:creator>
  <cp:lastModifiedBy>al</cp:lastModifiedBy>
  <dcterms:modified xsi:type="dcterms:W3CDTF">2018-12-24T07:26:13Z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