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贵州山地猕猴桃果园</w:t>
      </w:r>
    </w:p>
    <w:p>
      <w:pPr>
        <w:jc w:val="center"/>
        <w:rPr>
          <w:sz w:val="44"/>
          <w:szCs w:val="44"/>
        </w:rPr>
      </w:pPr>
      <w:r>
        <w:rPr>
          <w:rFonts w:hint="eastAsia"/>
          <w:sz w:val="44"/>
          <w:szCs w:val="44"/>
        </w:rPr>
        <w:t>信息采集与远程控制应用技术规程</w:t>
      </w:r>
    </w:p>
    <w:p>
      <w:pPr>
        <w:jc w:val="center"/>
        <w:rPr>
          <w:sz w:val="44"/>
          <w:szCs w:val="44"/>
        </w:rPr>
      </w:pPr>
      <w:r>
        <w:rPr>
          <w:rFonts w:hint="eastAsia"/>
          <w:sz w:val="44"/>
          <w:szCs w:val="44"/>
        </w:rPr>
        <w:t>编制说明</w:t>
      </w:r>
    </w:p>
    <w:p>
      <w:pPr>
        <w:rPr>
          <w:b/>
          <w:bCs/>
          <w:sz w:val="28"/>
          <w:szCs w:val="28"/>
        </w:rPr>
      </w:pPr>
    </w:p>
    <w:p>
      <w:pPr>
        <w:rPr>
          <w:b/>
          <w:bCs/>
          <w:sz w:val="28"/>
          <w:szCs w:val="28"/>
        </w:rPr>
      </w:pP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一、标准制定背景</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随着科学技术的日新月异，现代通讯技术的迅猛发展，物联网控制技术在各个领域得到了广泛应用，农业现代也随之发展起来，信息采集与远程控制具有广泛的应用需求和巨大的产业发展空间。世界主要发达国家都从国家战略高度来大力推动监控与数据采集的发展，我国政府也高度重视监控与数据采集的发展，正在把信息采集与远程控制作为国家战略性新兴产业来积极推动发展。把信息采集与远程控制技术应用在猕猴桃的种植、管养上是技术发展的必然结果。</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利用信息采集与远程控制技术将猕猴桃的各生长要素发送至远方的管理者或猕猴桃的采购食用者，使管理者实时呵护好猕猴桃的生长，提高其产量的质量，使广大食用者放心食到生态环保的猕猴桃。</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该标准的制定，规范了猕猴桃的信息采集、信息传输、信息采集与远程控制；远程管理等，可减少猕猴桃养护的劳动力，提高猕猴桃产量，增加猕猴桃品质。</w:t>
      </w:r>
    </w:p>
    <w:p>
      <w:pPr>
        <w:spacing w:line="440" w:lineRule="exact"/>
        <w:rPr>
          <w:rFonts w:ascii="宋体" w:hAnsi="Times New Roman" w:cs="Times New Roman"/>
          <w:sz w:val="24"/>
          <w:szCs w:val="24"/>
        </w:rPr>
      </w:pPr>
      <w:r>
        <w:rPr>
          <w:rFonts w:hint="eastAsia" w:ascii="宋体" w:hAnsi="Times New Roman" w:cs="Times New Roman"/>
          <w:sz w:val="24"/>
          <w:szCs w:val="24"/>
        </w:rPr>
        <w:t>为了进一步规范猕猴桃信息采集与远程控制技术方法，依据国家标准和有关规定，结合我省实际，特制订《贵州山地猕猴桃果园物联网应用技术规程》。</w:t>
      </w:r>
    </w:p>
    <w:p>
      <w:pPr>
        <w:pStyle w:val="72"/>
        <w:spacing w:line="500" w:lineRule="exact"/>
        <w:ind w:firstLine="0" w:firstLineChars="0"/>
        <w:outlineLvl w:val="0"/>
        <w:rPr>
          <w:rFonts w:ascii="Times New Roman" w:eastAsia="黑体"/>
          <w:sz w:val="24"/>
        </w:rPr>
      </w:pPr>
      <w:r>
        <w:rPr>
          <w:rFonts w:hint="eastAsia" w:ascii="Times New Roman" w:eastAsia="黑体"/>
          <w:kern w:val="2"/>
          <w:sz w:val="24"/>
          <w:szCs w:val="24"/>
        </w:rPr>
        <w:t>二</w:t>
      </w:r>
      <w:r>
        <w:rPr>
          <w:rFonts w:ascii="Times New Roman" w:eastAsia="黑体"/>
          <w:kern w:val="2"/>
          <w:sz w:val="24"/>
          <w:szCs w:val="24"/>
        </w:rPr>
        <w:t>、</w:t>
      </w:r>
      <w:r>
        <w:rPr>
          <w:rFonts w:hint="eastAsia" w:ascii="Times New Roman" w:eastAsia="黑体"/>
          <w:kern w:val="2"/>
          <w:sz w:val="24"/>
          <w:szCs w:val="24"/>
        </w:rPr>
        <w:t>本标准</w:t>
      </w:r>
      <w:r>
        <w:rPr>
          <w:rFonts w:ascii="Times New Roman" w:eastAsia="黑体"/>
          <w:kern w:val="2"/>
          <w:sz w:val="24"/>
          <w:szCs w:val="24"/>
        </w:rPr>
        <w:t>的主要起草单位及人员</w:t>
      </w:r>
    </w:p>
    <w:p>
      <w:pPr>
        <w:spacing w:line="360" w:lineRule="auto"/>
        <w:ind w:firstLine="720" w:firstLineChars="300"/>
        <w:rPr>
          <w:sz w:val="24"/>
        </w:rPr>
      </w:pPr>
      <w:r>
        <w:rPr>
          <w:sz w:val="24"/>
        </w:rPr>
        <w:t xml:space="preserve">表2-1 </w:t>
      </w:r>
      <w:r>
        <w:rPr>
          <w:rFonts w:hint="eastAsia"/>
          <w:sz w:val="24"/>
        </w:rPr>
        <w:t>《贵州山地猕猴桃果园物联网应用技术规程》</w:t>
      </w:r>
      <w:r>
        <w:rPr>
          <w:sz w:val="24"/>
        </w:rPr>
        <w:t>主要起草单位及人员一览表</w:t>
      </w:r>
    </w:p>
    <w:tbl>
      <w:tblPr>
        <w:tblStyle w:val="19"/>
        <w:tblW w:w="8522" w:type="dxa"/>
        <w:jc w:val="center"/>
        <w:tblLayout w:type="fixed"/>
        <w:tblCellMar>
          <w:top w:w="0" w:type="dxa"/>
          <w:left w:w="108" w:type="dxa"/>
          <w:bottom w:w="0" w:type="dxa"/>
          <w:right w:w="108" w:type="dxa"/>
        </w:tblCellMar>
      </w:tblPr>
      <w:tblGrid>
        <w:gridCol w:w="2787"/>
        <w:gridCol w:w="1803"/>
        <w:gridCol w:w="2459"/>
        <w:gridCol w:w="1473"/>
      </w:tblGrid>
      <w:tr>
        <w:tblPrEx>
          <w:tblCellMar>
            <w:top w:w="0" w:type="dxa"/>
            <w:left w:w="108" w:type="dxa"/>
            <w:bottom w:w="0" w:type="dxa"/>
            <w:right w:w="108" w:type="dxa"/>
          </w:tblCellMar>
        </w:tblPrEx>
        <w:trPr>
          <w:trHeight w:val="540" w:hRule="atLeast"/>
          <w:tblHeader/>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b/>
                <w:kern w:val="0"/>
                <w:szCs w:val="21"/>
              </w:rPr>
            </w:pPr>
            <w:r>
              <w:rPr>
                <w:b/>
                <w:kern w:val="0"/>
                <w:szCs w:val="21"/>
              </w:rPr>
              <w:t>主要起草单位</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b/>
                <w:kern w:val="0"/>
                <w:szCs w:val="21"/>
              </w:rPr>
            </w:pPr>
            <w:r>
              <w:rPr>
                <w:b/>
                <w:kern w:val="0"/>
                <w:szCs w:val="21"/>
              </w:rPr>
              <w:t>主要起草人员</w:t>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b/>
                <w:kern w:val="0"/>
                <w:szCs w:val="21"/>
              </w:rPr>
            </w:pPr>
            <w:r>
              <w:rPr>
                <w:b/>
                <w:kern w:val="0"/>
                <w:szCs w:val="21"/>
              </w:rPr>
              <w:t>职称</w:t>
            </w:r>
            <w:r>
              <w:rPr>
                <w:rFonts w:hint="eastAsia"/>
                <w:b/>
                <w:kern w:val="0"/>
                <w:szCs w:val="21"/>
              </w:rPr>
              <w:t>或职称</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b/>
                <w:kern w:val="0"/>
                <w:szCs w:val="21"/>
              </w:rPr>
            </w:pPr>
            <w:r>
              <w:rPr>
                <w:b/>
                <w:kern w:val="0"/>
                <w:szCs w:val="21"/>
              </w:rPr>
              <w:t>任务分工</w:t>
            </w:r>
          </w:p>
        </w:tc>
      </w:tr>
      <w:tr>
        <w:tblPrEx>
          <w:tblCellMar>
            <w:top w:w="0" w:type="dxa"/>
            <w:left w:w="108" w:type="dxa"/>
            <w:bottom w:w="0" w:type="dxa"/>
            <w:right w:w="108" w:type="dxa"/>
          </w:tblCellMar>
        </w:tblPrEx>
        <w:trPr>
          <w:trHeight w:val="419"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贵州省农业农村厅</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葛 磊</w:t>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高级</w:t>
            </w:r>
            <w:r>
              <w:rPr>
                <w:kern w:val="0"/>
                <w:szCs w:val="21"/>
              </w:rPr>
              <w:t>工程师</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标准起草</w:t>
            </w:r>
          </w:p>
        </w:tc>
      </w:tr>
      <w:tr>
        <w:tblPrEx>
          <w:tblCellMar>
            <w:top w:w="0" w:type="dxa"/>
            <w:left w:w="108" w:type="dxa"/>
            <w:bottom w:w="0" w:type="dxa"/>
            <w:right w:w="108" w:type="dxa"/>
          </w:tblCellMar>
        </w:tblPrEx>
        <w:trPr>
          <w:trHeight w:val="419"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贵阳市农业试验中心</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王 媛</w:t>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研究生</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标准起草</w:t>
            </w:r>
          </w:p>
        </w:tc>
      </w:tr>
      <w:tr>
        <w:tblPrEx>
          <w:tblCellMar>
            <w:top w:w="0" w:type="dxa"/>
            <w:left w:w="108" w:type="dxa"/>
            <w:bottom w:w="0" w:type="dxa"/>
            <w:right w:w="108" w:type="dxa"/>
          </w:tblCellMar>
        </w:tblPrEx>
        <w:trPr>
          <w:trHeight w:val="411"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贵阳市农业试验中心</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 xml:space="preserve">廖敏会 </w:t>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农艺师</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实地调查</w:t>
            </w:r>
          </w:p>
        </w:tc>
      </w:tr>
      <w:tr>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贵州泰云祥科技有限公司</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张 鑑</w:t>
            </w:r>
            <w:r>
              <w:rPr>
                <w:rFonts w:hint="eastAsia"/>
                <w:kern w:val="0"/>
                <w:szCs w:val="21"/>
              </w:rPr>
              <w:tab/>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董事长</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标准起草</w:t>
            </w:r>
          </w:p>
        </w:tc>
      </w:tr>
      <w:tr>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贵州仟益佰联大数据有限公司</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陈勇</w:t>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经理</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实地调查</w:t>
            </w:r>
          </w:p>
        </w:tc>
      </w:tr>
      <w:tr>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贵州泰云祥科技有限公司</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黄 政</w:t>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高级工程师</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实地调查</w:t>
            </w:r>
          </w:p>
        </w:tc>
      </w:tr>
      <w:tr>
        <w:tblPrEx>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贵州省信息与计算机科学重点实验室</w:t>
            </w:r>
          </w:p>
        </w:tc>
        <w:tc>
          <w:tcPr>
            <w:tcW w:w="180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 xml:space="preserve"> 陈 彦</w:t>
            </w:r>
          </w:p>
        </w:tc>
        <w:tc>
          <w:tcPr>
            <w:tcW w:w="2459"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副教授</w:t>
            </w:r>
          </w:p>
        </w:tc>
        <w:tc>
          <w:tcPr>
            <w:tcW w:w="1473" w:type="dxa"/>
            <w:tcBorders>
              <w:top w:val="single" w:color="000000" w:sz="8" w:space="0"/>
              <w:left w:val="nil"/>
              <w:bottom w:val="single" w:color="000000" w:sz="8" w:space="0"/>
              <w:right w:val="single" w:color="000000" w:sz="8" w:space="0"/>
            </w:tcBorders>
            <w:vAlign w:val="center"/>
          </w:tcPr>
          <w:p>
            <w:pPr>
              <w:widowControl/>
              <w:adjustRightInd w:val="0"/>
              <w:snapToGrid w:val="0"/>
              <w:spacing w:line="240" w:lineRule="exact"/>
              <w:rPr>
                <w:kern w:val="0"/>
                <w:szCs w:val="21"/>
              </w:rPr>
            </w:pPr>
            <w:r>
              <w:rPr>
                <w:rFonts w:hint="eastAsia"/>
                <w:kern w:val="0"/>
                <w:szCs w:val="21"/>
              </w:rPr>
              <w:t>实地调查</w:t>
            </w:r>
          </w:p>
        </w:tc>
      </w:tr>
    </w:tbl>
    <w:p>
      <w:pPr>
        <w:pStyle w:val="2"/>
      </w:pPr>
    </w:p>
    <w:p>
      <w:pPr>
        <w:pStyle w:val="2"/>
      </w:pP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三、标准起草制订过程</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2017年5月至9月，编制单位全面收集、整理、分析、研究国内外相关技术资料及相关标准，确定标准的主要技术内容。2017年5月-6月，编制小组先后召开了5次标准讨论会，征求了相关部门专家的意见。2017年8月24日，在综合分析、研究相关资料及数据的基础上，编制小组对技术要素、标准的主要结构和内容进行了确定，完成了地方标准征求意见稿，并广泛征求意见。2017年9月、12月和2018年2月、4月、6月、8月、9月，根据贵州省标准化院的审查意见，编制小组进行了8次修改完善。</w:t>
      </w: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四、标准编写的原则</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1、编写原则</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1）准确性：标准制定以提高信息采集与远程控制速度稳定性、准确性，通过猕猴桃生长环境，生长参数的跟踪，实时观注猕猴桃的生长，发育趋势，管理者通过远程手段实现对猕猴桃的喷水、滴水、施肥，阳光等干预，提高猕猴桃产量和品质为目的。</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2）遵行科学性、先进性、生态环保性，整个系统中，可以把数据都送到中控部分来完成；也可以将一些需要及时处理的，如温度控制等，直接由现场控制来完成。系统通常分为中央控制单元和分布的现场控制单元，中央控制单元由工业控制计算机实现，现场控制单元则由高可靠、抗干扰的工业级微控制器和与当前控制需求相配套的附加电路模块组成。</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3）整体性、协调性：依托微控制器的实时处理能力可以完成对现场植物生长进行实时调节控制，并且通过总线实现现场控制单元与中央控制单元进行数据交换，使植物生长过程表现出整体性、协调性，从而优化产品品质。</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（4）规范性：标准力求做到科学规范、采集准确，控制精准、适用性强，既与国家行业标准接轨又符合贵州省情。</w:t>
      </w:r>
    </w:p>
    <w:p>
      <w:pPr>
        <w:pStyle w:val="72"/>
        <w:spacing w:line="360" w:lineRule="auto"/>
        <w:ind w:firstLine="480"/>
        <w:rPr>
          <w:rFonts w:ascii="Times New Roman"/>
          <w:sz w:val="24"/>
        </w:rPr>
      </w:pPr>
      <w:r>
        <w:rPr>
          <w:rFonts w:hint="eastAsia"/>
          <w:sz w:val="24"/>
          <w:szCs w:val="24"/>
        </w:rPr>
        <w:t>（5）、</w:t>
      </w:r>
      <w:r>
        <w:rPr>
          <w:rFonts w:ascii="Times New Roman"/>
          <w:sz w:val="24"/>
        </w:rPr>
        <w:t>适用性  标准内容易于实施，便于被其它文件所引用且具可操作性。</w:t>
      </w:r>
    </w:p>
    <w:p>
      <w:pPr>
        <w:pStyle w:val="2"/>
      </w:pPr>
      <w:r>
        <w:rPr>
          <w:rFonts w:hint="eastAsia"/>
        </w:rPr>
        <w:t>2、依据</w:t>
      </w:r>
    </w:p>
    <w:p>
      <w:pPr>
        <w:pStyle w:val="2"/>
        <w:ind w:firstLine="480" w:firstLineChars="200"/>
        <w:rPr>
          <w:rFonts w:ascii="宋体" w:hAnsi="Times New Roman" w:cs="Times New Roman"/>
          <w:sz w:val="24"/>
          <w:szCs w:val="24"/>
        </w:rPr>
      </w:pPr>
      <w:r>
        <w:rPr>
          <w:rFonts w:hint="eastAsia" w:ascii="宋体" w:hAnsi="Times New Roman" w:cs="Times New Roman"/>
          <w:sz w:val="24"/>
          <w:szCs w:val="24"/>
        </w:rPr>
        <w:t>本标准按照 GB/T1.1—2009给出的规则编写。 参考《GB/T 31491-2015无线网络访问控制技术规范》。《无源无线智能控制系统技术规程》（CECS296：2011）《GB/T15629.2—2008 信息技术系统间远程通信和信息交换 》 。</w:t>
      </w: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 xml:space="preserve"> 五、标准主要内容</w:t>
      </w:r>
    </w:p>
    <w:p>
      <w:pPr>
        <w:spacing w:line="440" w:lineRule="exact"/>
        <w:ind w:firstLine="480" w:firstLineChars="200"/>
        <w:rPr>
          <w:rFonts w:ascii="宋体" w:hAnsi="Times New Roman" w:cs="Times New Roman"/>
          <w:sz w:val="24"/>
          <w:szCs w:val="24"/>
        </w:rPr>
      </w:pP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1、范围：贵州山地猕猴桃果园物联网应用技术应用的基本要求、基本功能、设计要求、系统安装、系统验收、系统维护</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2.术语及名词解释</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 xml:space="preserve">   规范了术语引用，根据正文需要对术语进行了解释。</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3.基本规定</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统一果蔬工程中信息采集与远程控制技术应用的技术要求，以利于正确选型、安装和使用，本规程适用于新建、改建和扩建的猕猴桃园果蔬工程中的喷水、滴水、施肥、照明、空调风机盘管、遮阳等终端设备的智能控制。贵州猕猴桃园中信息采集与远程控制技术应用的设计、选型、安装、验收和维护， 系统功能。物联网技术应用控制系统所采用四种控制方式，抗干扰水平，辐射强，系统基本功能要求，系统组件。</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4、系统设计：阐述了系统的一般规定和设计要求。</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5、系统安装：系统安装的一般规定和安装要求。</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6、系统验收：一般规定和验收要求。</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7、系统维护：规定 了系统维护周期，维护内容及检验内容。</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8、操作和技术指标：本规程中操作和技术指标主要是根据成熟的工业控制技术和物连网控制技术形成，随着网络信息的发展，本规程应及时修编以适应新技术的发展。借鉴了正安茶园远程控制实施的经验。主要参考了</w:t>
      </w:r>
      <w:bookmarkStart w:id="0" w:name="_GoBack"/>
      <w:bookmarkEnd w:id="0"/>
      <w:r>
        <w:rPr>
          <w:rFonts w:hint="eastAsia" w:ascii="宋体" w:hAnsi="Times New Roman" w:cs="Times New Roman"/>
          <w:sz w:val="24"/>
          <w:szCs w:val="24"/>
          <w:lang w:eastAsia="zh-CN"/>
        </w:rPr>
        <w:t>中华人民共和国工业和信息化部</w:t>
      </w:r>
      <w:r>
        <w:rPr>
          <w:rFonts w:hint="eastAsia" w:ascii="宋体" w:hAnsi="Times New Roman" w:cs="Times New Roman"/>
          <w:sz w:val="24"/>
          <w:szCs w:val="24"/>
        </w:rPr>
        <w:t>《工业控制系统信息安全标准》，《HFYK-S106 手机控制操作使用说明书》。</w:t>
      </w: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六、相关主要条款的说明</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 xml:space="preserve"> 1、远程五遥</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参考文献及课题组多年试验结果，借鉴工业远程控制成熟的五遥经验，实现山地猕猴桃园的遥控、遥视、遥测、遥调、遥信。</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 xml:space="preserve"> 2、IP40、IP50：外壳的防护等级。</w:t>
      </w:r>
    </w:p>
    <w:p>
      <w:pPr>
        <w:spacing w:line="440" w:lineRule="exact"/>
        <w:ind w:firstLine="720" w:firstLineChars="300"/>
        <w:rPr>
          <w:rFonts w:ascii="宋体" w:hAnsi="Times New Roman" w:cs="Times New Roman"/>
          <w:sz w:val="24"/>
          <w:szCs w:val="24"/>
        </w:rPr>
      </w:pPr>
      <w:r>
        <w:rPr>
          <w:rFonts w:hint="eastAsia" w:ascii="宋体" w:hAnsi="Times New Roman" w:cs="Times New Roman"/>
          <w:sz w:val="24"/>
          <w:szCs w:val="24"/>
        </w:rPr>
        <w:t>对电气设备外壳防护等级进行分类的系统。由欧洲电子技术标准化委员会提出，电气设备外壳防护等级被分成很多类，根据不同的号码，能够迅速方便的确定产品的防护等级。</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代码IP40 ：</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IP 表明这是标准型的：</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4--表明固体中的防护等级，防直径为1mm 甚至更大的固体固体颗粒物物体尖端或1mm 直径的固体颗粒物完全不能穿透。</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0-表明液体中的防护等级，0--无防护</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代码IP50 ：</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IP 表明这是标准型的：</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5--灰尘防护尘埃进入并不能完全防止，但不会达到妨碍仪器正常运转及降低安全性的程度。</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0-表明液体中的防护等级，0--无防护</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3、PM2.5、PM10、PM100：</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PM X是指大气中直径小于或等于X微米的颗粒物,也称为可入肺颗粒物。虽然PM X只是地球大气成分中含量很少的组分,但它对空气质量和能见度等有重要的影响。其中，与较粗的大气颗粒物相比,PM2.5粒径小,富含大量的有毒、有害物质且在大气中的停留时间长、输送距离远,因而对人体健康和大气环境质量的影响更大。</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4、抗干扰</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抗干扰是指电气设备或机械设备对外界声音、噪声、磁场、无线信号的抵抗能力。本规程中主要指智能控制设备对外界磁场、无线信号、噪声的对抗能力。</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5、现场自动控制系统</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将现场自动化元件的信号采集至现场控制可编程控制器、根据现场猕猴桃园特点和开入、开入量的多少，选择恰当的可编程控制器；并将现场采集的信息能通过收发器发送至接收者（手机或电脑），能接收智能控制者（手机或电脑）通过物联系统发送的遥视、遥信、遥测、遥调、遥控等命令。</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6、物联网控制技术</w:t>
      </w:r>
    </w:p>
    <w:p>
      <w:pPr>
        <w:spacing w:line="440" w:lineRule="exact"/>
        <w:ind w:firstLine="480" w:firstLineChars="200"/>
        <w:rPr>
          <w:rFonts w:ascii="宋体" w:hAnsi="Times New Roman" w:cs="Times New Roman"/>
          <w:sz w:val="24"/>
          <w:szCs w:val="24"/>
        </w:rPr>
      </w:pPr>
      <w:r>
        <w:rPr>
          <w:rFonts w:hint="eastAsia" w:ascii="宋体" w:hAnsi="Times New Roman" w:cs="Times New Roman"/>
          <w:sz w:val="24"/>
          <w:szCs w:val="24"/>
        </w:rPr>
        <w:t xml:space="preserve"> 通过现代通信技术，利用无线的网络，实现对控制对象的运行信息（模拟量、开关量）、环境信息、图像信息采集；通过无线技术远方控制、远方调整、远方修改等实现对就地对象的最优管理。</w:t>
      </w:r>
    </w:p>
    <w:p>
      <w:pPr>
        <w:pStyle w:val="2"/>
        <w:rPr>
          <w:rFonts w:ascii="宋体" w:hAnsi="宋体" w:cs="宋体"/>
          <w:sz w:val="21"/>
          <w:szCs w:val="21"/>
        </w:rPr>
      </w:pPr>
      <w:r>
        <w:rPr>
          <w:rFonts w:hint="eastAsia" w:ascii="宋体" w:hAnsi="Times New Roman" w:cs="Times New Roman"/>
          <w:sz w:val="24"/>
          <w:szCs w:val="24"/>
        </w:rPr>
        <w:t>7、</w:t>
      </w:r>
      <w:r>
        <w:rPr>
          <w:rFonts w:hint="eastAsia" w:ascii="宋体" w:hAnsi="宋体" w:cs="宋体"/>
          <w:sz w:val="21"/>
          <w:szCs w:val="21"/>
        </w:rPr>
        <w:t>网关：</w:t>
      </w:r>
    </w:p>
    <w:p>
      <w:pPr>
        <w:pStyle w:val="2"/>
        <w:rPr>
          <w:rFonts w:ascii="宋体" w:hAnsi="宋体" w:cs="宋体"/>
          <w:sz w:val="21"/>
          <w:szCs w:val="21"/>
        </w:rPr>
      </w:pPr>
      <w:r>
        <w:rPr>
          <w:rFonts w:hint="eastAsia" w:ascii="宋体" w:hAnsi="宋体" w:cs="宋体"/>
          <w:sz w:val="21"/>
          <w:szCs w:val="21"/>
        </w:rPr>
        <w:t>对接、整合、控制、转发信息等功能。</w:t>
      </w:r>
    </w:p>
    <w:p>
      <w:pPr>
        <w:pStyle w:val="5"/>
        <w:numPr>
          <w:ilvl w:val="0"/>
          <w:numId w:val="1"/>
        </w:numPr>
        <w:ind w:firstLine="960" w:firstLineChars="400"/>
        <w:rPr>
          <w:rFonts w:ascii="宋体" w:hAnsi="Times New Roman" w:cs="Times New Roman"/>
          <w:b w:val="0"/>
          <w:bCs w:val="0"/>
          <w:sz w:val="24"/>
          <w:szCs w:val="24"/>
        </w:rPr>
      </w:pPr>
      <w:r>
        <w:rPr>
          <w:rFonts w:hint="eastAsia" w:ascii="宋体" w:hAnsi="Times New Roman" w:cs="Times New Roman"/>
          <w:b w:val="0"/>
          <w:bCs w:val="0"/>
          <w:sz w:val="24"/>
          <w:szCs w:val="24"/>
        </w:rPr>
        <w:t>系统验收</w:t>
      </w:r>
    </w:p>
    <w:p>
      <w:r>
        <w:rPr>
          <w:rFonts w:hint="eastAsia"/>
        </w:rPr>
        <w:t xml:space="preserve">        包含对就地设备、信息传输设备、远程管理平台等的验收。</w:t>
      </w:r>
    </w:p>
    <w:p>
      <w:pPr>
        <w:ind w:firstLine="960" w:firstLineChars="400"/>
      </w:pPr>
      <w:r>
        <w:rPr>
          <w:rFonts w:hint="eastAsia" w:ascii="宋体" w:hAnsi="Times New Roman" w:cs="Times New Roman"/>
          <w:sz w:val="24"/>
          <w:szCs w:val="24"/>
        </w:rPr>
        <w:t>9、</w:t>
      </w:r>
      <w:r>
        <w:rPr>
          <w:rFonts w:hint="eastAsia" w:ascii="宋体" w:hAnsi="宋体" w:cs="宋体"/>
          <w:szCs w:val="21"/>
        </w:rPr>
        <w:t>验收要求</w:t>
      </w:r>
    </w:p>
    <w:p>
      <w:pPr>
        <w:spacing w:before="66"/>
        <w:ind w:right="-20"/>
        <w:rPr>
          <w:rFonts w:ascii="宋体" w:hAnsi="宋体" w:cs="宋体"/>
          <w:szCs w:val="21"/>
        </w:rPr>
      </w:pPr>
      <w:r>
        <w:rPr>
          <w:rFonts w:hint="eastAsia" w:ascii="宋体" w:hAnsi="宋体" w:cs="宋体"/>
          <w:szCs w:val="21"/>
        </w:rPr>
        <w:t xml:space="preserve">        系统各组件的安装位置、施工质量、系统功能的设计要求。</w:t>
      </w:r>
    </w:p>
    <w:p>
      <w:pPr>
        <w:numPr>
          <w:ilvl w:val="0"/>
          <w:numId w:val="2"/>
        </w:numPr>
        <w:spacing w:line="440" w:lineRule="exact"/>
        <w:rPr>
          <w:rFonts w:ascii="黑体" w:eastAsia="黑体"/>
          <w:b/>
          <w:bCs/>
          <w:sz w:val="24"/>
          <w:szCs w:val="24"/>
        </w:rPr>
      </w:pPr>
      <w:r>
        <w:rPr>
          <w:rFonts w:hint="eastAsia" w:ascii="黑体" w:eastAsia="黑体"/>
          <w:b/>
          <w:bCs/>
          <w:sz w:val="24"/>
          <w:szCs w:val="24"/>
        </w:rPr>
        <w:t>规范的应用、验证情况</w:t>
      </w:r>
    </w:p>
    <w:p>
      <w:pPr>
        <w:spacing w:line="440" w:lineRule="exact"/>
        <w:ind w:firstLine="480" w:firstLineChars="200"/>
        <w:rPr>
          <w:rFonts w:ascii="宋体"/>
          <w:sz w:val="24"/>
          <w:szCs w:val="24"/>
        </w:rPr>
      </w:pPr>
      <w:r>
        <w:rPr>
          <w:rFonts w:hint="eastAsia" w:ascii="宋体"/>
          <w:sz w:val="24"/>
          <w:szCs w:val="24"/>
        </w:rPr>
        <w:t>2017年5月起正安和溪镇生态果园实施350亩信息采集与远程控制，实现远程喷灌及信息采集。其中有猕猴桃、</w:t>
      </w:r>
      <w:r>
        <w:rPr>
          <w:rFonts w:hint="eastAsia" w:eastAsia="仿宋_GB2312"/>
          <w:sz w:val="28"/>
          <w:szCs w:val="28"/>
        </w:rPr>
        <w:t>葡萄、梨、红橙、桃等</w:t>
      </w:r>
      <w:r>
        <w:rPr>
          <w:rFonts w:hint="eastAsia" w:ascii="宋体"/>
          <w:sz w:val="24"/>
          <w:szCs w:val="24"/>
        </w:rPr>
        <w:t>，远程控制使用合格率100%。</w:t>
      </w:r>
    </w:p>
    <w:p>
      <w:pPr>
        <w:spacing w:line="440" w:lineRule="exact"/>
        <w:ind w:firstLine="480" w:firstLineChars="200"/>
        <w:rPr>
          <w:rFonts w:ascii="宋体"/>
          <w:sz w:val="24"/>
          <w:szCs w:val="24"/>
        </w:rPr>
      </w:pPr>
      <w:r>
        <w:rPr>
          <w:rFonts w:hint="eastAsia" w:ascii="宋体"/>
          <w:sz w:val="24"/>
          <w:szCs w:val="24"/>
        </w:rPr>
        <w:t>2017年9月在正安简平铁皮食斛远程控制中使用，控制面积23个大棚，使用情况良好，现场控制及远程控制均正确。</w:t>
      </w:r>
    </w:p>
    <w:p>
      <w:pPr>
        <w:spacing w:line="440" w:lineRule="exact"/>
        <w:ind w:firstLine="480" w:firstLineChars="200"/>
        <w:rPr>
          <w:rFonts w:ascii="宋体"/>
          <w:sz w:val="24"/>
          <w:szCs w:val="24"/>
        </w:rPr>
      </w:pPr>
      <w:r>
        <w:rPr>
          <w:rFonts w:hint="eastAsia" w:ascii="宋体"/>
          <w:sz w:val="24"/>
          <w:szCs w:val="24"/>
        </w:rPr>
        <w:t>2018年10月应用于湄潭50亩茶园，有效的节约的人员维护。</w:t>
      </w:r>
    </w:p>
    <w:p>
      <w:pPr>
        <w:spacing w:line="440" w:lineRule="exact"/>
        <w:ind w:firstLine="480" w:firstLineChars="200"/>
        <w:rPr>
          <w:rFonts w:ascii="宋体"/>
          <w:sz w:val="24"/>
          <w:szCs w:val="24"/>
        </w:rPr>
      </w:pPr>
      <w:r>
        <w:rPr>
          <w:rFonts w:hint="eastAsia" w:ascii="宋体"/>
          <w:sz w:val="24"/>
          <w:szCs w:val="24"/>
        </w:rPr>
        <w:t>经过多年的实践，培训果农及技术员300多人(次)。</w:t>
      </w: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八、重大意见分歧的处理依据和结果</w:t>
      </w:r>
    </w:p>
    <w:p>
      <w:pPr>
        <w:rPr>
          <w:bCs/>
          <w:sz w:val="32"/>
          <w:szCs w:val="32"/>
        </w:rPr>
      </w:pPr>
      <w:r>
        <w:rPr>
          <w:rFonts w:hint="eastAsia"/>
          <w:bCs/>
          <w:sz w:val="32"/>
          <w:szCs w:val="32"/>
        </w:rPr>
        <w:t xml:space="preserve"> </w:t>
      </w:r>
      <w:r>
        <w:rPr>
          <w:rFonts w:hint="eastAsia" w:ascii="宋体" w:hAnsi="Times New Roman" w:cs="Times New Roman"/>
          <w:sz w:val="24"/>
          <w:szCs w:val="24"/>
        </w:rPr>
        <w:t xml:space="preserve"> 本标准编写过程中没有重大意见分歧。</w:t>
      </w: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九、作为推荐性标准的建议</w:t>
      </w:r>
    </w:p>
    <w:p>
      <w:pPr>
        <w:rPr>
          <w:rFonts w:ascii="宋体" w:hAnsi="Times New Roman" w:cs="Times New Roman"/>
          <w:sz w:val="24"/>
          <w:szCs w:val="24"/>
        </w:rPr>
      </w:pPr>
      <w:r>
        <w:rPr>
          <w:rFonts w:hint="eastAsia"/>
          <w:bCs/>
          <w:sz w:val="32"/>
          <w:szCs w:val="32"/>
        </w:rPr>
        <w:t xml:space="preserve"> </w:t>
      </w:r>
      <w:r>
        <w:rPr>
          <w:rFonts w:hint="eastAsia" w:ascii="宋体" w:hAnsi="Times New Roman" w:cs="Times New Roman"/>
          <w:sz w:val="24"/>
          <w:szCs w:val="24"/>
        </w:rPr>
        <w:t xml:space="preserve">  该标准根据国家相关标准修编，结合信息化技术和无线技术的新技术，应用于猕猴桃的生长监测和运行维护管养，具有较大的现实意义或经济价值，建议作为贵州省地方性标准颁布实施。并建议推广应用其他农作物。</w:t>
      </w:r>
    </w:p>
    <w:p>
      <w:pPr>
        <w:spacing w:line="440" w:lineRule="exact"/>
        <w:rPr>
          <w:rFonts w:ascii="黑体" w:hAnsi="Times New Roman" w:eastAsia="黑体" w:cs="Times New Roman"/>
          <w:b/>
          <w:bCs/>
          <w:sz w:val="24"/>
          <w:szCs w:val="24"/>
        </w:rPr>
      </w:pPr>
      <w:r>
        <w:rPr>
          <w:rFonts w:hint="eastAsia" w:ascii="黑体" w:hAnsi="Times New Roman" w:eastAsia="黑体" w:cs="Times New Roman"/>
          <w:b/>
          <w:bCs/>
          <w:sz w:val="24"/>
          <w:szCs w:val="24"/>
        </w:rPr>
        <w:t>十、贯彻标准的措施建议</w:t>
      </w:r>
    </w:p>
    <w:p>
      <w:pPr>
        <w:ind w:firstLine="480" w:firstLineChars="200"/>
        <w:rPr>
          <w:rFonts w:ascii="宋体" w:hAnsi="Times New Roman" w:cs="Times New Roman"/>
          <w:sz w:val="24"/>
          <w:szCs w:val="24"/>
        </w:rPr>
      </w:pPr>
      <w:r>
        <w:rPr>
          <w:rFonts w:hint="eastAsia" w:ascii="宋体" w:hAnsi="Times New Roman" w:cs="Times New Roman"/>
          <w:sz w:val="24"/>
          <w:szCs w:val="24"/>
        </w:rPr>
        <w:t>本标准发布后，建议组织省内猕猴桃产区相关技术人员、生产企业、合作社、工程建设人员等及时进行宣传培训，定期对执行情况总结、考评。</w:t>
      </w:r>
    </w:p>
    <w:p>
      <w:pPr>
        <w:rPr>
          <w:rFonts w:ascii="宋体" w:hAnsi="Times New Roman" w:cs="Times New Roman"/>
          <w:sz w:val="24"/>
          <w:szCs w:val="24"/>
        </w:rPr>
      </w:pPr>
    </w:p>
    <w:p>
      <w:pPr>
        <w:ind w:firstLine="960" w:firstLineChars="300"/>
        <w:rPr>
          <w:bCs/>
          <w:sz w:val="32"/>
          <w:szCs w:val="32"/>
        </w:rPr>
      </w:pPr>
    </w:p>
    <w:p>
      <w:pPr>
        <w:rPr>
          <w:bCs/>
          <w:sz w:val="32"/>
          <w:szCs w:val="32"/>
        </w:rPr>
      </w:pPr>
    </w:p>
    <w:p>
      <w:pPr>
        <w:rPr>
          <w:bCs/>
          <w:sz w:val="32"/>
          <w:szCs w:val="32"/>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color w:val="000000"/>
          <w:sz w:val="120"/>
        </w:rPr>
      </w:pPr>
    </w:p>
    <w:p>
      <w:pPr>
        <w:pStyle w:val="38"/>
        <w:framePr w:wrap="around"/>
        <w:spacing w:line="1120" w:lineRule="exact"/>
        <w:rPr>
          <w:sz w:val="44"/>
          <w:szCs w:val="44"/>
        </w:rPr>
      </w:pPr>
      <w:r>
        <w:rPr>
          <w:rFonts w:hint="eastAsia"/>
          <w:color w:val="000000"/>
          <w:sz w:val="120"/>
        </w:rPr>
        <w:t>D</w:t>
      </w:r>
      <w:r>
        <w:rPr>
          <w:color w:val="000000"/>
          <w:sz w:val="120"/>
        </w:rPr>
        <w:t>B</w:t>
      </w:r>
    </w:p>
    <w:p>
      <w:pPr>
        <w:pStyle w:val="39"/>
        <w:spacing w:line="520" w:lineRule="exact"/>
        <w:rPr>
          <w:b/>
        </w:rPr>
      </w:pPr>
      <w:r>
        <w:rPr>
          <w:rFonts w:hint="eastAsia"/>
          <w:b/>
        </w:rPr>
        <w:t xml:space="preserve">     </w:t>
      </w:r>
    </w:p>
    <w:p>
      <w:pPr>
        <w:pStyle w:val="39"/>
        <w:spacing w:line="520" w:lineRule="exact"/>
        <w:rPr>
          <w:b/>
        </w:rPr>
      </w:pPr>
    </w:p>
    <w:p>
      <w:pPr>
        <w:pStyle w:val="39"/>
        <w:spacing w:line="520" w:lineRule="exact"/>
        <w:rPr>
          <w:b/>
        </w:rPr>
      </w:pPr>
    </w:p>
    <w:p>
      <w:pPr>
        <w:pStyle w:val="39"/>
        <w:spacing w:line="520" w:lineRule="exact"/>
        <w:rPr>
          <w:b/>
        </w:rPr>
      </w:pPr>
    </w:p>
    <w:p>
      <w:pPr>
        <w:pStyle w:val="39"/>
        <w:spacing w:line="520" w:lineRule="exact"/>
        <w:rPr>
          <w:b/>
        </w:rPr>
      </w:pPr>
    </w:p>
    <w:p>
      <w:pPr>
        <w:rPr>
          <w:rFonts w:ascii="宋体" w:hAnsi="宋体" w:cs="宋体"/>
          <w:szCs w:val="21"/>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PingFang SC">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8A4D7B"/>
    <w:multiLevelType w:val="singleLevel"/>
    <w:tmpl w:val="C78A4D7B"/>
    <w:lvl w:ilvl="0" w:tentative="0">
      <w:start w:val="8"/>
      <w:numFmt w:val="decimal"/>
      <w:suff w:val="nothing"/>
      <w:lvlText w:val="%1、"/>
      <w:lvlJc w:val="left"/>
    </w:lvl>
  </w:abstractNum>
  <w:abstractNum w:abstractNumId="1">
    <w:nsid w:val="27DFEA92"/>
    <w:multiLevelType w:val="singleLevel"/>
    <w:tmpl w:val="27DFEA92"/>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1NTkwYjAyNjVlY2I5YWVhZjVjNzA5ODlhYTMxZDkifQ=="/>
  </w:docVars>
  <w:rsids>
    <w:rsidRoot w:val="00A4279E"/>
    <w:rsid w:val="000050E8"/>
    <w:rsid w:val="000071A4"/>
    <w:rsid w:val="000123AD"/>
    <w:rsid w:val="00023066"/>
    <w:rsid w:val="000256C5"/>
    <w:rsid w:val="00026612"/>
    <w:rsid w:val="000676AD"/>
    <w:rsid w:val="000676E9"/>
    <w:rsid w:val="00081906"/>
    <w:rsid w:val="000A7DF4"/>
    <w:rsid w:val="000B2A52"/>
    <w:rsid w:val="000C67FB"/>
    <w:rsid w:val="00137638"/>
    <w:rsid w:val="001726BE"/>
    <w:rsid w:val="0019039A"/>
    <w:rsid w:val="00197B47"/>
    <w:rsid w:val="001A0650"/>
    <w:rsid w:val="001B5266"/>
    <w:rsid w:val="001C350D"/>
    <w:rsid w:val="00204E95"/>
    <w:rsid w:val="002067D2"/>
    <w:rsid w:val="00217BDD"/>
    <w:rsid w:val="00220544"/>
    <w:rsid w:val="00227269"/>
    <w:rsid w:val="002A33CD"/>
    <w:rsid w:val="002B6FDF"/>
    <w:rsid w:val="002C1C75"/>
    <w:rsid w:val="002D0E07"/>
    <w:rsid w:val="002D194F"/>
    <w:rsid w:val="002D6A49"/>
    <w:rsid w:val="00304048"/>
    <w:rsid w:val="00306AB3"/>
    <w:rsid w:val="00317907"/>
    <w:rsid w:val="00353FE4"/>
    <w:rsid w:val="00355924"/>
    <w:rsid w:val="003814CC"/>
    <w:rsid w:val="003C4170"/>
    <w:rsid w:val="003D318A"/>
    <w:rsid w:val="003D63C8"/>
    <w:rsid w:val="003E4DE9"/>
    <w:rsid w:val="00407853"/>
    <w:rsid w:val="00410EBE"/>
    <w:rsid w:val="0041732D"/>
    <w:rsid w:val="00425D48"/>
    <w:rsid w:val="00440E1C"/>
    <w:rsid w:val="004473F2"/>
    <w:rsid w:val="004560CF"/>
    <w:rsid w:val="00472B78"/>
    <w:rsid w:val="004804BC"/>
    <w:rsid w:val="0049373F"/>
    <w:rsid w:val="004A1017"/>
    <w:rsid w:val="004A1297"/>
    <w:rsid w:val="004A52C6"/>
    <w:rsid w:val="004C7DFF"/>
    <w:rsid w:val="004E3CC3"/>
    <w:rsid w:val="004E440E"/>
    <w:rsid w:val="004F1449"/>
    <w:rsid w:val="00521496"/>
    <w:rsid w:val="0055206B"/>
    <w:rsid w:val="005616C6"/>
    <w:rsid w:val="00571F8E"/>
    <w:rsid w:val="00581FE5"/>
    <w:rsid w:val="00585E1F"/>
    <w:rsid w:val="0059711F"/>
    <w:rsid w:val="005C4F99"/>
    <w:rsid w:val="00603594"/>
    <w:rsid w:val="00605D1A"/>
    <w:rsid w:val="006201AA"/>
    <w:rsid w:val="006446AA"/>
    <w:rsid w:val="00654D58"/>
    <w:rsid w:val="00661B4A"/>
    <w:rsid w:val="00674824"/>
    <w:rsid w:val="006776CB"/>
    <w:rsid w:val="00691891"/>
    <w:rsid w:val="006D063A"/>
    <w:rsid w:val="006E63E7"/>
    <w:rsid w:val="006F31EE"/>
    <w:rsid w:val="006F3CA8"/>
    <w:rsid w:val="007125E0"/>
    <w:rsid w:val="00713B1B"/>
    <w:rsid w:val="007207A0"/>
    <w:rsid w:val="0072670E"/>
    <w:rsid w:val="00727103"/>
    <w:rsid w:val="007329B5"/>
    <w:rsid w:val="0075202D"/>
    <w:rsid w:val="007553BE"/>
    <w:rsid w:val="00760211"/>
    <w:rsid w:val="00760350"/>
    <w:rsid w:val="00773AC3"/>
    <w:rsid w:val="0079334D"/>
    <w:rsid w:val="0079473A"/>
    <w:rsid w:val="007B1484"/>
    <w:rsid w:val="008026BE"/>
    <w:rsid w:val="00810729"/>
    <w:rsid w:val="00822AB7"/>
    <w:rsid w:val="008325F8"/>
    <w:rsid w:val="008651FE"/>
    <w:rsid w:val="00866E8D"/>
    <w:rsid w:val="00871970"/>
    <w:rsid w:val="00876946"/>
    <w:rsid w:val="0089767A"/>
    <w:rsid w:val="008B5585"/>
    <w:rsid w:val="008D38B7"/>
    <w:rsid w:val="00954F23"/>
    <w:rsid w:val="009715F0"/>
    <w:rsid w:val="00976842"/>
    <w:rsid w:val="009A064B"/>
    <w:rsid w:val="009A5052"/>
    <w:rsid w:val="009B3689"/>
    <w:rsid w:val="009C4740"/>
    <w:rsid w:val="009C48F4"/>
    <w:rsid w:val="009C79FA"/>
    <w:rsid w:val="00A13653"/>
    <w:rsid w:val="00A2027F"/>
    <w:rsid w:val="00A2407E"/>
    <w:rsid w:val="00A24E79"/>
    <w:rsid w:val="00A34398"/>
    <w:rsid w:val="00A4279E"/>
    <w:rsid w:val="00A93F16"/>
    <w:rsid w:val="00AA4A92"/>
    <w:rsid w:val="00AB4A84"/>
    <w:rsid w:val="00AC0609"/>
    <w:rsid w:val="00AE5125"/>
    <w:rsid w:val="00B02AB7"/>
    <w:rsid w:val="00B5586E"/>
    <w:rsid w:val="00B648D9"/>
    <w:rsid w:val="00B723D0"/>
    <w:rsid w:val="00B91FED"/>
    <w:rsid w:val="00BE5BD7"/>
    <w:rsid w:val="00C01CDF"/>
    <w:rsid w:val="00C0280F"/>
    <w:rsid w:val="00C04BE3"/>
    <w:rsid w:val="00C05515"/>
    <w:rsid w:val="00C27673"/>
    <w:rsid w:val="00C30146"/>
    <w:rsid w:val="00C36EB6"/>
    <w:rsid w:val="00C4687D"/>
    <w:rsid w:val="00C46900"/>
    <w:rsid w:val="00C55B32"/>
    <w:rsid w:val="00C61104"/>
    <w:rsid w:val="00C67843"/>
    <w:rsid w:val="00C71E52"/>
    <w:rsid w:val="00C8111C"/>
    <w:rsid w:val="00CC3128"/>
    <w:rsid w:val="00CD364A"/>
    <w:rsid w:val="00CE511D"/>
    <w:rsid w:val="00CF00DF"/>
    <w:rsid w:val="00CF2A3B"/>
    <w:rsid w:val="00D1766C"/>
    <w:rsid w:val="00D40A37"/>
    <w:rsid w:val="00D6358F"/>
    <w:rsid w:val="00D73C3F"/>
    <w:rsid w:val="00D762BA"/>
    <w:rsid w:val="00D9317A"/>
    <w:rsid w:val="00DA3DE6"/>
    <w:rsid w:val="00DC1F28"/>
    <w:rsid w:val="00DD3ADD"/>
    <w:rsid w:val="00E1125D"/>
    <w:rsid w:val="00E1451D"/>
    <w:rsid w:val="00E26BC5"/>
    <w:rsid w:val="00E3272C"/>
    <w:rsid w:val="00E35E5C"/>
    <w:rsid w:val="00E43122"/>
    <w:rsid w:val="00E660AA"/>
    <w:rsid w:val="00E75C6E"/>
    <w:rsid w:val="00E84D09"/>
    <w:rsid w:val="00E953D4"/>
    <w:rsid w:val="00EB65D7"/>
    <w:rsid w:val="00EF079C"/>
    <w:rsid w:val="00F53C75"/>
    <w:rsid w:val="00F63E56"/>
    <w:rsid w:val="00F80FFD"/>
    <w:rsid w:val="00F827AF"/>
    <w:rsid w:val="00F9380D"/>
    <w:rsid w:val="00FA7EA8"/>
    <w:rsid w:val="00FD0171"/>
    <w:rsid w:val="00FE3D20"/>
    <w:rsid w:val="00FE5DC9"/>
    <w:rsid w:val="01483351"/>
    <w:rsid w:val="02434DC1"/>
    <w:rsid w:val="02E248FB"/>
    <w:rsid w:val="05360ECD"/>
    <w:rsid w:val="06930C82"/>
    <w:rsid w:val="071139BC"/>
    <w:rsid w:val="07705751"/>
    <w:rsid w:val="086A3D8C"/>
    <w:rsid w:val="08D47B5C"/>
    <w:rsid w:val="099931C1"/>
    <w:rsid w:val="0A747F13"/>
    <w:rsid w:val="0AF65A8A"/>
    <w:rsid w:val="0B4676D8"/>
    <w:rsid w:val="0BDE5F72"/>
    <w:rsid w:val="0C7709C1"/>
    <w:rsid w:val="0CB30AC4"/>
    <w:rsid w:val="0CB35E5D"/>
    <w:rsid w:val="0D3139F3"/>
    <w:rsid w:val="0DD71E42"/>
    <w:rsid w:val="0F046E8E"/>
    <w:rsid w:val="107A2255"/>
    <w:rsid w:val="108C4FF7"/>
    <w:rsid w:val="108C5A89"/>
    <w:rsid w:val="10FA3E82"/>
    <w:rsid w:val="117C7470"/>
    <w:rsid w:val="11F111CD"/>
    <w:rsid w:val="12250C55"/>
    <w:rsid w:val="12A2529E"/>
    <w:rsid w:val="13870C4A"/>
    <w:rsid w:val="13D0060F"/>
    <w:rsid w:val="14347CCE"/>
    <w:rsid w:val="143B54B5"/>
    <w:rsid w:val="147B6EE3"/>
    <w:rsid w:val="155672FD"/>
    <w:rsid w:val="17505BDB"/>
    <w:rsid w:val="17ED3E1C"/>
    <w:rsid w:val="1848211C"/>
    <w:rsid w:val="18FB4489"/>
    <w:rsid w:val="19B23931"/>
    <w:rsid w:val="1B815F32"/>
    <w:rsid w:val="1BEB04FD"/>
    <w:rsid w:val="1C765132"/>
    <w:rsid w:val="1CC96F46"/>
    <w:rsid w:val="1CCE1E55"/>
    <w:rsid w:val="1D431B73"/>
    <w:rsid w:val="1D7A1B77"/>
    <w:rsid w:val="1F6B3FF2"/>
    <w:rsid w:val="1FAC60AE"/>
    <w:rsid w:val="21047F36"/>
    <w:rsid w:val="21287BEA"/>
    <w:rsid w:val="223C1359"/>
    <w:rsid w:val="22C01941"/>
    <w:rsid w:val="231D18AB"/>
    <w:rsid w:val="235B60D1"/>
    <w:rsid w:val="23A25387"/>
    <w:rsid w:val="23C2036B"/>
    <w:rsid w:val="24D10E86"/>
    <w:rsid w:val="25621544"/>
    <w:rsid w:val="258E03AA"/>
    <w:rsid w:val="27516ECF"/>
    <w:rsid w:val="289307A3"/>
    <w:rsid w:val="29E565B3"/>
    <w:rsid w:val="2A0A731F"/>
    <w:rsid w:val="2A321E95"/>
    <w:rsid w:val="2AE426C5"/>
    <w:rsid w:val="2B4F6179"/>
    <w:rsid w:val="2C025C46"/>
    <w:rsid w:val="2DD63E4B"/>
    <w:rsid w:val="2E1340BB"/>
    <w:rsid w:val="2F6E2101"/>
    <w:rsid w:val="2FAB75D8"/>
    <w:rsid w:val="2FF02F0F"/>
    <w:rsid w:val="301600AC"/>
    <w:rsid w:val="309B30AF"/>
    <w:rsid w:val="30EA53A1"/>
    <w:rsid w:val="3104119B"/>
    <w:rsid w:val="310B2E89"/>
    <w:rsid w:val="32101529"/>
    <w:rsid w:val="324E3917"/>
    <w:rsid w:val="328E5837"/>
    <w:rsid w:val="32B1233E"/>
    <w:rsid w:val="32E30954"/>
    <w:rsid w:val="33A84277"/>
    <w:rsid w:val="33AB0121"/>
    <w:rsid w:val="34F03E2E"/>
    <w:rsid w:val="35373564"/>
    <w:rsid w:val="36232DC4"/>
    <w:rsid w:val="362D7E57"/>
    <w:rsid w:val="36AA1CBD"/>
    <w:rsid w:val="36ED07E7"/>
    <w:rsid w:val="37637265"/>
    <w:rsid w:val="381C0E91"/>
    <w:rsid w:val="38A35213"/>
    <w:rsid w:val="38F327C0"/>
    <w:rsid w:val="39990770"/>
    <w:rsid w:val="3B0B0BF5"/>
    <w:rsid w:val="3B83179E"/>
    <w:rsid w:val="3B9F5AF5"/>
    <w:rsid w:val="3BFA555D"/>
    <w:rsid w:val="3C9C57E4"/>
    <w:rsid w:val="3CA85F3C"/>
    <w:rsid w:val="3CB622EB"/>
    <w:rsid w:val="3CF57E09"/>
    <w:rsid w:val="3D552011"/>
    <w:rsid w:val="3D7531E4"/>
    <w:rsid w:val="3E112465"/>
    <w:rsid w:val="3ED579B1"/>
    <w:rsid w:val="3F115BC8"/>
    <w:rsid w:val="3F441B41"/>
    <w:rsid w:val="3F764E18"/>
    <w:rsid w:val="3FB4303A"/>
    <w:rsid w:val="3FE169EC"/>
    <w:rsid w:val="40C55155"/>
    <w:rsid w:val="41E4378A"/>
    <w:rsid w:val="43306549"/>
    <w:rsid w:val="43A22180"/>
    <w:rsid w:val="43E53414"/>
    <w:rsid w:val="45B86D31"/>
    <w:rsid w:val="464178AE"/>
    <w:rsid w:val="468C1056"/>
    <w:rsid w:val="46B23F93"/>
    <w:rsid w:val="46BD1A0B"/>
    <w:rsid w:val="4713035B"/>
    <w:rsid w:val="482E2DE6"/>
    <w:rsid w:val="492336C3"/>
    <w:rsid w:val="498A70A4"/>
    <w:rsid w:val="4A286133"/>
    <w:rsid w:val="4AD3629F"/>
    <w:rsid w:val="4B364BAF"/>
    <w:rsid w:val="4CD1502D"/>
    <w:rsid w:val="4F0428E9"/>
    <w:rsid w:val="4FE63B43"/>
    <w:rsid w:val="507A2E79"/>
    <w:rsid w:val="508E7061"/>
    <w:rsid w:val="50B55500"/>
    <w:rsid w:val="510C60E0"/>
    <w:rsid w:val="5166055D"/>
    <w:rsid w:val="51774BEE"/>
    <w:rsid w:val="51BB77B1"/>
    <w:rsid w:val="51F07AE0"/>
    <w:rsid w:val="530E79D8"/>
    <w:rsid w:val="53692166"/>
    <w:rsid w:val="539F1404"/>
    <w:rsid w:val="53C27A9E"/>
    <w:rsid w:val="54095E96"/>
    <w:rsid w:val="546F167E"/>
    <w:rsid w:val="55B20DA6"/>
    <w:rsid w:val="55DD32FD"/>
    <w:rsid w:val="57D60BFE"/>
    <w:rsid w:val="581C1FB1"/>
    <w:rsid w:val="582B5D77"/>
    <w:rsid w:val="5901427D"/>
    <w:rsid w:val="59E8784E"/>
    <w:rsid w:val="59EA6E92"/>
    <w:rsid w:val="5AD56F1F"/>
    <w:rsid w:val="5DDD1564"/>
    <w:rsid w:val="5E7C09A6"/>
    <w:rsid w:val="5E7D6FF0"/>
    <w:rsid w:val="5EAC6F77"/>
    <w:rsid w:val="5F8C1544"/>
    <w:rsid w:val="611C5CAE"/>
    <w:rsid w:val="61313ADB"/>
    <w:rsid w:val="618A3DB4"/>
    <w:rsid w:val="61BF45AB"/>
    <w:rsid w:val="62033FE2"/>
    <w:rsid w:val="621E09CF"/>
    <w:rsid w:val="626C1935"/>
    <w:rsid w:val="62F75F6B"/>
    <w:rsid w:val="634754A1"/>
    <w:rsid w:val="63793840"/>
    <w:rsid w:val="63973098"/>
    <w:rsid w:val="646F614D"/>
    <w:rsid w:val="658A362A"/>
    <w:rsid w:val="662A6B31"/>
    <w:rsid w:val="665729B6"/>
    <w:rsid w:val="666036AD"/>
    <w:rsid w:val="66C20D0A"/>
    <w:rsid w:val="66D32809"/>
    <w:rsid w:val="677C0558"/>
    <w:rsid w:val="68652B67"/>
    <w:rsid w:val="69A4561F"/>
    <w:rsid w:val="6AD75540"/>
    <w:rsid w:val="6C326682"/>
    <w:rsid w:val="6CFE47B3"/>
    <w:rsid w:val="6D0A5131"/>
    <w:rsid w:val="6D544481"/>
    <w:rsid w:val="6D5F0BFD"/>
    <w:rsid w:val="6DB43DF4"/>
    <w:rsid w:val="6FAD1344"/>
    <w:rsid w:val="704A1519"/>
    <w:rsid w:val="70785B5B"/>
    <w:rsid w:val="71CA4040"/>
    <w:rsid w:val="71CC3C08"/>
    <w:rsid w:val="720C2701"/>
    <w:rsid w:val="723E1FB9"/>
    <w:rsid w:val="737C2252"/>
    <w:rsid w:val="74476962"/>
    <w:rsid w:val="747E788F"/>
    <w:rsid w:val="74B7456C"/>
    <w:rsid w:val="74C90F7B"/>
    <w:rsid w:val="74D6563B"/>
    <w:rsid w:val="75CC10EA"/>
    <w:rsid w:val="779858A4"/>
    <w:rsid w:val="78F16431"/>
    <w:rsid w:val="78F8219D"/>
    <w:rsid w:val="7972466D"/>
    <w:rsid w:val="798148F2"/>
    <w:rsid w:val="798F7CA9"/>
    <w:rsid w:val="79BE5462"/>
    <w:rsid w:val="79EC7CAE"/>
    <w:rsid w:val="7ABB50A3"/>
    <w:rsid w:val="7AEB48A6"/>
    <w:rsid w:val="7B1E2C29"/>
    <w:rsid w:val="7C0C4C52"/>
    <w:rsid w:val="7D4774B5"/>
    <w:rsid w:val="7D6B245C"/>
    <w:rsid w:val="7D844F10"/>
    <w:rsid w:val="7E662028"/>
    <w:rsid w:val="7EC67C90"/>
    <w:rsid w:val="7F046F0F"/>
    <w:rsid w:val="7F330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5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48"/>
    <w:unhideWhenUsed/>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49"/>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0"/>
    <w:unhideWhenUsed/>
    <w:qFormat/>
    <w:uiPriority w:val="9"/>
    <w:pPr>
      <w:keepNext/>
      <w:keepLines/>
      <w:spacing w:before="280" w:after="290" w:line="376" w:lineRule="auto"/>
      <w:outlineLvl w:val="3"/>
    </w:pPr>
    <w:rPr>
      <w:rFonts w:ascii="Cambria" w:hAnsi="Cambria"/>
      <w:b/>
      <w:bCs/>
      <w:sz w:val="28"/>
      <w:szCs w:val="28"/>
    </w:rPr>
  </w:style>
  <w:style w:type="paragraph" w:styleId="7">
    <w:name w:val="heading 6"/>
    <w:basedOn w:val="1"/>
    <w:next w:val="1"/>
    <w:link w:val="56"/>
    <w:unhideWhenUsed/>
    <w:qFormat/>
    <w:uiPriority w:val="9"/>
    <w:pPr>
      <w:keepNext/>
      <w:keepLines/>
      <w:spacing w:before="240" w:after="64" w:line="320" w:lineRule="auto"/>
      <w:outlineLvl w:val="5"/>
    </w:pPr>
    <w:rPr>
      <w:rFonts w:ascii="Cambria" w:hAnsi="Cambria"/>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ind w:firstLine="630"/>
    </w:pPr>
    <w:rPr>
      <w:sz w:val="28"/>
    </w:rPr>
  </w:style>
  <w:style w:type="paragraph" w:styleId="8">
    <w:name w:val="toc 3"/>
    <w:basedOn w:val="1"/>
    <w:next w:val="1"/>
    <w:unhideWhenUsed/>
    <w:qFormat/>
    <w:uiPriority w:val="39"/>
    <w:pPr>
      <w:ind w:left="840" w:leftChars="400"/>
    </w:pPr>
  </w:style>
  <w:style w:type="paragraph" w:styleId="9">
    <w:name w:val="Plain Text"/>
    <w:basedOn w:val="1"/>
    <w:semiHidden/>
    <w:unhideWhenUsed/>
    <w:qFormat/>
    <w:uiPriority w:val="99"/>
    <w:rPr>
      <w:rFonts w:ascii="宋体" w:hAnsi="Courier New"/>
    </w:rPr>
  </w:style>
  <w:style w:type="paragraph" w:styleId="10">
    <w:name w:val="Date"/>
    <w:basedOn w:val="1"/>
    <w:next w:val="1"/>
    <w:link w:val="44"/>
    <w:unhideWhenUsed/>
    <w:qFormat/>
    <w:uiPriority w:val="99"/>
    <w:pPr>
      <w:ind w:left="100" w:leftChars="2500"/>
    </w:pPr>
  </w:style>
  <w:style w:type="paragraph" w:styleId="11">
    <w:name w:val="Balloon Text"/>
    <w:basedOn w:val="1"/>
    <w:link w:val="45"/>
    <w:unhideWhenUsed/>
    <w:qFormat/>
    <w:uiPriority w:val="99"/>
    <w:rPr>
      <w:sz w:val="18"/>
      <w:szCs w:val="18"/>
    </w:rPr>
  </w:style>
  <w:style w:type="paragraph" w:styleId="12">
    <w:name w:val="footer"/>
    <w:basedOn w:val="1"/>
    <w:link w:val="47"/>
    <w:unhideWhenUsed/>
    <w:qFormat/>
    <w:uiPriority w:val="99"/>
    <w:pPr>
      <w:tabs>
        <w:tab w:val="center" w:pos="4153"/>
        <w:tab w:val="right" w:pos="8306"/>
      </w:tabs>
      <w:snapToGrid w:val="0"/>
    </w:pPr>
    <w:rPr>
      <w:sz w:val="18"/>
      <w:szCs w:val="18"/>
    </w:rPr>
  </w:style>
  <w:style w:type="paragraph" w:styleId="13">
    <w:name w:val="header"/>
    <w:basedOn w:val="1"/>
    <w:link w:val="46"/>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qFormat/>
    <w:uiPriority w:val="0"/>
    <w:pPr>
      <w:adjustRightInd w:val="0"/>
      <w:spacing w:line="360" w:lineRule="atLeast"/>
      <w:textAlignment w:val="baseline"/>
    </w:pPr>
    <w:rPr>
      <w:rFonts w:ascii="宋体" w:hAnsi="Times New Roman" w:cs="Times New Roman"/>
      <w:szCs w:val="20"/>
    </w:rPr>
  </w:style>
  <w:style w:type="paragraph" w:styleId="15">
    <w:name w:val="toc 2"/>
    <w:basedOn w:val="1"/>
    <w:next w:val="1"/>
    <w:semiHidden/>
    <w:qFormat/>
    <w:uiPriority w:val="0"/>
    <w:pPr>
      <w:adjustRightInd w:val="0"/>
      <w:spacing w:line="360" w:lineRule="atLeast"/>
      <w:ind w:left="420"/>
      <w:textAlignment w:val="baseline"/>
    </w:pPr>
    <w:rPr>
      <w:rFonts w:ascii="宋体" w:hAnsi="Times New Roman" w:cs="Times New Roman"/>
      <w:szCs w:val="20"/>
    </w:rPr>
  </w:style>
  <w:style w:type="paragraph" w:styleId="1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PingFang SC" w:hAnsi="PingFang SC" w:eastAsia="PingFang SC" w:cs="PingFang SC"/>
      <w:kern w:val="0"/>
      <w:sz w:val="24"/>
      <w:szCs w:val="24"/>
    </w:rPr>
  </w:style>
  <w:style w:type="paragraph" w:styleId="17">
    <w:name w:val="Normal (Web)"/>
    <w:basedOn w:val="1"/>
    <w:unhideWhenUsed/>
    <w:qFormat/>
    <w:uiPriority w:val="99"/>
    <w:pPr>
      <w:widowControl/>
      <w:spacing w:before="100" w:beforeAutospacing="1" w:after="100" w:afterAutospacing="1"/>
    </w:pPr>
    <w:rPr>
      <w:rFonts w:ascii="宋体" w:hAnsi="宋体" w:cs="宋体"/>
      <w:sz w:val="24"/>
      <w:szCs w:val="24"/>
    </w:rPr>
  </w:style>
  <w:style w:type="paragraph" w:styleId="18">
    <w:name w:val="Title"/>
    <w:basedOn w:val="1"/>
    <w:next w:val="1"/>
    <w:link w:val="54"/>
    <w:qFormat/>
    <w:uiPriority w:val="10"/>
    <w:pPr>
      <w:spacing w:before="240" w:after="60"/>
      <w:jc w:val="center"/>
      <w:outlineLvl w:val="0"/>
    </w:pPr>
    <w:rPr>
      <w:rFonts w:ascii="Cambria" w:hAnsi="Cambria"/>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22"/>
    <w:rPr>
      <w:b/>
      <w:bCs/>
    </w:rPr>
  </w:style>
  <w:style w:type="character" w:styleId="23">
    <w:name w:val="FollowedHyperlink"/>
    <w:basedOn w:val="21"/>
    <w:unhideWhenUsed/>
    <w:qFormat/>
    <w:uiPriority w:val="99"/>
    <w:rPr>
      <w:color w:val="3F88BF"/>
      <w:u w:val="none"/>
    </w:rPr>
  </w:style>
  <w:style w:type="character" w:styleId="24">
    <w:name w:val="Emphasis"/>
    <w:basedOn w:val="21"/>
    <w:qFormat/>
    <w:uiPriority w:val="20"/>
    <w:rPr>
      <w:color w:val="CC0000"/>
    </w:rPr>
  </w:style>
  <w:style w:type="character" w:styleId="25">
    <w:name w:val="HTML Definition"/>
    <w:basedOn w:val="21"/>
    <w:unhideWhenUsed/>
    <w:qFormat/>
    <w:uiPriority w:val="99"/>
  </w:style>
  <w:style w:type="character" w:styleId="26">
    <w:name w:val="HTML Variable"/>
    <w:basedOn w:val="21"/>
    <w:unhideWhenUsed/>
    <w:qFormat/>
    <w:uiPriority w:val="99"/>
  </w:style>
  <w:style w:type="character" w:styleId="27">
    <w:name w:val="Hyperlink"/>
    <w:basedOn w:val="21"/>
    <w:qFormat/>
    <w:uiPriority w:val="99"/>
    <w:rPr>
      <w:color w:val="3F88BF"/>
      <w:u w:val="none"/>
    </w:rPr>
  </w:style>
  <w:style w:type="character" w:styleId="28">
    <w:name w:val="HTML Code"/>
    <w:basedOn w:val="21"/>
    <w:unhideWhenUsed/>
    <w:qFormat/>
    <w:uiPriority w:val="99"/>
    <w:rPr>
      <w:rFonts w:hint="default" w:ascii="PingFang SC" w:hAnsi="PingFang SC" w:eastAsia="PingFang SC" w:cs="PingFang SC"/>
      <w:sz w:val="20"/>
    </w:rPr>
  </w:style>
  <w:style w:type="character" w:styleId="29">
    <w:name w:val="HTML Cite"/>
    <w:basedOn w:val="21"/>
    <w:unhideWhenUsed/>
    <w:qFormat/>
    <w:uiPriority w:val="99"/>
  </w:style>
  <w:style w:type="character" w:styleId="30">
    <w:name w:val="HTML Keyboard"/>
    <w:basedOn w:val="21"/>
    <w:unhideWhenUsed/>
    <w:qFormat/>
    <w:uiPriority w:val="99"/>
    <w:rPr>
      <w:rFonts w:hint="default" w:ascii="PingFang SC" w:hAnsi="PingFang SC" w:eastAsia="PingFang SC" w:cs="PingFang SC"/>
      <w:sz w:val="20"/>
    </w:rPr>
  </w:style>
  <w:style w:type="character" w:styleId="31">
    <w:name w:val="HTML Sample"/>
    <w:basedOn w:val="21"/>
    <w:unhideWhenUsed/>
    <w:qFormat/>
    <w:uiPriority w:val="99"/>
    <w:rPr>
      <w:rFonts w:hint="default" w:ascii="PingFang SC" w:hAnsi="PingFang SC" w:eastAsia="PingFang SC" w:cs="PingFang SC"/>
    </w:rPr>
  </w:style>
  <w:style w:type="paragraph" w:customStyle="1" w:styleId="32">
    <w:name w:val="reader-word-layer"/>
    <w:basedOn w:val="1"/>
    <w:qFormat/>
    <w:uiPriority w:val="0"/>
    <w:pPr>
      <w:widowControl/>
      <w:spacing w:before="100" w:beforeAutospacing="1" w:after="100" w:afterAutospacing="1"/>
    </w:pPr>
    <w:rPr>
      <w:rFonts w:ascii="宋体" w:hAnsi="宋体" w:cs="宋体"/>
      <w:sz w:val="24"/>
      <w:szCs w:val="24"/>
    </w:rPr>
  </w:style>
  <w:style w:type="paragraph" w:customStyle="1" w:styleId="33">
    <w:name w:val="列出段落1"/>
    <w:basedOn w:val="1"/>
    <w:qFormat/>
    <w:uiPriority w:val="34"/>
    <w:pPr>
      <w:ind w:firstLine="420" w:firstLineChars="200"/>
    </w:pPr>
  </w:style>
  <w:style w:type="paragraph" w:customStyle="1" w:styleId="34">
    <w:name w:val="引用1"/>
    <w:basedOn w:val="1"/>
    <w:next w:val="1"/>
    <w:link w:val="52"/>
    <w:qFormat/>
    <w:uiPriority w:val="29"/>
    <w:rPr>
      <w:i/>
      <w:iCs/>
      <w:color w:val="000000"/>
    </w:rPr>
  </w:style>
  <w:style w:type="paragraph" w:customStyle="1" w:styleId="35">
    <w:name w:val="无间隔1"/>
    <w:qFormat/>
    <w:uiPriority w:val="1"/>
    <w:pPr>
      <w:widowControl w:val="0"/>
      <w:jc w:val="both"/>
    </w:pPr>
    <w:rPr>
      <w:rFonts w:ascii="Calibri" w:hAnsi="Calibri" w:eastAsia="宋体" w:cs="黑体"/>
      <w:kern w:val="2"/>
      <w:sz w:val="21"/>
      <w:szCs w:val="22"/>
      <w:lang w:val="en-US" w:eastAsia="zh-CN" w:bidi="ar-SA"/>
    </w:rPr>
  </w:style>
  <w:style w:type="paragraph" w:customStyle="1" w:styleId="36">
    <w:name w:val="明显引用1"/>
    <w:basedOn w:val="1"/>
    <w:next w:val="1"/>
    <w:link w:val="55"/>
    <w:qFormat/>
    <w:uiPriority w:val="30"/>
    <w:pPr>
      <w:pBdr>
        <w:bottom w:val="single" w:color="4F81BD" w:sz="4" w:space="4"/>
      </w:pBdr>
      <w:spacing w:before="200" w:after="280"/>
      <w:ind w:left="936" w:right="936"/>
    </w:pPr>
    <w:rPr>
      <w:b/>
      <w:bCs/>
      <w:i/>
      <w:iCs/>
      <w:color w:val="4F81BD"/>
    </w:rPr>
  </w:style>
  <w:style w:type="paragraph" w:customStyle="1" w:styleId="37">
    <w:name w:val="TOC 标题1"/>
    <w:basedOn w:val="3"/>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paragraph" w:customStyle="1" w:styleId="3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szCs w:val="22"/>
      <w:lang w:val="en-US" w:eastAsia="zh-CN" w:bidi="ar-SA"/>
    </w:rPr>
  </w:style>
  <w:style w:type="paragraph" w:customStyle="1" w:styleId="39">
    <w:name w:val="其他标准称谓"/>
    <w:qFormat/>
    <w:uiPriority w:val="0"/>
    <w:pPr>
      <w:spacing w:line="0" w:lineRule="atLeast"/>
      <w:jc w:val="distribute"/>
    </w:pPr>
    <w:rPr>
      <w:rFonts w:ascii="黑体" w:hAnsi="宋体" w:eastAsia="黑体" w:cs="Times New Roman"/>
      <w:sz w:val="52"/>
      <w:szCs w:val="22"/>
      <w:lang w:val="en-US" w:eastAsia="zh-CN" w:bidi="ar-SA"/>
    </w:rPr>
  </w:style>
  <w:style w:type="paragraph" w:customStyle="1" w:styleId="4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szCs w:val="22"/>
      <w:lang w:val="en-US" w:eastAsia="zh-CN" w:bidi="ar-SA"/>
    </w:rPr>
  </w:style>
  <w:style w:type="paragraph" w:customStyle="1" w:styleId="41">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2">
    <w:name w:val="发布日期"/>
    <w:qFormat/>
    <w:uiPriority w:val="0"/>
    <w:rPr>
      <w:rFonts w:ascii="Times New Roman" w:hAnsi="Times New Roman" w:eastAsia="黑体" w:cs="Times New Roman"/>
      <w:sz w:val="28"/>
      <w:szCs w:val="22"/>
      <w:lang w:val="en-US" w:eastAsia="zh-CN" w:bidi="ar-SA"/>
    </w:rPr>
  </w:style>
  <w:style w:type="paragraph" w:customStyle="1" w:styleId="43">
    <w:name w:val="实施日期"/>
    <w:basedOn w:val="42"/>
    <w:qFormat/>
    <w:uiPriority w:val="0"/>
    <w:pPr>
      <w:framePr w:wrap="around" w:vAnchor="margin" w:hAnchor="text" w:xAlign="right" w:y="1"/>
      <w:jc w:val="right"/>
    </w:pPr>
  </w:style>
  <w:style w:type="character" w:customStyle="1" w:styleId="44">
    <w:name w:val="日期 Char"/>
    <w:basedOn w:val="21"/>
    <w:link w:val="10"/>
    <w:semiHidden/>
    <w:qFormat/>
    <w:uiPriority w:val="99"/>
    <w:rPr>
      <w:kern w:val="0"/>
      <w:sz w:val="22"/>
      <w:lang w:eastAsia="en-US"/>
    </w:rPr>
  </w:style>
  <w:style w:type="character" w:customStyle="1" w:styleId="45">
    <w:name w:val="批注框文本 Char"/>
    <w:basedOn w:val="21"/>
    <w:link w:val="11"/>
    <w:semiHidden/>
    <w:qFormat/>
    <w:uiPriority w:val="99"/>
    <w:rPr>
      <w:kern w:val="0"/>
      <w:sz w:val="18"/>
      <w:szCs w:val="18"/>
      <w:lang w:eastAsia="en-US"/>
    </w:rPr>
  </w:style>
  <w:style w:type="character" w:customStyle="1" w:styleId="46">
    <w:name w:val="页眉 Char"/>
    <w:basedOn w:val="21"/>
    <w:link w:val="13"/>
    <w:semiHidden/>
    <w:qFormat/>
    <w:uiPriority w:val="99"/>
    <w:rPr>
      <w:kern w:val="0"/>
      <w:sz w:val="18"/>
      <w:szCs w:val="18"/>
      <w:lang w:eastAsia="en-US"/>
    </w:rPr>
  </w:style>
  <w:style w:type="character" w:customStyle="1" w:styleId="47">
    <w:name w:val="页脚 Char"/>
    <w:basedOn w:val="21"/>
    <w:link w:val="12"/>
    <w:qFormat/>
    <w:uiPriority w:val="99"/>
    <w:rPr>
      <w:kern w:val="0"/>
      <w:sz w:val="18"/>
      <w:szCs w:val="18"/>
      <w:lang w:eastAsia="en-US"/>
    </w:rPr>
  </w:style>
  <w:style w:type="character" w:customStyle="1" w:styleId="48">
    <w:name w:val="标题 2 Char"/>
    <w:basedOn w:val="21"/>
    <w:link w:val="4"/>
    <w:qFormat/>
    <w:uiPriority w:val="9"/>
    <w:rPr>
      <w:rFonts w:ascii="Cambria" w:hAnsi="Cambria" w:eastAsia="宋体" w:cs="黑体"/>
      <w:b/>
      <w:bCs/>
      <w:sz w:val="32"/>
      <w:szCs w:val="32"/>
    </w:rPr>
  </w:style>
  <w:style w:type="character" w:customStyle="1" w:styleId="49">
    <w:name w:val="标题 3 Char"/>
    <w:basedOn w:val="21"/>
    <w:link w:val="5"/>
    <w:qFormat/>
    <w:uiPriority w:val="9"/>
    <w:rPr>
      <w:b/>
      <w:bCs/>
      <w:sz w:val="32"/>
      <w:szCs w:val="32"/>
    </w:rPr>
  </w:style>
  <w:style w:type="character" w:customStyle="1" w:styleId="50">
    <w:name w:val="标题 4 Char"/>
    <w:basedOn w:val="21"/>
    <w:link w:val="6"/>
    <w:semiHidden/>
    <w:qFormat/>
    <w:uiPriority w:val="9"/>
    <w:rPr>
      <w:rFonts w:ascii="Cambria" w:hAnsi="Cambria" w:eastAsia="宋体" w:cs="黑体"/>
      <w:b/>
      <w:bCs/>
      <w:sz w:val="28"/>
      <w:szCs w:val="28"/>
    </w:rPr>
  </w:style>
  <w:style w:type="character" w:customStyle="1" w:styleId="51">
    <w:name w:val="标题 1 Char"/>
    <w:basedOn w:val="21"/>
    <w:link w:val="3"/>
    <w:qFormat/>
    <w:uiPriority w:val="9"/>
    <w:rPr>
      <w:b/>
      <w:bCs/>
      <w:kern w:val="44"/>
      <w:sz w:val="44"/>
      <w:szCs w:val="44"/>
    </w:rPr>
  </w:style>
  <w:style w:type="character" w:customStyle="1" w:styleId="52">
    <w:name w:val="引用 Char"/>
    <w:basedOn w:val="21"/>
    <w:link w:val="34"/>
    <w:qFormat/>
    <w:uiPriority w:val="29"/>
    <w:rPr>
      <w:i/>
      <w:iCs/>
      <w:color w:val="000000"/>
    </w:rPr>
  </w:style>
  <w:style w:type="character" w:customStyle="1" w:styleId="53">
    <w:name w:val="明显强调1"/>
    <w:basedOn w:val="21"/>
    <w:qFormat/>
    <w:uiPriority w:val="21"/>
    <w:rPr>
      <w:b/>
      <w:bCs/>
      <w:i/>
      <w:iCs/>
      <w:color w:val="4F81BD"/>
    </w:rPr>
  </w:style>
  <w:style w:type="character" w:customStyle="1" w:styleId="54">
    <w:name w:val="标题 Char"/>
    <w:basedOn w:val="21"/>
    <w:link w:val="18"/>
    <w:qFormat/>
    <w:uiPriority w:val="10"/>
    <w:rPr>
      <w:rFonts w:ascii="Cambria" w:hAnsi="Cambria" w:eastAsia="宋体" w:cs="黑体"/>
      <w:b/>
      <w:bCs/>
      <w:sz w:val="32"/>
      <w:szCs w:val="32"/>
    </w:rPr>
  </w:style>
  <w:style w:type="character" w:customStyle="1" w:styleId="55">
    <w:name w:val="明显引用 Char"/>
    <w:basedOn w:val="21"/>
    <w:link w:val="36"/>
    <w:qFormat/>
    <w:uiPriority w:val="30"/>
    <w:rPr>
      <w:b/>
      <w:bCs/>
      <w:i/>
      <w:iCs/>
      <w:color w:val="4F81BD"/>
    </w:rPr>
  </w:style>
  <w:style w:type="character" w:customStyle="1" w:styleId="56">
    <w:name w:val="标题 6 Char"/>
    <w:basedOn w:val="21"/>
    <w:link w:val="7"/>
    <w:qFormat/>
    <w:uiPriority w:val="9"/>
    <w:rPr>
      <w:rFonts w:ascii="Cambria" w:hAnsi="Cambria" w:eastAsia="宋体" w:cs="黑体"/>
      <w:b/>
      <w:bCs/>
      <w:sz w:val="24"/>
      <w:szCs w:val="24"/>
    </w:rPr>
  </w:style>
  <w:style w:type="character" w:customStyle="1" w:styleId="57">
    <w:name w:val="keyword-span-wrap"/>
    <w:basedOn w:val="21"/>
    <w:qFormat/>
    <w:uiPriority w:val="0"/>
    <w:rPr>
      <w:color w:val="19A97B"/>
    </w:rPr>
  </w:style>
  <w:style w:type="character" w:customStyle="1" w:styleId="58">
    <w:name w:val="num"/>
    <w:basedOn w:val="21"/>
    <w:qFormat/>
    <w:uiPriority w:val="0"/>
    <w:rPr>
      <w:b/>
      <w:color w:val="FF7800"/>
    </w:rPr>
  </w:style>
  <w:style w:type="character" w:customStyle="1" w:styleId="59">
    <w:name w:val="release-day"/>
    <w:basedOn w:val="21"/>
    <w:qFormat/>
    <w:uiPriority w:val="0"/>
    <w:rPr>
      <w:bdr w:val="single" w:color="BDEBB0" w:sz="6" w:space="0"/>
      <w:shd w:val="clear" w:color="010000" w:fill="F5FFF1"/>
    </w:rPr>
  </w:style>
  <w:style w:type="character" w:customStyle="1" w:styleId="60">
    <w:name w:val="answer-title"/>
    <w:basedOn w:val="21"/>
    <w:qFormat/>
    <w:uiPriority w:val="0"/>
    <w:rPr>
      <w:color w:val="35B558"/>
      <w:sz w:val="33"/>
      <w:szCs w:val="33"/>
    </w:rPr>
  </w:style>
  <w:style w:type="character" w:customStyle="1" w:styleId="61">
    <w:name w:val="num2"/>
    <w:basedOn w:val="21"/>
    <w:qFormat/>
    <w:uiPriority w:val="0"/>
    <w:rPr>
      <w:b/>
      <w:color w:val="FF7800"/>
    </w:rPr>
  </w:style>
  <w:style w:type="character" w:customStyle="1" w:styleId="62">
    <w:name w:val="answer-title12"/>
    <w:basedOn w:val="21"/>
    <w:qFormat/>
    <w:uiPriority w:val="0"/>
  </w:style>
  <w:style w:type="character" w:customStyle="1" w:styleId="63">
    <w:name w:val="fontborder"/>
    <w:basedOn w:val="21"/>
    <w:qFormat/>
    <w:uiPriority w:val="0"/>
    <w:rPr>
      <w:bdr w:val="single" w:color="000000" w:sz="6" w:space="0"/>
    </w:rPr>
  </w:style>
  <w:style w:type="character" w:customStyle="1" w:styleId="64">
    <w:name w:val="fontstrikethrough"/>
    <w:basedOn w:val="21"/>
    <w:qFormat/>
    <w:uiPriority w:val="0"/>
    <w:rPr>
      <w:strike/>
    </w:rPr>
  </w:style>
  <w:style w:type="character" w:customStyle="1" w:styleId="65">
    <w:name w:val="special-symbol"/>
    <w:basedOn w:val="21"/>
    <w:qFormat/>
    <w:uiPriority w:val="0"/>
    <w:rPr>
      <w:rFonts w:hint="eastAsia" w:ascii="Arial" w:hAnsi="Arial" w:cs="Arial"/>
    </w:rPr>
  </w:style>
  <w:style w:type="character" w:customStyle="1" w:styleId="66">
    <w:name w:val="pa"/>
    <w:basedOn w:val="21"/>
    <w:qFormat/>
    <w:uiPriority w:val="0"/>
  </w:style>
  <w:style w:type="character" w:customStyle="1" w:styleId="67">
    <w:name w:val="pr"/>
    <w:basedOn w:val="21"/>
    <w:qFormat/>
    <w:uiPriority w:val="0"/>
  </w:style>
  <w:style w:type="character" w:customStyle="1" w:styleId="68">
    <w:name w:val="di"/>
    <w:basedOn w:val="21"/>
    <w:qFormat/>
    <w:uiPriority w:val="0"/>
  </w:style>
  <w:style w:type="character" w:customStyle="1" w:styleId="69">
    <w:name w:val="ps"/>
    <w:basedOn w:val="21"/>
    <w:qFormat/>
    <w:uiPriority w:val="0"/>
  </w:style>
  <w:style w:type="character" w:customStyle="1" w:styleId="70">
    <w:name w:val="oh"/>
    <w:basedOn w:val="21"/>
    <w:qFormat/>
    <w:uiPriority w:val="0"/>
  </w:style>
  <w:style w:type="character" w:customStyle="1" w:styleId="71">
    <w:name w:val="emptyblank"/>
    <w:basedOn w:val="21"/>
    <w:qFormat/>
    <w:uiPriority w:val="0"/>
  </w:style>
  <w:style w:type="paragraph" w:customStyle="1" w:styleId="72">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3206</Words>
  <Characters>3345</Characters>
  <Lines>25</Lines>
  <Paragraphs>7</Paragraphs>
  <TotalTime>2</TotalTime>
  <ScaleCrop>false</ScaleCrop>
  <LinksUpToDate>false</LinksUpToDate>
  <CharactersWithSpaces>3406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2019-03-11T06:08:00Z</dcterms:created>
  <dc:creator>Administrator</dc:creator>
  <cp:lastModifiedBy>zjl</cp:lastModifiedBy>
  <dcterms:modified xsi:type="dcterms:W3CDTF">2023-12-06T09:26:34Z</dcterms:modified>
  <dc:title>贵州山地猕猴桃园</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RubyTemplateID" linkTarget="0">
    <vt:lpwstr>6</vt:lpwstr>
  </property>
  <property fmtid="{D5CDD505-2E9C-101B-9397-08002B2CF9AE}" pid="4" name="ICV">
    <vt:lpwstr>309988526D6948359910C9AC707CBECE_12</vt:lpwstr>
  </property>
</Properties>
</file>