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r>
        <w:rPr>
          <w:rFonts w:hint="eastAsia" w:ascii="黑体" w:hAnsi="黑体" w:eastAsia="黑体"/>
          <w:sz w:val="44"/>
          <w:szCs w:val="44"/>
          <w:lang w:eastAsia="zh-CN"/>
        </w:rPr>
        <w:t>贵州省</w:t>
      </w:r>
      <w:r>
        <w:rPr>
          <w:rFonts w:hint="eastAsia" w:ascii="黑体" w:hAnsi="黑体" w:eastAsia="黑体"/>
          <w:sz w:val="44"/>
          <w:szCs w:val="44"/>
        </w:rPr>
        <w:t>市场</w:t>
      </w:r>
      <w:r>
        <w:rPr>
          <w:rFonts w:hint="eastAsia" w:ascii="黑体" w:hAnsi="黑体" w:eastAsia="黑体"/>
          <w:sz w:val="44"/>
          <w:szCs w:val="44"/>
          <w:lang w:eastAsia="zh-CN"/>
        </w:rPr>
        <w:t>监督</w:t>
      </w:r>
      <w:r>
        <w:rPr>
          <w:rFonts w:hint="eastAsia" w:ascii="黑体" w:hAnsi="黑体" w:eastAsia="黑体"/>
          <w:sz w:val="44"/>
          <w:szCs w:val="44"/>
        </w:rPr>
        <w:t>管</w:t>
      </w:r>
      <w:r>
        <w:rPr>
          <w:rFonts w:hint="eastAsia" w:ascii="黑体" w:hAnsi="黑体" w:eastAsia="黑体"/>
          <w:sz w:val="44"/>
          <w:szCs w:val="44"/>
          <w:lang w:eastAsia="zh-CN"/>
        </w:rPr>
        <w:t>理</w:t>
      </w:r>
      <w:r>
        <w:rPr>
          <w:rFonts w:hint="eastAsia" w:ascii="黑体" w:hAnsi="黑体" w:eastAsia="黑体"/>
          <w:sz w:val="44"/>
          <w:szCs w:val="44"/>
        </w:rPr>
        <w:t>局关于进一步加强整治传销工作的实施意见</w:t>
      </w:r>
    </w:p>
    <w:p>
      <w:pPr>
        <w:spacing w:line="560" w:lineRule="exact"/>
        <w:jc w:val="center"/>
        <w:rPr>
          <w:rFonts w:ascii="方正小标宋简体" w:eastAsia="方正小标宋简体"/>
          <w:sz w:val="32"/>
          <w:szCs w:val="32"/>
        </w:rPr>
      </w:pPr>
      <w:r>
        <w:rPr>
          <w:rFonts w:hint="eastAsia" w:ascii="方正小标宋简体" w:eastAsia="方正小标宋简体"/>
          <w:sz w:val="32"/>
          <w:szCs w:val="32"/>
        </w:rPr>
        <w:t>（征求意见稿）</w:t>
      </w:r>
      <w:bookmarkStart w:id="2" w:name="_GoBack"/>
      <w:bookmarkEnd w:id="2"/>
    </w:p>
    <w:p>
      <w:pPr>
        <w:spacing w:line="600" w:lineRule="exact"/>
        <w:ind w:firstLine="800" w:firstLineChars="25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_GB2312" w:hAnsi="仿宋" w:eastAsia="仿宋_GB2312"/>
          <w:sz w:val="32"/>
          <w:szCs w:val="32"/>
        </w:rPr>
        <w:t>为进一步做好打击传销工作，压实责任，规范程序，完善工作机制，提高工作效率，根据《禁止传销条例》规定和国家市场监管总局有关要求，结合新形势下打击传销工作实际，现提出如下实施意见</w:t>
      </w:r>
      <w:r>
        <w:rPr>
          <w:rFonts w:hint="eastAsia" w:ascii="仿宋" w:hAnsi="仿宋" w:eastAsia="仿宋"/>
          <w:sz w:val="32"/>
          <w:szCs w:val="32"/>
        </w:rPr>
        <w:t>。</w:t>
      </w:r>
    </w:p>
    <w:p>
      <w:pPr>
        <w:spacing w:line="600" w:lineRule="exact"/>
        <w:ind w:firstLine="800" w:firstLineChars="250"/>
        <w:rPr>
          <w:rFonts w:ascii="黑体" w:hAnsi="黑体" w:eastAsia="黑体"/>
          <w:sz w:val="32"/>
          <w:szCs w:val="32"/>
        </w:rPr>
      </w:pPr>
      <w:r>
        <w:rPr>
          <w:rFonts w:hint="eastAsia" w:ascii="黑体" w:hAnsi="黑体" w:eastAsia="黑体"/>
          <w:sz w:val="32"/>
          <w:szCs w:val="32"/>
        </w:rPr>
        <w:t>一、总体要求</w:t>
      </w:r>
    </w:p>
    <w:p>
      <w:pPr>
        <w:spacing w:line="600" w:lineRule="exact"/>
        <w:ind w:firstLine="803" w:firstLineChars="250"/>
        <w:rPr>
          <w:rFonts w:ascii="仿宋_GB2312" w:hAnsi="仿宋" w:eastAsia="仿宋_GB2312"/>
          <w:b/>
          <w:sz w:val="32"/>
          <w:szCs w:val="32"/>
        </w:rPr>
      </w:pPr>
      <w:r>
        <w:rPr>
          <w:rFonts w:hint="eastAsia" w:ascii="仿宋_GB2312" w:hAnsi="仿宋" w:eastAsia="仿宋_GB2312"/>
          <w:b/>
          <w:sz w:val="32"/>
          <w:szCs w:val="32"/>
        </w:rPr>
        <w:t>（一）指导思想</w:t>
      </w:r>
    </w:p>
    <w:p>
      <w:pPr>
        <w:adjustRightInd w:val="0"/>
        <w:snapToGrid w:val="0"/>
        <w:spacing w:line="600" w:lineRule="exact"/>
        <w:ind w:firstLine="658"/>
        <w:rPr>
          <w:rFonts w:ascii="仿宋" w:hAnsi="仿宋" w:eastAsia="仿宋"/>
          <w:sz w:val="32"/>
          <w:szCs w:val="32"/>
        </w:rPr>
      </w:pPr>
      <w:r>
        <w:rPr>
          <w:rFonts w:hint="eastAsia" w:ascii="仿宋_GB2312" w:hAnsi="仿宋" w:eastAsia="仿宋_GB2312"/>
          <w:sz w:val="32"/>
          <w:szCs w:val="32"/>
        </w:rPr>
        <w:t>以习近平新时代中国特色社会主义思想为指引，深入贯彻落实党中央、国务院，省委省政府和国家市场监管总局对打击传销工作决策部署，在党委、政府领导下，提高政治站位，增强大局意识，强化责任意识、担当意识，坚持问题导向，进一步创新工作机制，完善整治措施，提升防范水平，维护群众合法权益，服务经济社会持续健康发展和大局稳定，确保“人民获得感、幸福感、安全感更加充实、更有保障、更可持续”</w:t>
      </w:r>
      <w:r>
        <w:rPr>
          <w:rFonts w:hint="eastAsia" w:ascii="仿宋" w:hAnsi="仿宋" w:eastAsia="仿宋"/>
          <w:sz w:val="32"/>
          <w:szCs w:val="32"/>
        </w:rPr>
        <w:t>。</w:t>
      </w:r>
    </w:p>
    <w:p>
      <w:pPr>
        <w:spacing w:line="600" w:lineRule="exact"/>
        <w:ind w:firstLine="803" w:firstLineChars="250"/>
        <w:rPr>
          <w:rFonts w:ascii="仿宋_GB2312" w:hAnsi="仿宋" w:eastAsia="仿宋_GB2312"/>
          <w:b/>
          <w:sz w:val="32"/>
          <w:szCs w:val="32"/>
        </w:rPr>
      </w:pPr>
      <w:r>
        <w:rPr>
          <w:rFonts w:hint="eastAsia" w:ascii="仿宋_GB2312" w:hAnsi="仿宋" w:eastAsia="仿宋_GB2312"/>
          <w:b/>
          <w:sz w:val="32"/>
          <w:szCs w:val="32"/>
        </w:rPr>
        <w:t>（二）基本原则</w:t>
      </w:r>
    </w:p>
    <w:p>
      <w:pPr>
        <w:spacing w:line="600" w:lineRule="exact"/>
        <w:ind w:firstLine="800" w:firstLineChars="250"/>
        <w:rPr>
          <w:rFonts w:ascii="仿宋_GB2312" w:hAnsi="仿宋" w:eastAsia="仿宋_GB2312"/>
          <w:sz w:val="32"/>
          <w:szCs w:val="32"/>
        </w:rPr>
      </w:pPr>
      <w:r>
        <w:rPr>
          <w:rFonts w:hint="eastAsia" w:ascii="仿宋_GB2312" w:hAnsi="仿宋" w:eastAsia="仿宋_GB2312"/>
          <w:sz w:val="32"/>
          <w:szCs w:val="32"/>
        </w:rPr>
        <w:t>——党政领导，分工协作。在党委、政府统一领导下，落实部门职责和属地责任，建立多部门联动综合执法机制，互通信息、资源共享，密切配合，形成工作合力。</w:t>
      </w:r>
    </w:p>
    <w:p>
      <w:pPr>
        <w:spacing w:line="600" w:lineRule="exact"/>
        <w:ind w:firstLine="800" w:firstLineChars="250"/>
        <w:rPr>
          <w:rFonts w:ascii="仿宋_GB2312" w:hAnsi="仿宋" w:eastAsia="仿宋_GB2312"/>
          <w:sz w:val="32"/>
          <w:szCs w:val="32"/>
        </w:rPr>
      </w:pPr>
      <w:r>
        <w:rPr>
          <w:rFonts w:hint="eastAsia" w:ascii="仿宋_GB2312" w:hAnsi="仿宋" w:eastAsia="仿宋_GB2312"/>
          <w:sz w:val="32"/>
          <w:szCs w:val="32"/>
        </w:rPr>
        <w:t>——依法依规，稳妥处置。严格按照国家有关法律法规和职能权限，主动作为，依法履责，适时开展对辖区内重点地区、重点领域的专项整治。认真落实“四步工作法”，切实强化“五个环节”，关口前移，抓好防范和清理。</w:t>
      </w:r>
    </w:p>
    <w:p>
      <w:pPr>
        <w:spacing w:line="600" w:lineRule="exact"/>
        <w:ind w:firstLine="800" w:firstLineChars="250"/>
        <w:rPr>
          <w:rFonts w:ascii="仿宋_GB2312" w:hAnsi="仿宋" w:eastAsia="仿宋_GB2312"/>
          <w:sz w:val="32"/>
          <w:szCs w:val="32"/>
        </w:rPr>
      </w:pPr>
      <w:r>
        <w:rPr>
          <w:rFonts w:hint="eastAsia" w:ascii="仿宋_GB2312" w:hAnsi="仿宋" w:eastAsia="仿宋_GB2312"/>
          <w:sz w:val="32"/>
          <w:szCs w:val="32"/>
        </w:rPr>
        <w:t>——防打结合，打早打小。利用互联网、大数据、网格化管理等手段，加强监测预警工作；发挥基层作用，发动群众，形成群防机制；早预警、早报告、早处置。</w:t>
      </w:r>
    </w:p>
    <w:p>
      <w:pPr>
        <w:spacing w:line="600" w:lineRule="exact"/>
        <w:ind w:firstLine="800" w:firstLineChars="250"/>
        <w:rPr>
          <w:rFonts w:ascii="仿宋" w:hAnsi="仿宋" w:eastAsia="仿宋"/>
          <w:sz w:val="32"/>
          <w:szCs w:val="32"/>
        </w:rPr>
      </w:pPr>
      <w:r>
        <w:rPr>
          <w:rFonts w:hint="eastAsia" w:ascii="仿宋_GB2312" w:hAnsi="仿宋" w:eastAsia="仿宋_GB2312"/>
          <w:sz w:val="32"/>
          <w:szCs w:val="32"/>
        </w:rPr>
        <w:t>——注重宣传，营造氛围。坚持宣传与整治同筹划、同部署、同推进。开展形式多样的宣传活动，营造全社会防范、抵制、打击传销违法犯罪活动的浓厚氛围。</w:t>
      </w:r>
    </w:p>
    <w:p>
      <w:pPr>
        <w:adjustRightInd w:val="0"/>
        <w:snapToGrid w:val="0"/>
        <w:spacing w:line="600" w:lineRule="atLeast"/>
        <w:ind w:firstLine="803" w:firstLineChars="250"/>
        <w:rPr>
          <w:rFonts w:ascii="仿宋_GB2312" w:hAnsi="仿宋" w:eastAsia="仿宋_GB2312"/>
          <w:b/>
          <w:sz w:val="32"/>
          <w:szCs w:val="32"/>
        </w:rPr>
      </w:pPr>
      <w:r>
        <w:rPr>
          <w:rFonts w:hint="eastAsia" w:ascii="仿宋_GB2312" w:hAnsi="仿宋" w:eastAsia="仿宋_GB2312"/>
          <w:b/>
          <w:sz w:val="32"/>
          <w:szCs w:val="32"/>
        </w:rPr>
        <w:t>（三）工作目标</w:t>
      </w:r>
    </w:p>
    <w:p>
      <w:pPr>
        <w:adjustRightInd w:val="0"/>
        <w:snapToGrid w:val="0"/>
        <w:spacing w:line="600" w:lineRule="atLeast"/>
        <w:ind w:firstLine="800" w:firstLineChars="250"/>
        <w:rPr>
          <w:rFonts w:ascii="仿宋" w:hAnsi="仿宋" w:eastAsia="仿宋"/>
          <w:b/>
          <w:sz w:val="32"/>
          <w:szCs w:val="32"/>
        </w:rPr>
      </w:pPr>
      <w:r>
        <w:rPr>
          <w:rFonts w:hint="eastAsia" w:ascii="仿宋_GB2312" w:hAnsi="仿宋" w:eastAsia="仿宋_GB2312"/>
          <w:sz w:val="32"/>
          <w:szCs w:val="32"/>
        </w:rPr>
        <w:t>打击防范工作机制进一步健全，综合整治效能明显提升；监测发现水平显著提高，网络空间明显净化；公众识别能力和自觉抵制意识显著增强；无传销社区和无传销网络平台创建取得明显成效。</w:t>
      </w:r>
      <w:r>
        <w:rPr>
          <w:rFonts w:ascii="仿宋" w:hAnsi="仿宋" w:eastAsia="仿宋"/>
          <w:b/>
          <w:sz w:val="32"/>
          <w:szCs w:val="32"/>
        </w:rPr>
        <w:t xml:space="preserve"> </w:t>
      </w:r>
    </w:p>
    <w:p>
      <w:pPr>
        <w:adjustRightInd w:val="0"/>
        <w:snapToGrid w:val="0"/>
        <w:spacing w:line="600" w:lineRule="exact"/>
        <w:ind w:firstLine="658"/>
        <w:rPr>
          <w:rFonts w:ascii="黑体" w:hAnsi="黑体" w:eastAsia="黑体"/>
          <w:sz w:val="32"/>
          <w:szCs w:val="32"/>
        </w:rPr>
      </w:pPr>
      <w:r>
        <w:rPr>
          <w:rFonts w:hint="eastAsia" w:ascii="黑体" w:hAnsi="黑体" w:eastAsia="黑体"/>
          <w:sz w:val="32"/>
          <w:szCs w:val="32"/>
        </w:rPr>
        <w:t>二、职责分工</w:t>
      </w:r>
    </w:p>
    <w:p>
      <w:pPr>
        <w:adjustRightInd w:val="0"/>
        <w:snapToGrid w:val="0"/>
        <w:spacing w:line="600" w:lineRule="exact"/>
        <w:ind w:firstLine="658"/>
        <w:rPr>
          <w:rFonts w:ascii="仿宋_GB2312" w:hAnsi="仿宋" w:eastAsia="仿宋_GB2312"/>
          <w:b/>
          <w:sz w:val="32"/>
          <w:szCs w:val="32"/>
        </w:rPr>
      </w:pPr>
      <w:r>
        <w:rPr>
          <w:rFonts w:hint="eastAsia" w:ascii="仿宋_GB2312" w:hAnsi="仿宋" w:eastAsia="仿宋_GB2312"/>
          <w:b/>
          <w:sz w:val="32"/>
          <w:szCs w:val="32"/>
        </w:rPr>
        <w:t>（一）属地管理，分级负责。</w:t>
      </w:r>
    </w:p>
    <w:p>
      <w:pPr>
        <w:ind w:firstLine="800" w:firstLineChars="250"/>
        <w:rPr>
          <w:rFonts w:ascii="仿宋" w:hAnsi="仿宋" w:eastAsia="仿宋"/>
          <w:sz w:val="32"/>
          <w:szCs w:val="32"/>
        </w:rPr>
      </w:pPr>
      <w:r>
        <w:rPr>
          <w:rFonts w:hint="eastAsia" w:ascii="仿宋_GB2312" w:hAnsi="仿宋" w:eastAsia="仿宋_GB2312"/>
          <w:sz w:val="32"/>
          <w:szCs w:val="32"/>
        </w:rPr>
        <w:t>1、</w:t>
      </w:r>
      <w:r>
        <w:rPr>
          <w:rFonts w:hint="eastAsia" w:ascii="仿宋_GB2312" w:hAnsi="仿宋" w:eastAsia="仿宋_GB2312"/>
          <w:b/>
          <w:sz w:val="32"/>
          <w:szCs w:val="32"/>
        </w:rPr>
        <w:t>省市场监管局</w:t>
      </w:r>
      <w:r>
        <w:rPr>
          <w:rFonts w:hint="eastAsia" w:ascii="仿宋_GB2312" w:hAnsi="仿宋" w:eastAsia="仿宋_GB2312"/>
          <w:sz w:val="32"/>
          <w:szCs w:val="32"/>
        </w:rPr>
        <w:t>负责</w:t>
      </w:r>
      <w:r>
        <w:rPr>
          <w:rFonts w:ascii="仿宋_GB2312" w:hAnsi="仿宋" w:eastAsia="仿宋_GB2312"/>
          <w:sz w:val="32"/>
          <w:szCs w:val="32"/>
        </w:rPr>
        <w:t>拟订禁止传销的具体措施、办法并组织实施</w:t>
      </w:r>
      <w:r>
        <w:rPr>
          <w:rFonts w:hint="eastAsia" w:ascii="仿宋_GB2312" w:hAnsi="仿宋" w:eastAsia="仿宋_GB2312"/>
          <w:sz w:val="32"/>
          <w:szCs w:val="32"/>
          <w:lang w:eastAsia="zh-CN"/>
        </w:rPr>
        <w:t>；</w:t>
      </w:r>
      <w:r>
        <w:rPr>
          <w:rFonts w:ascii="仿宋_GB2312" w:hAnsi="仿宋" w:eastAsia="仿宋_GB2312"/>
          <w:sz w:val="32"/>
          <w:szCs w:val="32"/>
        </w:rPr>
        <w:t>指导、协调</w:t>
      </w:r>
      <w:r>
        <w:rPr>
          <w:rFonts w:hint="eastAsia" w:ascii="仿宋_GB2312" w:hAnsi="仿宋" w:eastAsia="仿宋_GB2312"/>
          <w:sz w:val="32"/>
          <w:szCs w:val="32"/>
        </w:rPr>
        <w:t>、督办</w:t>
      </w:r>
      <w:r>
        <w:rPr>
          <w:rFonts w:ascii="仿宋_GB2312" w:hAnsi="仿宋" w:eastAsia="仿宋_GB2312"/>
          <w:sz w:val="32"/>
          <w:szCs w:val="32"/>
        </w:rPr>
        <w:t>全省</w:t>
      </w:r>
      <w:r>
        <w:rPr>
          <w:rFonts w:hint="eastAsia" w:ascii="仿宋_GB2312" w:hAnsi="仿宋" w:eastAsia="仿宋_GB2312"/>
          <w:sz w:val="32"/>
          <w:szCs w:val="32"/>
        </w:rPr>
        <w:t>市场监管</w:t>
      </w:r>
      <w:r>
        <w:rPr>
          <w:rFonts w:ascii="仿宋_GB2312" w:hAnsi="仿宋" w:eastAsia="仿宋_GB2312"/>
          <w:sz w:val="32"/>
          <w:szCs w:val="32"/>
        </w:rPr>
        <w:t>系统打击传销工作;</w:t>
      </w:r>
      <w:r>
        <w:rPr>
          <w:rFonts w:hint="eastAsia" w:ascii="仿宋_GB2312" w:hAnsi="仿宋" w:eastAsia="仿宋_GB2312"/>
          <w:sz w:val="32"/>
          <w:szCs w:val="32"/>
        </w:rPr>
        <w:t xml:space="preserve"> 配合省打传联席会议及其办公室组织、指导、</w:t>
      </w:r>
      <w:r>
        <w:rPr>
          <w:rFonts w:ascii="仿宋_GB2312" w:hAnsi="仿宋" w:eastAsia="仿宋_GB2312"/>
          <w:sz w:val="32"/>
          <w:szCs w:val="32"/>
        </w:rPr>
        <w:t>协调</w:t>
      </w:r>
      <w:r>
        <w:rPr>
          <w:rFonts w:hint="eastAsia" w:ascii="仿宋_GB2312" w:hAnsi="仿宋" w:eastAsia="仿宋_GB2312"/>
          <w:sz w:val="32"/>
          <w:szCs w:val="32"/>
        </w:rPr>
        <w:t>、督查督办、考评考核</w:t>
      </w:r>
      <w:r>
        <w:rPr>
          <w:rFonts w:ascii="仿宋_GB2312" w:hAnsi="仿宋" w:eastAsia="仿宋_GB2312"/>
          <w:sz w:val="32"/>
          <w:szCs w:val="32"/>
        </w:rPr>
        <w:t>全</w:t>
      </w:r>
      <w:r>
        <w:rPr>
          <w:rFonts w:hint="eastAsia" w:ascii="仿宋_GB2312" w:hAnsi="仿宋" w:eastAsia="仿宋_GB2312"/>
          <w:sz w:val="32"/>
          <w:szCs w:val="32"/>
        </w:rPr>
        <w:t>省打击传销执法办案、传销防控和宣传、无传销社区和无传销网络平台创建等工作；</w:t>
      </w:r>
      <w:r>
        <w:rPr>
          <w:rFonts w:ascii="仿宋_GB2312" w:hAnsi="仿宋" w:eastAsia="仿宋_GB2312"/>
          <w:sz w:val="32"/>
          <w:szCs w:val="32"/>
        </w:rPr>
        <w:t>组织协调相关部门开展打击传销联合行动</w:t>
      </w:r>
      <w:r>
        <w:rPr>
          <w:rFonts w:hint="eastAsia" w:ascii="仿宋" w:hAnsi="仿宋" w:eastAsia="仿宋"/>
          <w:sz w:val="32"/>
          <w:szCs w:val="32"/>
        </w:rPr>
        <w:t>。</w:t>
      </w:r>
    </w:p>
    <w:p>
      <w:pPr>
        <w:ind w:firstLine="800" w:firstLineChars="25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
          <w:sz w:val="32"/>
          <w:szCs w:val="32"/>
        </w:rPr>
        <w:t>市级市场监管机关</w:t>
      </w:r>
      <w:r>
        <w:rPr>
          <w:rFonts w:hint="eastAsia" w:ascii="仿宋_GB2312" w:hAnsi="仿宋" w:eastAsia="仿宋_GB2312"/>
          <w:sz w:val="32"/>
          <w:szCs w:val="32"/>
        </w:rPr>
        <w:t>负责查处本辖区内重大传销案件和上级指定、交办的传销案件；</w:t>
      </w:r>
      <w:r>
        <w:rPr>
          <w:rFonts w:ascii="仿宋_GB2312" w:hAnsi="仿宋" w:eastAsia="仿宋_GB2312"/>
          <w:sz w:val="32"/>
          <w:szCs w:val="32"/>
        </w:rPr>
        <w:t>指导、</w:t>
      </w:r>
      <w:r>
        <w:rPr>
          <w:rFonts w:hint="eastAsia" w:ascii="仿宋_GB2312" w:hAnsi="仿宋" w:eastAsia="仿宋_GB2312"/>
          <w:sz w:val="32"/>
          <w:szCs w:val="32"/>
        </w:rPr>
        <w:t>组织、</w:t>
      </w:r>
      <w:r>
        <w:rPr>
          <w:rFonts w:ascii="仿宋_GB2312" w:hAnsi="仿宋" w:eastAsia="仿宋_GB2312"/>
          <w:sz w:val="32"/>
          <w:szCs w:val="32"/>
        </w:rPr>
        <w:t>协调</w:t>
      </w:r>
      <w:r>
        <w:rPr>
          <w:rFonts w:hint="eastAsia" w:ascii="仿宋_GB2312" w:hAnsi="仿宋" w:eastAsia="仿宋_GB2312"/>
          <w:sz w:val="32"/>
          <w:szCs w:val="32"/>
        </w:rPr>
        <w:t>、督察督办辖区内市场监管</w:t>
      </w:r>
      <w:r>
        <w:rPr>
          <w:rFonts w:ascii="仿宋_GB2312" w:hAnsi="仿宋" w:eastAsia="仿宋_GB2312"/>
          <w:sz w:val="32"/>
          <w:szCs w:val="32"/>
        </w:rPr>
        <w:t>系统打击传销工作</w:t>
      </w:r>
      <w:r>
        <w:rPr>
          <w:rFonts w:hint="eastAsia" w:ascii="仿宋_GB2312" w:hAnsi="仿宋" w:eastAsia="仿宋_GB2312"/>
          <w:sz w:val="32"/>
          <w:szCs w:val="32"/>
        </w:rPr>
        <w:t>；配合市（州）打传联席会议及其办公室组织、指导、</w:t>
      </w:r>
      <w:r>
        <w:rPr>
          <w:rFonts w:ascii="仿宋_GB2312" w:hAnsi="仿宋" w:eastAsia="仿宋_GB2312"/>
          <w:sz w:val="32"/>
          <w:szCs w:val="32"/>
        </w:rPr>
        <w:t>协调</w:t>
      </w:r>
      <w:r>
        <w:rPr>
          <w:rFonts w:hint="eastAsia" w:ascii="仿宋_GB2312" w:hAnsi="仿宋" w:eastAsia="仿宋_GB2312"/>
          <w:sz w:val="32"/>
          <w:szCs w:val="32"/>
        </w:rPr>
        <w:t>、督查督办、考评考核</w:t>
      </w:r>
      <w:r>
        <w:rPr>
          <w:rFonts w:ascii="仿宋_GB2312" w:hAnsi="仿宋" w:eastAsia="仿宋_GB2312"/>
          <w:sz w:val="32"/>
          <w:szCs w:val="32"/>
        </w:rPr>
        <w:t>全</w:t>
      </w:r>
      <w:r>
        <w:rPr>
          <w:rFonts w:hint="eastAsia" w:ascii="仿宋_GB2312" w:hAnsi="仿宋" w:eastAsia="仿宋_GB2312"/>
          <w:sz w:val="32"/>
          <w:szCs w:val="32"/>
        </w:rPr>
        <w:t>市（州）打击传销执法办案、传销防控和宣传、无传销社区和无传销网络平台创建等工作；</w:t>
      </w:r>
      <w:r>
        <w:rPr>
          <w:rFonts w:ascii="仿宋_GB2312" w:hAnsi="仿宋" w:eastAsia="仿宋_GB2312"/>
          <w:sz w:val="32"/>
          <w:szCs w:val="32"/>
        </w:rPr>
        <w:t>协调相关部门开展打击传销联合行动</w:t>
      </w:r>
      <w:r>
        <w:rPr>
          <w:rFonts w:hint="eastAsia" w:ascii="仿宋_GB2312" w:hAnsi="仿宋" w:eastAsia="仿宋_GB2312"/>
          <w:sz w:val="32"/>
          <w:szCs w:val="32"/>
        </w:rPr>
        <w:t>。</w:t>
      </w:r>
    </w:p>
    <w:p>
      <w:pPr>
        <w:ind w:firstLine="800" w:firstLineChars="25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
          <w:sz w:val="32"/>
          <w:szCs w:val="32"/>
        </w:rPr>
        <w:t>县级市场监管机关</w:t>
      </w:r>
      <w:r>
        <w:rPr>
          <w:rFonts w:hint="eastAsia" w:ascii="仿宋_GB2312" w:hAnsi="仿宋" w:eastAsia="仿宋_GB2312"/>
          <w:sz w:val="32"/>
          <w:szCs w:val="32"/>
        </w:rPr>
        <w:t>负责查处本辖区内传销案件和上级指定、交办的传销案件；配合县（市、区、特区）打传联席会议及其办公室组织、</w:t>
      </w:r>
      <w:r>
        <w:rPr>
          <w:rFonts w:ascii="仿宋_GB2312" w:hAnsi="仿宋" w:eastAsia="仿宋_GB2312"/>
          <w:sz w:val="32"/>
          <w:szCs w:val="32"/>
        </w:rPr>
        <w:t>协调</w:t>
      </w:r>
      <w:r>
        <w:rPr>
          <w:rFonts w:hint="eastAsia" w:ascii="仿宋_GB2312" w:hAnsi="仿宋" w:eastAsia="仿宋_GB2312"/>
          <w:sz w:val="32"/>
          <w:szCs w:val="32"/>
        </w:rPr>
        <w:t>辖区内打击传销执法办案、传销防控和宣传、无传销社区和无传销网络平台创建等工作；</w:t>
      </w:r>
      <w:r>
        <w:rPr>
          <w:rFonts w:ascii="仿宋_GB2312" w:hAnsi="仿宋" w:eastAsia="仿宋_GB2312"/>
          <w:sz w:val="32"/>
          <w:szCs w:val="32"/>
        </w:rPr>
        <w:t>协调相关部门开展打击传销联合行动</w:t>
      </w:r>
      <w:r>
        <w:rPr>
          <w:rFonts w:hint="eastAsia" w:ascii="仿宋_GB2312" w:hAnsi="仿宋" w:eastAsia="仿宋_GB2312"/>
          <w:sz w:val="32"/>
          <w:szCs w:val="32"/>
        </w:rPr>
        <w:t>。</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（二）各司其职，合力处置。</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整治传销是一项综合性、系统性的工作，各职能机构必须充分发挥职能，密切配合，合力处置。</w:t>
      </w:r>
    </w:p>
    <w:p>
      <w:pPr>
        <w:ind w:firstLine="640" w:firstLineChars="200"/>
        <w:rPr>
          <w:rFonts w:ascii="仿宋" w:hAnsi="仿宋" w:eastAsia="仿宋"/>
          <w:sz w:val="32"/>
          <w:szCs w:val="32"/>
        </w:rPr>
      </w:pPr>
      <w:r>
        <w:rPr>
          <w:rFonts w:hint="eastAsia" w:ascii="仿宋_GB2312" w:hAnsi="仿宋" w:eastAsia="仿宋_GB2312"/>
          <w:sz w:val="32"/>
          <w:szCs w:val="32"/>
        </w:rPr>
        <w:t>1、</w:t>
      </w:r>
      <w:r>
        <w:rPr>
          <w:rFonts w:hint="eastAsia" w:ascii="仿宋_GB2312" w:hAnsi="仿宋" w:eastAsia="仿宋_GB2312"/>
          <w:b/>
          <w:sz w:val="32"/>
          <w:szCs w:val="32"/>
        </w:rPr>
        <w:t>打击传销机构。</w:t>
      </w:r>
      <w:r>
        <w:rPr>
          <w:rFonts w:hint="eastAsia" w:ascii="仿宋_GB2312" w:hAnsi="仿宋" w:eastAsia="仿宋_GB2312"/>
          <w:sz w:val="32"/>
          <w:szCs w:val="32"/>
        </w:rPr>
        <w:t>拟定全省市场监管系统打击传销年度工作要点；结合新形势、新要求，进一步探索完善打击传销工作机制；负责</w:t>
      </w:r>
      <w:r>
        <w:rPr>
          <w:rFonts w:ascii="仿宋_GB2312" w:hAnsi="仿宋" w:eastAsia="仿宋_GB2312"/>
          <w:sz w:val="32"/>
          <w:szCs w:val="32"/>
        </w:rPr>
        <w:t>打击传销</w:t>
      </w:r>
      <w:r>
        <w:rPr>
          <w:rFonts w:hint="eastAsia" w:ascii="仿宋_GB2312" w:hAnsi="仿宋" w:eastAsia="仿宋_GB2312"/>
          <w:sz w:val="32"/>
          <w:szCs w:val="32"/>
        </w:rPr>
        <w:t>执法办案、无传销社区、无传销网络平台创建，重点地区、重点领域的专项整治，传销防控和宣传等各项工作的组织、指导、</w:t>
      </w:r>
      <w:r>
        <w:rPr>
          <w:rFonts w:ascii="仿宋_GB2312" w:hAnsi="仿宋" w:eastAsia="仿宋_GB2312"/>
          <w:sz w:val="32"/>
          <w:szCs w:val="32"/>
        </w:rPr>
        <w:t>协调</w:t>
      </w:r>
      <w:r>
        <w:rPr>
          <w:rFonts w:hint="eastAsia" w:ascii="仿宋_GB2312" w:hAnsi="仿宋" w:eastAsia="仿宋_GB2312"/>
          <w:sz w:val="32"/>
          <w:szCs w:val="32"/>
        </w:rPr>
        <w:t>、督查督办、考评考核；协调各相关机构，协同处置打击传销各项工作；组织落实执法人员业务培训；组织落实打传联席会议及其办公室议定事项及工作安排；</w:t>
      </w:r>
      <w:r>
        <w:rPr>
          <w:rFonts w:ascii="仿宋_GB2312" w:hAnsi="仿宋" w:eastAsia="仿宋_GB2312"/>
          <w:sz w:val="32"/>
          <w:szCs w:val="32"/>
        </w:rPr>
        <w:t>协调相关部门开展打击传销联合行动</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
          <w:sz w:val="32"/>
          <w:szCs w:val="32"/>
        </w:rPr>
        <w:t>企业开办服务机构。</w:t>
      </w:r>
      <w:r>
        <w:rPr>
          <w:rFonts w:hint="eastAsia" w:ascii="仿宋_GB2312" w:hAnsi="仿宋" w:eastAsia="仿宋_GB2312"/>
          <w:sz w:val="32"/>
          <w:szCs w:val="32"/>
        </w:rPr>
        <w:t>严把市场准入关，配合做好对传销组织的依法处置工作。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
          <w:sz w:val="32"/>
          <w:szCs w:val="32"/>
        </w:rPr>
        <w:t>广告监管机构。</w:t>
      </w:r>
      <w:r>
        <w:rPr>
          <w:rFonts w:hint="eastAsia" w:ascii="仿宋_GB2312" w:hAnsi="仿宋" w:eastAsia="仿宋_GB2312"/>
          <w:sz w:val="32"/>
          <w:szCs w:val="32"/>
        </w:rPr>
        <w:t>严把广告监管关，严格依法查处设计、制作、发布传销违法广告的广告主、广告经营者和广告发布者。</w:t>
      </w:r>
    </w:p>
    <w:p>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b/>
          <w:sz w:val="32"/>
          <w:szCs w:val="32"/>
        </w:rPr>
        <w:t>信用监管机构。</w:t>
      </w:r>
      <w:r>
        <w:rPr>
          <w:rFonts w:hint="eastAsia" w:ascii="仿宋_GB2312" w:hAnsi="仿宋" w:eastAsia="仿宋_GB2312"/>
          <w:sz w:val="32"/>
          <w:szCs w:val="32"/>
        </w:rPr>
        <w:t>严把企业信用监管关，对疑似或涉嫌传销企业的公示信息、经营场所进行重点核查，对符合列入企业经营异常名录的，要依法列入并进行限制；对达到列入严重违法失信企业名单情形的疑似或涉嫌传销企业，要依督查法列入严重违法失信企业名单，实施联合惩戒。</w:t>
      </w:r>
    </w:p>
    <w:p>
      <w:pPr>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b/>
          <w:sz w:val="32"/>
          <w:szCs w:val="32"/>
        </w:rPr>
        <w:t>消费网监和应急宣传机构。</w:t>
      </w:r>
      <w:r>
        <w:rPr>
          <w:rFonts w:hint="eastAsia" w:ascii="仿宋_GB2312" w:hAnsi="仿宋" w:eastAsia="仿宋_GB2312"/>
          <w:sz w:val="32"/>
          <w:szCs w:val="32"/>
        </w:rPr>
        <w:t>适时收集举报、投诉信息，分析研判、深度挖掘，对疑似传销公司或行为做出监测报告，及时报送局综合舆情处置机构。</w:t>
      </w:r>
    </w:p>
    <w:p>
      <w:pPr>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ascii="仿宋_GB2312" w:hAnsi="仿宋" w:eastAsia="仿宋_GB2312"/>
          <w:b/>
          <w:sz w:val="32"/>
          <w:szCs w:val="32"/>
        </w:rPr>
        <w:t>科技信息机构。</w:t>
      </w:r>
      <w:r>
        <w:rPr>
          <w:rFonts w:hint="eastAsia" w:ascii="仿宋_GB2312" w:hAnsi="仿宋" w:eastAsia="仿宋_GB2312"/>
          <w:sz w:val="32"/>
          <w:szCs w:val="32"/>
        </w:rPr>
        <w:t>负责做好网络传销监测系统和监管平台技术保障工作。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7、其他相关部门根据职责职能，适时配合。</w:t>
      </w:r>
    </w:p>
    <w:p>
      <w:pPr>
        <w:adjustRightInd w:val="0"/>
        <w:snapToGrid w:val="0"/>
        <w:spacing w:line="600" w:lineRule="exact"/>
        <w:ind w:firstLine="658"/>
        <w:rPr>
          <w:rFonts w:ascii="黑体" w:hAnsi="黑体" w:eastAsia="黑体"/>
          <w:sz w:val="32"/>
          <w:szCs w:val="32"/>
        </w:rPr>
      </w:pPr>
      <w:r>
        <w:rPr>
          <w:rFonts w:hint="eastAsia" w:ascii="黑体" w:hAnsi="黑体" w:eastAsia="黑体"/>
          <w:sz w:val="32"/>
          <w:szCs w:val="32"/>
        </w:rPr>
        <w:t>三、处置措施</w:t>
      </w:r>
    </w:p>
    <w:p>
      <w:pPr>
        <w:adjustRightInd w:val="0"/>
        <w:snapToGrid w:val="0"/>
        <w:spacing w:line="600" w:lineRule="exact"/>
        <w:ind w:firstLine="658"/>
        <w:rPr>
          <w:rFonts w:ascii="仿宋_GB2312" w:hAnsi="仿宋" w:eastAsia="仿宋_GB2312"/>
          <w:b/>
          <w:sz w:val="32"/>
          <w:szCs w:val="32"/>
        </w:rPr>
      </w:pPr>
      <w:r>
        <w:rPr>
          <w:rFonts w:hint="eastAsia" w:ascii="仿宋_GB2312" w:hAnsi="仿宋" w:eastAsia="仿宋_GB2312"/>
          <w:b/>
          <w:sz w:val="32"/>
          <w:szCs w:val="32"/>
        </w:rPr>
        <w:t>（一）准入环节。</w:t>
      </w:r>
    </w:p>
    <w:p>
      <w:pPr>
        <w:ind w:firstLine="640" w:firstLineChars="200"/>
        <w:rPr>
          <w:rFonts w:ascii="仿宋_GB2312" w:hAnsi="仿宋" w:eastAsia="仿宋_GB2312"/>
          <w:sz w:val="32"/>
          <w:szCs w:val="32"/>
        </w:rPr>
      </w:pPr>
      <w:r>
        <w:rPr>
          <w:rFonts w:hint="eastAsia" w:ascii="仿宋_GB2312" w:hAnsi="仿宋" w:eastAsia="仿宋_GB2312"/>
          <w:sz w:val="32"/>
          <w:szCs w:val="32"/>
        </w:rPr>
        <w:t>1、对于在传销组织中担任职务，并被有关部门追究法律责任的人员，依法采取围栏措施，严格注册登记管理。对正在被调查处置的涉嫌传销主体对外投资或设立分支机构的，经办案机构提请，依法加大企业登记监管力度。</w:t>
      </w:r>
    </w:p>
    <w:p>
      <w:pPr>
        <w:ind w:firstLine="640" w:firstLineChars="200"/>
        <w:rPr>
          <w:rFonts w:ascii="仿宋_GB2312" w:hAnsi="仿宋" w:eastAsia="仿宋_GB2312"/>
          <w:sz w:val="32"/>
          <w:szCs w:val="32"/>
        </w:rPr>
      </w:pPr>
      <w:r>
        <w:rPr>
          <w:rFonts w:hint="eastAsia" w:ascii="仿宋_GB2312" w:hAnsi="仿宋" w:eastAsia="仿宋_GB2312"/>
          <w:sz w:val="32"/>
          <w:szCs w:val="32"/>
        </w:rPr>
        <w:t>2、适时对涉嫌传销市场主体登记事项进行监督检查，依法查处其违反登记事项行为。</w:t>
      </w:r>
    </w:p>
    <w:p>
      <w:pPr>
        <w:ind w:firstLine="643" w:firstLineChars="200"/>
        <w:rPr>
          <w:rFonts w:ascii="仿宋_GB2312" w:hAnsi="仿宋" w:eastAsia="仿宋_GB2312"/>
          <w:sz w:val="32"/>
          <w:szCs w:val="32"/>
        </w:rPr>
      </w:pPr>
      <w:r>
        <w:rPr>
          <w:rFonts w:hint="eastAsia" w:ascii="仿宋_GB2312" w:hAnsi="仿宋" w:eastAsia="仿宋_GB2312"/>
          <w:b/>
          <w:sz w:val="32"/>
          <w:szCs w:val="32"/>
        </w:rPr>
        <w:t>（二）监测环节</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
          <w:sz w:val="32"/>
          <w:szCs w:val="32"/>
        </w:rPr>
        <w:t>监测分析。</w:t>
      </w:r>
      <w:r>
        <w:rPr>
          <w:rFonts w:hint="eastAsia" w:ascii="仿宋_GB2312" w:hAnsi="仿宋" w:eastAsia="仿宋_GB2312"/>
          <w:sz w:val="32"/>
          <w:szCs w:val="32"/>
        </w:rPr>
        <w:t>充分运用网上监测、舆情分析、社会举报等手段，密切会同公安、银监、反洗钱、电信管理等部门，积极协调互联网企业、第三方监测机构和民间反传销组织力量，广泛收集、主动排查可疑网站、公司和人员。全面汇总掌握注册地、备案地、实际经营地在本地的可疑网站、公司的底数和风险状况，准确评估风险等级和风险爆发的关键节点。必要时可通过总局在重庆、浙江、深圳、泉州等网络传销监测点，帮助监测分析研判疑似传销组织行为。</w:t>
      </w:r>
    </w:p>
    <w:p>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
          <w:sz w:val="32"/>
          <w:szCs w:val="32"/>
        </w:rPr>
        <w:t>涉嫌传销线索和舆情处置。</w:t>
      </w:r>
      <w:r>
        <w:rPr>
          <w:rFonts w:hint="eastAsia" w:ascii="仿宋_GB2312" w:hAnsi="仿宋" w:eastAsia="仿宋_GB2312"/>
          <w:sz w:val="32"/>
          <w:szCs w:val="32"/>
        </w:rPr>
        <w:t>市场监管部门发现（含监测发现、受理举报、上级交办、其他部门转办等，下同）的涉及传销的线索和舆情，由发现机构进行台账登记，及时报送局综合舆情处置机构甄别处置。涉嫌传销违法犯罪的，交由局打击传销机构进行处置。对构成案件线索的，按行政处罚程序处置；对不构成案件线索的舆情反映，综合分析处置。</w:t>
      </w:r>
    </w:p>
    <w:p>
      <w:pPr>
        <w:ind w:firstLine="640" w:firstLineChars="200"/>
        <w:rPr>
          <w:rFonts w:ascii="仿宋_GB2312" w:hAnsi="仿宋" w:eastAsia="仿宋_GB2312"/>
          <w:sz w:val="32"/>
          <w:szCs w:val="32"/>
        </w:rPr>
      </w:pPr>
      <w:r>
        <w:rPr>
          <w:rFonts w:hint="eastAsia" w:ascii="仿宋_GB2312" w:hAnsi="仿宋" w:eastAsia="仿宋_GB2312"/>
          <w:sz w:val="32"/>
          <w:szCs w:val="32"/>
        </w:rPr>
        <w:t>打击传销机构应建立案件线索和舆情处置台账，完整记录接收、处置、结果、反馈等情况。定期（原则上为1月，舆情比较集中时，可为1周）形成舆情处置报告，报本局局领导，送局综合舆情处置机构负责人，并逐级上报上级打击传销机构负责人和分管局领导。重大、紧急案情、舆情，及时报送。</w:t>
      </w:r>
    </w:p>
    <w:p>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b/>
          <w:sz w:val="32"/>
          <w:szCs w:val="32"/>
        </w:rPr>
        <w:t>共同研判。</w:t>
      </w:r>
      <w:r>
        <w:rPr>
          <w:rFonts w:hint="eastAsia" w:ascii="仿宋_GB2312" w:hAnsi="仿宋" w:eastAsia="仿宋_GB2312"/>
          <w:sz w:val="32"/>
          <w:szCs w:val="32"/>
        </w:rPr>
        <w:t>对重大、复杂的传销案件，各级市场监管部门应当由局打传领导小组进行研判；必要时，应会同公安、银监、金融、通信管理、网信管理等部门，加强监测联防，共同分析研判；根据案情需要，也可报请上一级研判。</w:t>
      </w:r>
    </w:p>
    <w:p>
      <w:pPr>
        <w:ind w:firstLine="640" w:firstLineChars="200"/>
        <w:rPr>
          <w:rFonts w:ascii="仿宋" w:hAnsi="仿宋" w:eastAsia="仿宋"/>
          <w:sz w:val="32"/>
          <w:szCs w:val="32"/>
        </w:rPr>
      </w:pPr>
      <w:r>
        <w:rPr>
          <w:rFonts w:hint="eastAsia" w:ascii="仿宋_GB2312" w:hAnsi="仿宋" w:eastAsia="仿宋_GB2312"/>
          <w:sz w:val="32"/>
          <w:szCs w:val="32"/>
        </w:rPr>
        <w:t>4、</w:t>
      </w:r>
      <w:r>
        <w:rPr>
          <w:rFonts w:hint="eastAsia" w:ascii="仿宋_GB2312" w:hAnsi="仿宋" w:eastAsia="仿宋_GB2312"/>
          <w:b/>
          <w:sz w:val="32"/>
          <w:szCs w:val="32"/>
        </w:rPr>
        <w:t>探索建立涉传人员市场准入预警机制。</w:t>
      </w:r>
      <w:r>
        <w:rPr>
          <w:rFonts w:hint="eastAsia" w:ascii="仿宋_GB2312" w:hAnsi="仿宋" w:eastAsia="仿宋_GB2312"/>
          <w:sz w:val="32"/>
          <w:szCs w:val="32"/>
        </w:rPr>
        <w:t>打击传销机构、注册登记机构、科技信息机构通力协作，共同探索建</w:t>
      </w:r>
      <w:bookmarkStart w:id="0" w:name="OLE_LINK2"/>
      <w:bookmarkStart w:id="1" w:name="OLE_LINK1"/>
      <w:r>
        <w:rPr>
          <w:rFonts w:hint="eastAsia" w:ascii="仿宋_GB2312" w:hAnsi="仿宋" w:eastAsia="仿宋_GB2312"/>
          <w:sz w:val="32"/>
          <w:szCs w:val="32"/>
        </w:rPr>
        <w:t>立涉</w:t>
      </w:r>
      <w:bookmarkEnd w:id="0"/>
      <w:bookmarkEnd w:id="1"/>
      <w:r>
        <w:rPr>
          <w:rFonts w:hint="eastAsia" w:ascii="仿宋_GB2312" w:hAnsi="仿宋" w:eastAsia="仿宋_GB2312"/>
          <w:sz w:val="32"/>
          <w:szCs w:val="32"/>
        </w:rPr>
        <w:t>传人员市场准入预警机制。积极协调对接总局、公安部门，收集涉传人员名单，对在传销组织中担任职务，并被追究法律责任的传销头目和骨干申请注册登记时，通过注册登记系统向打击传销机构推送预警信息，并与公安、银监、通管等部门信息共享。注册地打击传销机构应针对性地加强此类市场主体监管。</w:t>
      </w:r>
    </w:p>
    <w:p>
      <w:pPr>
        <w:adjustRightInd w:val="0"/>
        <w:snapToGrid w:val="0"/>
        <w:spacing w:line="600" w:lineRule="exact"/>
        <w:ind w:firstLine="658"/>
        <w:rPr>
          <w:rFonts w:ascii="仿宋_GB2312" w:hAnsi="仿宋" w:eastAsia="仿宋_GB2312"/>
          <w:b/>
          <w:sz w:val="32"/>
          <w:szCs w:val="32"/>
        </w:rPr>
      </w:pPr>
      <w:r>
        <w:rPr>
          <w:rFonts w:hint="eastAsia" w:ascii="仿宋_GB2312" w:hAnsi="仿宋" w:eastAsia="仿宋_GB2312"/>
          <w:b/>
          <w:sz w:val="32"/>
          <w:szCs w:val="32"/>
        </w:rPr>
        <w:t>（三）实证环节。</w:t>
      </w:r>
    </w:p>
    <w:p>
      <w:pPr>
        <w:adjustRightInd w:val="0"/>
        <w:snapToGrid w:val="0"/>
        <w:spacing w:line="600" w:lineRule="exact"/>
        <w:ind w:firstLine="658"/>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
          <w:sz w:val="32"/>
          <w:szCs w:val="32"/>
        </w:rPr>
        <w:t>线索处置。</w:t>
      </w:r>
      <w:r>
        <w:rPr>
          <w:rFonts w:hint="eastAsia" w:ascii="仿宋_GB2312" w:hAnsi="仿宋" w:eastAsia="仿宋_GB2312"/>
          <w:sz w:val="32"/>
          <w:szCs w:val="32"/>
        </w:rPr>
        <w:t>根据群众举报、上级交办、有关单位移送、监测点报送的《监测分析报告》及日常巡查发现的涉嫌传销线索，一般由事发地或注册地县级市场监管部门按规定调查处置；重大疑难或跨县级区域的涉嫌传销线索，由市级局指定相关县级局牵头调查处置或市级局统筹处置；跨市级区域的涉嫌传销线索，由省局指定相关市级局牵头调查处置。跨区域的涉嫌传销线索，各相关单位要积极配合牵头单位调查处置，牵头单位要与相关单位密切协作，统筹处置。</w:t>
      </w:r>
    </w:p>
    <w:p>
      <w:pPr>
        <w:adjustRightInd w:val="0"/>
        <w:snapToGrid w:val="0"/>
        <w:spacing w:line="600" w:lineRule="exact"/>
        <w:ind w:firstLine="658"/>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b/>
          <w:sz w:val="32"/>
          <w:szCs w:val="32"/>
        </w:rPr>
        <w:t>属地实证。</w:t>
      </w:r>
      <w:r>
        <w:rPr>
          <w:rFonts w:hint="eastAsia" w:ascii="仿宋_GB2312" w:hAnsi="仿宋" w:eastAsia="仿宋_GB2312"/>
          <w:sz w:val="32"/>
          <w:szCs w:val="32"/>
        </w:rPr>
        <w:t>对接到的涉嫌传销线索，各相关单位均要建立登记台账。调查处置责任单位应按规定于3个工作日内开展调查。一般15个工作日内应逐级报送初步调查处置结果。</w:t>
      </w:r>
    </w:p>
    <w:p>
      <w:pPr>
        <w:adjustRightInd w:val="0"/>
        <w:snapToGrid w:val="0"/>
        <w:spacing w:line="600" w:lineRule="exact"/>
        <w:ind w:firstLine="658"/>
        <w:rPr>
          <w:rFonts w:ascii="仿宋_GB2312" w:hAnsi="仿宋" w:eastAsia="仿宋_GB2312"/>
          <w:sz w:val="32"/>
          <w:szCs w:val="32"/>
        </w:rPr>
      </w:pPr>
      <w:r>
        <w:rPr>
          <w:rFonts w:hint="eastAsia" w:ascii="仿宋_GB2312" w:hAnsi="仿宋" w:eastAsia="仿宋_GB2312"/>
          <w:sz w:val="32"/>
          <w:szCs w:val="32"/>
        </w:rPr>
        <w:t>属地实证主要方法有：一是信息比对分析，与公安、金融、市场主体档案、日常监管信息、投诉举报信息等进行比对；二是根据《禁止传销条例》第十四条第一款第（七）项的规定，与银监等相关部门合作，查询涉嫌传销组织及参与人员账户，分析资金交易流水；三是收集分公司、关联公司注册登记情况；四是进行实地检查，实施现场查证等。</w:t>
      </w:r>
    </w:p>
    <w:p>
      <w:pPr>
        <w:ind w:firstLine="640" w:firstLineChars="200"/>
        <w:rPr>
          <w:rFonts w:ascii="仿宋_GB2312" w:hAnsi="仿宋" w:eastAsia="仿宋_GB2312"/>
          <w:sz w:val="32"/>
          <w:szCs w:val="32"/>
        </w:rPr>
      </w:pPr>
      <w:r>
        <w:rPr>
          <w:rFonts w:hint="eastAsia" w:ascii="仿宋_GB2312" w:hAnsi="仿宋" w:eastAsia="仿宋_GB2312"/>
          <w:sz w:val="32"/>
          <w:szCs w:val="32"/>
        </w:rPr>
        <w:t>属地实证应</w:t>
      </w:r>
      <w:r>
        <w:rPr>
          <w:rFonts w:ascii="仿宋_GB2312" w:hAnsi="仿宋" w:eastAsia="仿宋_GB2312"/>
          <w:sz w:val="32"/>
          <w:szCs w:val="32"/>
        </w:rPr>
        <w:t>全面、客观、公正地调查，</w:t>
      </w:r>
      <w:r>
        <w:rPr>
          <w:rFonts w:hint="eastAsia" w:ascii="仿宋_GB2312" w:hAnsi="仿宋" w:eastAsia="仿宋_GB2312"/>
          <w:sz w:val="32"/>
          <w:szCs w:val="32"/>
        </w:rPr>
        <w:t>依法依规</w:t>
      </w:r>
      <w:r>
        <w:rPr>
          <w:rFonts w:ascii="仿宋_GB2312" w:hAnsi="仿宋" w:eastAsia="仿宋_GB2312"/>
          <w:sz w:val="32"/>
          <w:szCs w:val="32"/>
        </w:rPr>
        <w:t>收集有关证据</w:t>
      </w:r>
      <w:r>
        <w:rPr>
          <w:rFonts w:hint="eastAsia" w:ascii="仿宋_GB2312" w:hAnsi="仿宋" w:eastAsia="仿宋_GB2312"/>
          <w:sz w:val="32"/>
          <w:szCs w:val="32"/>
        </w:rPr>
        <w:t>，了解、核查涉嫌传销组织的运行状况、营销模式、发展轨迹、资金走向、区域发展态势，有效固定行为证据（人员链等）、制度证据（奖金制度等）、财务证据（资金流转凭证等）、网络证据（后台数据、聊天记录等）等证据。</w:t>
      </w:r>
    </w:p>
    <w:p>
      <w:pPr>
        <w:adjustRightInd w:val="0"/>
        <w:snapToGrid w:val="0"/>
        <w:spacing w:line="600" w:lineRule="exact"/>
        <w:ind w:firstLine="658"/>
        <w:rPr>
          <w:rFonts w:ascii="仿宋_GB2312" w:hAnsi="仿宋" w:eastAsia="仿宋_GB2312"/>
          <w:b/>
          <w:sz w:val="32"/>
          <w:szCs w:val="32"/>
        </w:rPr>
      </w:pPr>
      <w:r>
        <w:rPr>
          <w:rFonts w:hint="eastAsia" w:ascii="仿宋_GB2312" w:hAnsi="仿宋" w:eastAsia="仿宋_GB2312"/>
          <w:b/>
          <w:sz w:val="32"/>
          <w:szCs w:val="32"/>
        </w:rPr>
        <w:t>（四）处置环节。</w:t>
      </w:r>
    </w:p>
    <w:p>
      <w:pPr>
        <w:ind w:firstLine="643" w:firstLineChars="200"/>
        <w:rPr>
          <w:rFonts w:ascii="仿宋_GB2312" w:hAnsi="仿宋" w:eastAsia="仿宋_GB2312" w:cs="方正仿宋_GBK"/>
          <w:b/>
          <w:sz w:val="32"/>
          <w:szCs w:val="32"/>
        </w:rPr>
      </w:pPr>
      <w:r>
        <w:rPr>
          <w:rFonts w:hint="eastAsia" w:ascii="仿宋_GB2312" w:hAnsi="仿宋" w:eastAsia="仿宋_GB2312" w:cs="方正仿宋_GBK"/>
          <w:b/>
          <w:sz w:val="32"/>
          <w:szCs w:val="32"/>
        </w:rPr>
        <w:t>1、行政干预和围栏。</w:t>
      </w:r>
    </w:p>
    <w:p>
      <w:pPr>
        <w:ind w:firstLine="640" w:firstLineChars="200"/>
        <w:rPr>
          <w:rFonts w:ascii="仿宋_GB2312" w:hAnsi="仿宋" w:eastAsia="仿宋_GB2312"/>
          <w:sz w:val="32"/>
          <w:szCs w:val="32"/>
        </w:rPr>
      </w:pPr>
      <w:r>
        <w:rPr>
          <w:rFonts w:hint="eastAsia" w:ascii="仿宋_GB2312" w:hAnsi="仿宋" w:eastAsia="仿宋_GB2312"/>
          <w:sz w:val="32"/>
          <w:szCs w:val="32"/>
        </w:rPr>
        <w:t>对有苗头尚未实施传销行为或违法情节和社会危害程度较轻的，要灵活运用提醒、约谈、告诫、行政查处、发布风险预警提示等多种干预措施，配合运用企业登记注册、商标注册、广告监管等围栏手段，努力消灭传销苗头隐患，避免坐大成势。</w:t>
      </w:r>
    </w:p>
    <w:p>
      <w:pPr>
        <w:ind w:firstLine="640" w:firstLineChars="200"/>
        <w:rPr>
          <w:rFonts w:ascii="仿宋_GB2312" w:hAnsi="仿宋" w:eastAsia="仿宋_GB2312"/>
          <w:sz w:val="32"/>
          <w:szCs w:val="32"/>
        </w:rPr>
      </w:pPr>
      <w:r>
        <w:rPr>
          <w:rFonts w:hint="eastAsia" w:ascii="仿宋_GB2312" w:hAnsi="仿宋" w:eastAsia="仿宋_GB2312"/>
          <w:sz w:val="32"/>
          <w:szCs w:val="32"/>
        </w:rPr>
        <w:t>行政干预和围栏以涉传行为发生地市场监管局为主，市场主体注册地市场监管局配合，共同组织实施。对涉及跨区域的，可申请共同上级部门统筹协调。</w:t>
      </w:r>
    </w:p>
    <w:p>
      <w:pPr>
        <w:ind w:firstLine="640" w:firstLineChars="200"/>
        <w:rPr>
          <w:rFonts w:ascii="仿宋_GB2312" w:hAnsi="仿宋" w:eastAsia="仿宋_GB2312"/>
          <w:sz w:val="32"/>
          <w:szCs w:val="32"/>
        </w:rPr>
      </w:pPr>
      <w:r>
        <w:rPr>
          <w:rFonts w:hint="eastAsia" w:ascii="仿宋_GB2312" w:hAnsi="仿宋" w:eastAsia="仿宋_GB2312"/>
          <w:sz w:val="32"/>
          <w:szCs w:val="32"/>
        </w:rPr>
        <w:t>省市场监管局、市（州）市场监管局可根据情况，统筹安排下级市场监管局组织实施行政干预和围栏。</w:t>
      </w:r>
    </w:p>
    <w:p>
      <w:pPr>
        <w:ind w:firstLine="640" w:firstLineChars="200"/>
        <w:rPr>
          <w:rFonts w:ascii="仿宋_GB2312" w:hAnsi="仿宋" w:eastAsia="仿宋_GB2312"/>
          <w:sz w:val="32"/>
          <w:szCs w:val="32"/>
        </w:rPr>
      </w:pPr>
      <w:r>
        <w:rPr>
          <w:rFonts w:hint="eastAsia" w:ascii="仿宋_GB2312" w:hAnsi="仿宋" w:eastAsia="仿宋_GB2312"/>
          <w:sz w:val="32"/>
          <w:szCs w:val="32"/>
        </w:rPr>
        <w:t>规范案件线索转交办流程。案件线索转交办做到“三个必须”</w:t>
      </w:r>
      <w:r>
        <w:rPr>
          <w:rFonts w:hint="eastAsia" w:ascii="仿宋_GB2312" w:hAnsi="仿宋" w:eastAsia="仿宋_GB2312"/>
          <w:sz w:val="32"/>
          <w:szCs w:val="32"/>
          <w:lang w:eastAsia="zh-CN"/>
        </w:rPr>
        <w:t>、</w:t>
      </w:r>
      <w:r>
        <w:rPr>
          <w:rFonts w:hint="eastAsia" w:ascii="仿宋_GB2312" w:hAnsi="仿宋" w:eastAsia="仿宋_GB2312"/>
          <w:sz w:val="32"/>
          <w:szCs w:val="32"/>
        </w:rPr>
        <w:t>“两个注重”。一是必须统一使用国家市场监管总局制定的法律文书；二是必须按照新的办案程序要求，及时将案件线索进行转交办；三是承办单位必须在规定时限内反馈办理情况并回复举报人；四是案件转交办部门要注重对每一个案件线索进行研究，明确案件办理方向和法律依据，为案件承办单位提供必要参考；五是强化对涉黑涉恶线索排查。案件承办单位在对传销案件调查中要对相关当事人进行背景调查，收集相关当事人有无涉黑涉恶证据，核实有关人员身份是否为党员领导干部、人大代表、政协委员，有无犯罪前科等，深挖背后“保护伞”，一经发现立即向属地纪监委、扫黑办通报并上报上级市场监管局；六是注重跟踪指导，案件线索转交办部门要建立台账，对每一个案件线索办理情况进行跟踪，及时了解办理进度、存在的困难问题等，并帮助解决。</w:t>
      </w:r>
    </w:p>
    <w:p>
      <w:pPr>
        <w:ind w:firstLine="643" w:firstLineChars="200"/>
        <w:rPr>
          <w:rFonts w:ascii="仿宋_GB2312" w:hAnsi="仿宋" w:eastAsia="仿宋_GB2312" w:cs="方正仿宋_GBK"/>
          <w:b/>
          <w:sz w:val="32"/>
          <w:szCs w:val="32"/>
        </w:rPr>
      </w:pPr>
      <w:r>
        <w:rPr>
          <w:rFonts w:hint="eastAsia" w:ascii="仿宋_GB2312" w:hAnsi="仿宋" w:eastAsia="仿宋_GB2312" w:cs="方正仿宋_GBK"/>
          <w:b/>
          <w:sz w:val="32"/>
          <w:szCs w:val="32"/>
        </w:rPr>
        <w:t>2、立案查处。</w:t>
      </w:r>
    </w:p>
    <w:p>
      <w:pPr>
        <w:ind w:firstLine="640" w:firstLineChars="200"/>
        <w:rPr>
          <w:rFonts w:ascii="仿宋_GB2312" w:hAnsi="仿宋" w:eastAsia="仿宋_GB2312" w:cs="方正仿宋_GBK"/>
          <w:sz w:val="32"/>
          <w:szCs w:val="32"/>
        </w:rPr>
      </w:pPr>
      <w:r>
        <w:rPr>
          <w:rFonts w:hint="eastAsia" w:ascii="仿宋_GB2312" w:hAnsi="仿宋" w:eastAsia="仿宋_GB2312" w:cs="方正仿宋_GBK"/>
          <w:sz w:val="32"/>
          <w:szCs w:val="32"/>
        </w:rPr>
        <w:t>对违法情节和社会危害程度较大，但未达到刑事追诉标准的，要加强行政查处。</w:t>
      </w:r>
    </w:p>
    <w:p>
      <w:pPr>
        <w:ind w:firstLine="640" w:firstLineChars="200"/>
        <w:rPr>
          <w:rFonts w:ascii="仿宋_GB2312" w:hAnsi="仿宋" w:eastAsia="仿宋_GB2312"/>
          <w:sz w:val="32"/>
          <w:szCs w:val="32"/>
        </w:rPr>
      </w:pPr>
      <w:r>
        <w:rPr>
          <w:rFonts w:hint="eastAsia" w:ascii="仿宋_GB2312" w:hAnsi="仿宋" w:eastAsia="仿宋_GB2312"/>
          <w:sz w:val="32"/>
          <w:szCs w:val="32"/>
        </w:rPr>
        <w:t>传销案件原则上由办案单位成立专案组，主要负责人亲自抓，分管负责人具体抓，相关机构参与，共同研判案情、制定行动方案和善后（维稳）方案，重大事项召开专题会议研究决定。</w:t>
      </w:r>
    </w:p>
    <w:p>
      <w:pPr>
        <w:ind w:firstLine="640" w:firstLineChars="200"/>
        <w:rPr>
          <w:rFonts w:ascii="仿宋_GB2312" w:hAnsi="仿宋" w:eastAsia="仿宋_GB2312"/>
          <w:sz w:val="32"/>
          <w:szCs w:val="32"/>
        </w:rPr>
      </w:pPr>
      <w:r>
        <w:rPr>
          <w:rFonts w:hint="eastAsia" w:ascii="仿宋_GB2312" w:hAnsi="仿宋" w:eastAsia="仿宋_GB2312"/>
          <w:sz w:val="32"/>
          <w:szCs w:val="32"/>
        </w:rPr>
        <w:t>重大、疑难、涉及面广的传销案件，应及时报告当地党委政府和上级部门。查处网络传销案件，应按规定在立案前或立案同时逐级报备至省局，并向当地党委政府报告。</w:t>
      </w:r>
    </w:p>
    <w:p>
      <w:pPr>
        <w:ind w:firstLine="643" w:firstLineChars="200"/>
        <w:rPr>
          <w:rFonts w:ascii="仿宋_GB2312" w:hAnsi="仿宋" w:eastAsia="仿宋_GB2312" w:cs="方正仿宋_GBK"/>
          <w:b/>
          <w:sz w:val="32"/>
          <w:szCs w:val="32"/>
        </w:rPr>
      </w:pPr>
      <w:r>
        <w:rPr>
          <w:rFonts w:hint="eastAsia" w:ascii="仿宋_GB2312" w:hAnsi="仿宋" w:eastAsia="仿宋_GB2312" w:cs="方正仿宋_GBK"/>
          <w:b/>
          <w:sz w:val="32"/>
          <w:szCs w:val="32"/>
        </w:rPr>
        <w:t>3、案件移送。</w:t>
      </w:r>
    </w:p>
    <w:p>
      <w:pPr>
        <w:ind w:firstLine="640" w:firstLineChars="200"/>
        <w:rPr>
          <w:rFonts w:ascii="仿宋_GB2312" w:hAnsi="仿宋" w:eastAsia="仿宋_GB2312"/>
          <w:sz w:val="32"/>
          <w:szCs w:val="32"/>
        </w:rPr>
      </w:pPr>
      <w:r>
        <w:rPr>
          <w:rFonts w:hint="eastAsia" w:ascii="仿宋_GB2312" w:hAnsi="仿宋" w:eastAsia="仿宋_GB2312"/>
          <w:sz w:val="32"/>
          <w:szCs w:val="32"/>
        </w:rPr>
        <w:t>对违法情节和社会危害程度严重，达到刑事追诉标准或涉嫌刑事犯罪的，要及时果断移送公安机关，协同打击。</w:t>
      </w:r>
    </w:p>
    <w:p>
      <w:pPr>
        <w:ind w:firstLine="640" w:firstLineChars="200"/>
        <w:rPr>
          <w:rFonts w:ascii="仿宋_GB2312" w:hAnsi="仿宋" w:eastAsia="仿宋_GB2312"/>
          <w:sz w:val="32"/>
          <w:szCs w:val="32"/>
        </w:rPr>
      </w:pPr>
      <w:r>
        <w:rPr>
          <w:rFonts w:ascii="仿宋_GB2312" w:hAnsi="仿宋" w:eastAsia="仿宋_GB2312"/>
          <w:sz w:val="32"/>
          <w:szCs w:val="32"/>
        </w:rPr>
        <w:t>对在传销中以介绍工作、从事经营活动等名义欺骗他人离开居所地非法聚集并限制其人身自由的，及时移送</w:t>
      </w:r>
      <w:r>
        <w:rPr>
          <w:rFonts w:hint="eastAsia" w:ascii="仿宋_GB2312" w:hAnsi="仿宋" w:eastAsia="仿宋_GB2312"/>
          <w:sz w:val="32"/>
          <w:szCs w:val="32"/>
        </w:rPr>
        <w:t>属地扫黑办和</w:t>
      </w:r>
      <w:r>
        <w:rPr>
          <w:rFonts w:ascii="仿宋_GB2312" w:hAnsi="仿宋" w:eastAsia="仿宋_GB2312"/>
          <w:sz w:val="32"/>
          <w:szCs w:val="32"/>
        </w:rPr>
        <w:t>公安机关</w:t>
      </w:r>
      <w:r>
        <w:rPr>
          <w:rFonts w:hint="eastAsia" w:ascii="仿宋_GB2312" w:hAnsi="仿宋" w:eastAsia="仿宋_GB2312"/>
          <w:sz w:val="32"/>
          <w:szCs w:val="32"/>
        </w:rPr>
        <w:t>。</w:t>
      </w:r>
    </w:p>
    <w:p>
      <w:pPr>
        <w:adjustRightInd w:val="0"/>
        <w:snapToGrid w:val="0"/>
        <w:spacing w:line="600" w:lineRule="exact"/>
        <w:ind w:firstLine="658"/>
        <w:rPr>
          <w:rFonts w:ascii="仿宋_GB2312" w:hAnsi="仿宋" w:eastAsia="仿宋_GB2312"/>
          <w:b/>
          <w:sz w:val="32"/>
          <w:szCs w:val="32"/>
        </w:rPr>
      </w:pPr>
      <w:r>
        <w:rPr>
          <w:rFonts w:hint="eastAsia" w:ascii="仿宋_GB2312" w:hAnsi="仿宋" w:eastAsia="仿宋_GB2312"/>
          <w:b/>
          <w:sz w:val="32"/>
          <w:szCs w:val="32"/>
        </w:rPr>
        <w:t>（五）善后环节。</w:t>
      </w:r>
    </w:p>
    <w:p>
      <w:pPr>
        <w:ind w:firstLine="643" w:firstLineChars="200"/>
        <w:rPr>
          <w:rFonts w:ascii="仿宋_GB2312" w:hAnsi="仿宋" w:eastAsia="仿宋_GB2312"/>
          <w:sz w:val="32"/>
          <w:szCs w:val="32"/>
        </w:rPr>
      </w:pPr>
      <w:r>
        <w:rPr>
          <w:rFonts w:hint="eastAsia" w:ascii="仿宋_GB2312" w:hAnsi="仿宋" w:eastAsia="仿宋_GB2312" w:cs="方正仿宋_GBK"/>
          <w:b/>
          <w:sz w:val="32"/>
          <w:szCs w:val="32"/>
        </w:rPr>
        <w:t>1、稳妥善后。</w:t>
      </w:r>
      <w:r>
        <w:rPr>
          <w:rFonts w:hint="eastAsia" w:ascii="仿宋_GB2312" w:hAnsi="仿宋" w:eastAsia="仿宋_GB2312"/>
          <w:sz w:val="32"/>
          <w:szCs w:val="32"/>
        </w:rPr>
        <w:t>在查处传销案件过程中，特别是对公安机关采取刑事措施打击的重大传销犯罪案件，各地市场监管部门要积极配合公安机关做好教育遣返、维稳等后续处置工作。要加强舆情信息收集，密切关注涉稳动态，突出属地维稳责任，在党委政府领导下会同有关部门开展善后工作，严防出现大规模群体性事件。</w:t>
      </w:r>
    </w:p>
    <w:p>
      <w:pPr>
        <w:ind w:firstLine="643" w:firstLineChars="200"/>
        <w:rPr>
          <w:rFonts w:ascii="仿宋_GB2312" w:hAnsi="仿宋" w:eastAsia="仿宋_GB2312"/>
          <w:sz w:val="32"/>
          <w:szCs w:val="32"/>
        </w:rPr>
      </w:pPr>
      <w:r>
        <w:rPr>
          <w:rFonts w:hint="eastAsia" w:ascii="仿宋_GB2312" w:hAnsi="仿宋" w:eastAsia="仿宋_GB2312" w:cs="方正仿宋_GBK"/>
          <w:b/>
          <w:sz w:val="32"/>
          <w:szCs w:val="32"/>
        </w:rPr>
        <w:t>2、做好后续处置。</w:t>
      </w:r>
      <w:r>
        <w:rPr>
          <w:rFonts w:hint="eastAsia" w:ascii="仿宋_GB2312" w:hAnsi="仿宋" w:eastAsia="仿宋_GB2312"/>
          <w:sz w:val="32"/>
          <w:szCs w:val="32"/>
        </w:rPr>
        <w:t>做好涉案市场主体行政处罚（吊销营业执照等）、行政处罚信息公示等工作。配合通信管理部门做好涉案网站、移动应用程序关闭工作。在结案后</w:t>
      </w:r>
      <w:r>
        <w:rPr>
          <w:rFonts w:ascii="仿宋_GB2312" w:hAnsi="仿宋" w:eastAsia="仿宋_GB2312"/>
          <w:sz w:val="32"/>
          <w:szCs w:val="32"/>
        </w:rPr>
        <w:t>5</w:t>
      </w:r>
      <w:r>
        <w:rPr>
          <w:rFonts w:hint="eastAsia" w:ascii="仿宋_GB2312" w:hAnsi="仿宋" w:eastAsia="仿宋_GB2312"/>
          <w:sz w:val="32"/>
          <w:szCs w:val="32"/>
        </w:rPr>
        <w:t>个工作日内，向上级报送案件材料。</w:t>
      </w:r>
    </w:p>
    <w:p>
      <w:pPr>
        <w:adjustRightInd w:val="0"/>
        <w:snapToGrid w:val="0"/>
        <w:spacing w:line="600" w:lineRule="atLeast"/>
        <w:ind w:firstLine="643" w:firstLineChars="200"/>
        <w:rPr>
          <w:rFonts w:ascii="仿宋" w:hAnsi="仿宋" w:eastAsia="仿宋" w:cs="方正仿宋_GBK"/>
          <w:sz w:val="32"/>
          <w:szCs w:val="32"/>
        </w:rPr>
      </w:pPr>
      <w:r>
        <w:rPr>
          <w:rFonts w:hint="eastAsia" w:ascii="仿宋_GB2312" w:hAnsi="仿宋" w:eastAsia="仿宋_GB2312"/>
          <w:b/>
          <w:sz w:val="32"/>
          <w:szCs w:val="32"/>
        </w:rPr>
        <w:t>3、信息录入。</w:t>
      </w:r>
      <w:r>
        <w:rPr>
          <w:rFonts w:hint="eastAsia" w:ascii="仿宋_GB2312" w:hAnsi="仿宋" w:eastAsia="仿宋_GB2312"/>
          <w:sz w:val="32"/>
          <w:szCs w:val="32"/>
        </w:rPr>
        <w:t>按照谁办案谁录入的原则，及时将传销分子黑名单及案件等相关信息录入全国直销监管信息系统和案件管理系统，并自作出或改变行政处罚决定之日起7个工作日内，将行政处罚信息推送到省“双公示”系统和国家企业信用信息公示系统，实现录入率、公示率</w:t>
      </w:r>
      <w:r>
        <w:rPr>
          <w:rFonts w:ascii="仿宋_GB2312" w:hAnsi="仿宋" w:eastAsia="仿宋_GB2312"/>
          <w:sz w:val="32"/>
          <w:szCs w:val="32"/>
        </w:rPr>
        <w:t>100%</w:t>
      </w:r>
      <w:r>
        <w:rPr>
          <w:rFonts w:hint="eastAsia" w:ascii="仿宋_GB2312" w:hAnsi="仿宋" w:eastAsia="仿宋_GB2312"/>
          <w:sz w:val="32"/>
          <w:szCs w:val="32"/>
        </w:rPr>
        <w:t>。及时将查获的传销人员身份信息及活动情况通报传销人员户籍地政府或公安、市场监管等有关部门。</w:t>
      </w:r>
    </w:p>
    <w:p>
      <w:pPr>
        <w:adjustRightInd w:val="0"/>
        <w:snapToGrid w:val="0"/>
        <w:spacing w:line="600" w:lineRule="exact"/>
        <w:ind w:firstLine="658"/>
        <w:rPr>
          <w:rFonts w:ascii="黑体" w:hAnsi="黑体" w:eastAsia="黑体"/>
          <w:sz w:val="32"/>
          <w:szCs w:val="32"/>
        </w:rPr>
      </w:pPr>
      <w:r>
        <w:rPr>
          <w:rFonts w:hint="eastAsia" w:ascii="黑体" w:hAnsi="黑体" w:eastAsia="黑体" w:cs="宋体"/>
          <w:sz w:val="32"/>
          <w:szCs w:val="32"/>
        </w:rPr>
        <w:t>四、</w:t>
      </w:r>
      <w:r>
        <w:rPr>
          <w:rFonts w:hint="eastAsia" w:ascii="黑体" w:hAnsi="黑体" w:eastAsia="黑体"/>
          <w:sz w:val="32"/>
          <w:szCs w:val="32"/>
        </w:rPr>
        <w:t>宣传与培训</w:t>
      </w:r>
    </w:p>
    <w:p>
      <w:pPr>
        <w:adjustRightInd w:val="0"/>
        <w:snapToGrid w:val="0"/>
        <w:spacing w:line="600" w:lineRule="exact"/>
        <w:ind w:firstLine="658"/>
        <w:rPr>
          <w:rFonts w:ascii="仿宋_GB2312" w:hAnsi="仿宋" w:eastAsia="仿宋_GB2312" w:cs="方正仿宋_GBK"/>
          <w:b/>
          <w:sz w:val="32"/>
          <w:szCs w:val="32"/>
        </w:rPr>
      </w:pPr>
      <w:r>
        <w:rPr>
          <w:rFonts w:hint="eastAsia" w:ascii="仿宋_GB2312" w:hAnsi="仿宋" w:eastAsia="仿宋_GB2312" w:cs="方正仿宋_GBK"/>
          <w:b/>
          <w:sz w:val="32"/>
          <w:szCs w:val="32"/>
        </w:rPr>
        <w:t>1、强化宣传。</w:t>
      </w:r>
    </w:p>
    <w:p>
      <w:pPr>
        <w:adjustRightInd w:val="0"/>
        <w:snapToGrid w:val="0"/>
        <w:spacing w:line="600" w:lineRule="exact"/>
        <w:ind w:firstLine="658"/>
        <w:rPr>
          <w:rFonts w:ascii="仿宋_GB2312" w:hAnsi="仿宋" w:eastAsia="仿宋_GB2312"/>
          <w:sz w:val="32"/>
          <w:szCs w:val="32"/>
        </w:rPr>
      </w:pPr>
      <w:r>
        <w:rPr>
          <w:rFonts w:ascii="仿宋_GB2312" w:hAnsi="仿宋" w:eastAsia="仿宋_GB2312"/>
          <w:sz w:val="32"/>
          <w:szCs w:val="32"/>
        </w:rPr>
        <w:t>各级</w:t>
      </w:r>
      <w:r>
        <w:rPr>
          <w:rFonts w:hint="eastAsia" w:ascii="仿宋_GB2312" w:hAnsi="仿宋" w:eastAsia="仿宋_GB2312"/>
          <w:sz w:val="32"/>
          <w:szCs w:val="32"/>
        </w:rPr>
        <w:t>市场监管</w:t>
      </w:r>
      <w:r>
        <w:rPr>
          <w:rFonts w:ascii="仿宋_GB2312" w:hAnsi="仿宋" w:eastAsia="仿宋_GB2312"/>
          <w:sz w:val="32"/>
          <w:szCs w:val="32"/>
        </w:rPr>
        <w:t>机关</w:t>
      </w:r>
      <w:r>
        <w:rPr>
          <w:rFonts w:hint="eastAsia" w:ascii="仿宋_GB2312" w:hAnsi="仿宋" w:eastAsia="仿宋_GB2312"/>
          <w:sz w:val="32"/>
          <w:szCs w:val="32"/>
        </w:rPr>
        <w:t>应当</w:t>
      </w:r>
      <w:r>
        <w:rPr>
          <w:rFonts w:ascii="仿宋_GB2312" w:hAnsi="仿宋" w:eastAsia="仿宋_GB2312"/>
          <w:sz w:val="32"/>
          <w:szCs w:val="32"/>
        </w:rPr>
        <w:t>结合本地实际情况和打击传销工作的安排，制定</w:t>
      </w:r>
      <w:r>
        <w:rPr>
          <w:rFonts w:hint="eastAsia" w:ascii="仿宋_GB2312" w:hAnsi="仿宋" w:eastAsia="仿宋_GB2312"/>
          <w:sz w:val="32"/>
          <w:szCs w:val="32"/>
        </w:rPr>
        <w:t>年度</w:t>
      </w:r>
      <w:r>
        <w:rPr>
          <w:rFonts w:ascii="仿宋_GB2312" w:hAnsi="仿宋" w:eastAsia="仿宋_GB2312"/>
          <w:sz w:val="32"/>
          <w:szCs w:val="32"/>
        </w:rPr>
        <w:t>宣传</w:t>
      </w:r>
      <w:r>
        <w:rPr>
          <w:rFonts w:hint="eastAsia" w:ascii="仿宋_GB2312" w:hAnsi="仿宋" w:eastAsia="仿宋_GB2312"/>
          <w:sz w:val="32"/>
          <w:szCs w:val="32"/>
        </w:rPr>
        <w:t>工作</w:t>
      </w:r>
      <w:r>
        <w:rPr>
          <w:rFonts w:ascii="仿宋_GB2312" w:hAnsi="仿宋" w:eastAsia="仿宋_GB2312"/>
          <w:sz w:val="32"/>
          <w:szCs w:val="32"/>
        </w:rPr>
        <w:t>方案</w:t>
      </w:r>
      <w:r>
        <w:rPr>
          <w:rFonts w:hint="eastAsia" w:ascii="仿宋_GB2312" w:hAnsi="仿宋" w:eastAsia="仿宋_GB2312"/>
          <w:sz w:val="32"/>
          <w:szCs w:val="32"/>
        </w:rPr>
        <w:t>，并逐级报上级备案</w:t>
      </w:r>
      <w:r>
        <w:rPr>
          <w:rFonts w:ascii="仿宋_GB2312" w:hAnsi="仿宋" w:eastAsia="仿宋_GB2312"/>
          <w:sz w:val="32"/>
          <w:szCs w:val="32"/>
        </w:rPr>
        <w:t>。</w:t>
      </w:r>
      <w:r>
        <w:rPr>
          <w:rFonts w:hint="eastAsia" w:ascii="仿宋_GB2312" w:hAnsi="仿宋" w:eastAsia="仿宋_GB2312"/>
          <w:sz w:val="32"/>
          <w:szCs w:val="32"/>
        </w:rPr>
        <w:t>既要广覆盖的常规性宣传，又要</w:t>
      </w:r>
      <w:r>
        <w:rPr>
          <w:rFonts w:ascii="仿宋_GB2312" w:hAnsi="仿宋" w:eastAsia="仿宋_GB2312"/>
          <w:sz w:val="32"/>
          <w:szCs w:val="32"/>
        </w:rPr>
        <w:t>在传销活动多发区和易发区</w:t>
      </w:r>
      <w:r>
        <w:rPr>
          <w:rFonts w:hint="eastAsia" w:ascii="仿宋_GB2312" w:hAnsi="仿宋" w:eastAsia="仿宋_GB2312"/>
          <w:sz w:val="32"/>
          <w:szCs w:val="32"/>
        </w:rPr>
        <w:t>采取针对性的宣传。</w:t>
      </w:r>
    </w:p>
    <w:p>
      <w:pPr>
        <w:adjustRightInd w:val="0"/>
        <w:snapToGrid w:val="0"/>
        <w:spacing w:line="600" w:lineRule="exact"/>
        <w:ind w:firstLine="658"/>
        <w:rPr>
          <w:rFonts w:ascii="仿宋_GB2312" w:hAnsi="仿宋" w:eastAsia="仿宋_GB2312"/>
          <w:sz w:val="32"/>
          <w:szCs w:val="32"/>
        </w:rPr>
      </w:pPr>
      <w:r>
        <w:rPr>
          <w:rFonts w:ascii="仿宋_GB2312" w:hAnsi="仿宋" w:eastAsia="仿宋_GB2312"/>
          <w:sz w:val="32"/>
          <w:szCs w:val="32"/>
        </w:rPr>
        <w:t>在宣传的组织方面，要争取地方党委、政府的支持</w:t>
      </w:r>
      <w:r>
        <w:rPr>
          <w:rFonts w:hint="eastAsia" w:ascii="仿宋_GB2312" w:hAnsi="仿宋" w:eastAsia="仿宋_GB2312"/>
          <w:sz w:val="32"/>
          <w:szCs w:val="32"/>
        </w:rPr>
        <w:t>，</w:t>
      </w:r>
      <w:r>
        <w:rPr>
          <w:rFonts w:ascii="仿宋_GB2312" w:hAnsi="仿宋" w:eastAsia="仿宋_GB2312"/>
          <w:sz w:val="32"/>
          <w:szCs w:val="32"/>
        </w:rPr>
        <w:t>加强与</w:t>
      </w:r>
      <w:r>
        <w:rPr>
          <w:rFonts w:hint="eastAsia" w:ascii="仿宋_GB2312" w:hAnsi="仿宋" w:eastAsia="仿宋_GB2312"/>
          <w:sz w:val="32"/>
          <w:szCs w:val="32"/>
        </w:rPr>
        <w:t>宣传、</w:t>
      </w:r>
      <w:r>
        <w:rPr>
          <w:rFonts w:ascii="仿宋_GB2312" w:hAnsi="仿宋" w:eastAsia="仿宋_GB2312"/>
          <w:sz w:val="32"/>
          <w:szCs w:val="32"/>
        </w:rPr>
        <w:t>公安、</w:t>
      </w:r>
      <w:r>
        <w:rPr>
          <w:rFonts w:hint="eastAsia" w:ascii="仿宋_GB2312" w:hAnsi="仿宋" w:eastAsia="仿宋_GB2312"/>
          <w:sz w:val="32"/>
          <w:szCs w:val="32"/>
        </w:rPr>
        <w:t>通信</w:t>
      </w:r>
      <w:r>
        <w:rPr>
          <w:rFonts w:ascii="仿宋_GB2312" w:hAnsi="仿宋" w:eastAsia="仿宋_GB2312"/>
          <w:sz w:val="32"/>
          <w:szCs w:val="32"/>
        </w:rPr>
        <w:t>、教育等部门的合作，</w:t>
      </w:r>
      <w:r>
        <w:rPr>
          <w:rFonts w:hint="eastAsia" w:ascii="仿宋_GB2312" w:hAnsi="仿宋" w:eastAsia="仿宋_GB2312"/>
          <w:sz w:val="32"/>
          <w:szCs w:val="32"/>
        </w:rPr>
        <w:t>协调基层组织积极参与</w:t>
      </w:r>
      <w:r>
        <w:rPr>
          <w:rFonts w:ascii="仿宋_GB2312" w:hAnsi="仿宋" w:eastAsia="仿宋_GB2312"/>
          <w:sz w:val="32"/>
          <w:szCs w:val="32"/>
        </w:rPr>
        <w:t>。</w:t>
      </w:r>
      <w:r>
        <w:rPr>
          <w:rFonts w:hint="eastAsia" w:ascii="仿宋_GB2312" w:hAnsi="仿宋" w:eastAsia="仿宋_GB2312"/>
          <w:sz w:val="32"/>
          <w:szCs w:val="32"/>
        </w:rPr>
        <w:t>广泛开展宣传工作“六进”（进社区、进乡村、进企业、进校园、进市场、进车站）活动，适时报道查处传销典型案例，营造打击声势。</w:t>
      </w:r>
    </w:p>
    <w:p>
      <w:pPr>
        <w:adjustRightInd w:val="0"/>
        <w:snapToGrid w:val="0"/>
        <w:spacing w:line="600" w:lineRule="exact"/>
        <w:ind w:firstLine="658"/>
        <w:rPr>
          <w:rFonts w:ascii="仿宋_GB2312" w:hAnsi="仿宋" w:eastAsia="仿宋_GB2312"/>
          <w:sz w:val="32"/>
          <w:szCs w:val="32"/>
        </w:rPr>
      </w:pPr>
      <w:r>
        <w:rPr>
          <w:rFonts w:ascii="仿宋_GB2312" w:hAnsi="仿宋" w:eastAsia="仿宋_GB2312"/>
          <w:sz w:val="32"/>
          <w:szCs w:val="32"/>
        </w:rPr>
        <w:t>在宣传形式方面，</w:t>
      </w:r>
      <w:r>
        <w:rPr>
          <w:rFonts w:hint="eastAsia" w:ascii="仿宋_GB2312" w:hAnsi="仿宋" w:eastAsia="仿宋_GB2312"/>
          <w:sz w:val="32"/>
          <w:szCs w:val="32"/>
        </w:rPr>
        <w:t>坚持宣传“贴近实际、贴近生活、贴近群众”的理念</w:t>
      </w:r>
      <w:r>
        <w:rPr>
          <w:rFonts w:ascii="仿宋_GB2312" w:hAnsi="仿宋" w:eastAsia="仿宋_GB2312"/>
          <w:sz w:val="32"/>
          <w:szCs w:val="32"/>
        </w:rPr>
        <w:t>，</w:t>
      </w:r>
      <w:r>
        <w:rPr>
          <w:rFonts w:hint="eastAsia" w:ascii="仿宋_GB2312" w:hAnsi="仿宋" w:eastAsia="仿宋_GB2312"/>
          <w:sz w:val="32"/>
          <w:szCs w:val="32"/>
        </w:rPr>
        <w:t>充分运用</w:t>
      </w:r>
      <w:r>
        <w:rPr>
          <w:rFonts w:ascii="仿宋_GB2312" w:hAnsi="仿宋" w:eastAsia="仿宋_GB2312"/>
          <w:sz w:val="32"/>
          <w:szCs w:val="32"/>
        </w:rPr>
        <w:t>新闻媒体</w:t>
      </w:r>
      <w:r>
        <w:rPr>
          <w:rFonts w:hint="eastAsia" w:ascii="仿宋_GB2312" w:hAnsi="仿宋" w:eastAsia="仿宋_GB2312"/>
          <w:sz w:val="32"/>
          <w:szCs w:val="32"/>
        </w:rPr>
        <w:t>、新兴媒体以及</w:t>
      </w:r>
      <w:r>
        <w:rPr>
          <w:rFonts w:ascii="仿宋_GB2312" w:hAnsi="仿宋" w:eastAsia="仿宋_GB2312"/>
          <w:sz w:val="32"/>
          <w:szCs w:val="32"/>
        </w:rPr>
        <w:t>宣传车、宣传栏、</w:t>
      </w:r>
      <w:r>
        <w:rPr>
          <w:rFonts w:hint="eastAsia" w:ascii="仿宋_GB2312" w:hAnsi="仿宋" w:eastAsia="仿宋_GB2312"/>
          <w:sz w:val="32"/>
          <w:szCs w:val="32"/>
        </w:rPr>
        <w:t>电梯广告</w:t>
      </w:r>
      <w:r>
        <w:rPr>
          <w:rFonts w:ascii="仿宋_GB2312" w:hAnsi="仿宋" w:eastAsia="仿宋_GB2312"/>
          <w:sz w:val="32"/>
          <w:szCs w:val="32"/>
        </w:rPr>
        <w:t>、</w:t>
      </w:r>
      <w:r>
        <w:rPr>
          <w:rFonts w:hint="eastAsia" w:ascii="仿宋_GB2312" w:hAnsi="仿宋" w:eastAsia="仿宋_GB2312"/>
          <w:sz w:val="32"/>
          <w:szCs w:val="32"/>
        </w:rPr>
        <w:t>户外公告、</w:t>
      </w:r>
      <w:r>
        <w:rPr>
          <w:rFonts w:ascii="仿宋_GB2312" w:hAnsi="仿宋" w:eastAsia="仿宋_GB2312"/>
          <w:sz w:val="32"/>
          <w:szCs w:val="32"/>
        </w:rPr>
        <w:t>招贴画、标语、横幅、印刷品、公开信等</w:t>
      </w:r>
      <w:r>
        <w:rPr>
          <w:rFonts w:hint="eastAsia" w:ascii="仿宋_GB2312" w:hAnsi="仿宋" w:eastAsia="仿宋_GB2312"/>
          <w:sz w:val="32"/>
          <w:szCs w:val="32"/>
        </w:rPr>
        <w:t>多种形式，大力开展宣传教育，</w:t>
      </w:r>
      <w:r>
        <w:rPr>
          <w:rFonts w:ascii="仿宋_GB2312" w:hAnsi="仿宋" w:eastAsia="仿宋_GB2312"/>
          <w:sz w:val="32"/>
          <w:szCs w:val="32"/>
        </w:rPr>
        <w:t>形成立体宣传攻势</w:t>
      </w:r>
      <w:r>
        <w:rPr>
          <w:rFonts w:hint="eastAsia" w:ascii="仿宋_GB2312" w:hAnsi="仿宋" w:eastAsia="仿宋_GB2312"/>
          <w:sz w:val="32"/>
          <w:szCs w:val="32"/>
        </w:rPr>
        <w:t>，切实有效提高群众识别传销、自觉抵制和防范传销的能力。</w:t>
      </w:r>
    </w:p>
    <w:p>
      <w:pPr>
        <w:numPr>
          <w:ilvl w:val="0"/>
          <w:numId w:val="1"/>
        </w:numPr>
        <w:ind w:firstLine="643" w:firstLineChars="200"/>
        <w:rPr>
          <w:rFonts w:ascii="仿宋_GB2312" w:hAnsi="仿宋" w:eastAsia="仿宋_GB2312"/>
          <w:sz w:val="32"/>
          <w:szCs w:val="32"/>
        </w:rPr>
      </w:pPr>
      <w:r>
        <w:rPr>
          <w:rFonts w:hint="eastAsia" w:ascii="仿宋_GB2312" w:hAnsi="仿宋" w:eastAsia="仿宋_GB2312"/>
          <w:b/>
          <w:sz w:val="32"/>
          <w:szCs w:val="32"/>
        </w:rPr>
        <w:t>加强培训。</w:t>
      </w:r>
      <w:r>
        <w:rPr>
          <w:rFonts w:hint="eastAsia" w:ascii="仿宋_GB2312" w:hAnsi="仿宋" w:eastAsia="仿宋_GB2312"/>
          <w:sz w:val="32"/>
          <w:szCs w:val="32"/>
        </w:rPr>
        <w:t>认真研究传销的新手段、新方式、新特征，加强对网络传销及创建无传销网络平台的研究；开展打击传销理论与办案实践的培训；加强典型案例分析研讨，提升执法办案能力。</w:t>
      </w:r>
    </w:p>
    <w:p>
      <w:pPr>
        <w:ind w:firstLine="640" w:firstLineChars="200"/>
        <w:rPr>
          <w:rFonts w:ascii="黑体" w:hAnsi="黑体" w:eastAsia="黑体" w:cs="宋体"/>
          <w:sz w:val="32"/>
          <w:szCs w:val="32"/>
        </w:rPr>
      </w:pPr>
      <w:r>
        <w:rPr>
          <w:rFonts w:hint="eastAsia" w:ascii="黑体" w:hAnsi="黑体" w:eastAsia="黑体" w:cs="宋体"/>
          <w:sz w:val="32"/>
          <w:szCs w:val="32"/>
        </w:rPr>
        <w:t>五、创建无传销社区和无传销网络平台</w:t>
      </w:r>
    </w:p>
    <w:p>
      <w:pPr>
        <w:adjustRightInd w:val="0"/>
        <w:snapToGrid w:val="0"/>
        <w:spacing w:line="600" w:lineRule="atLeast"/>
        <w:ind w:firstLine="640" w:firstLineChars="200"/>
        <w:rPr>
          <w:rFonts w:ascii="仿宋_GB2312" w:hAnsi="仿宋" w:eastAsia="仿宋_GB2312"/>
          <w:sz w:val="32"/>
          <w:szCs w:val="32"/>
        </w:rPr>
      </w:pPr>
      <w:r>
        <w:rPr>
          <w:rFonts w:hint="eastAsia" w:ascii="仿宋_GB2312" w:hAnsi="仿宋" w:eastAsia="仿宋_GB2312"/>
          <w:sz w:val="32"/>
          <w:szCs w:val="32"/>
        </w:rPr>
        <w:t>加强“无传销社区”和“无传销网络平台”创建活动的开展。继续调动基层组织的积极性，群防群控，齐抓共管，全力挤压传销活动生存空间。通过不断压实互联网平台企业的主体责任，引导企业加强自律，开展防范传销宣传和涉传网络信息清理屏蔽等工作。要把群防群治、共治共享以及各类宣传防范活动与“无传销社区”“无传销网络平台”创建工作紧密结合起来，形成线上线下全社会共建共治共享的传销治理格局。</w:t>
      </w:r>
    </w:p>
    <w:p>
      <w:pPr>
        <w:ind w:firstLine="640" w:firstLineChars="200"/>
        <w:rPr>
          <w:rFonts w:ascii="黑体" w:hAnsi="黑体" w:eastAsia="黑体" w:cs="宋体"/>
          <w:sz w:val="32"/>
          <w:szCs w:val="32"/>
        </w:rPr>
      </w:pPr>
      <w:r>
        <w:rPr>
          <w:rFonts w:hint="eastAsia" w:ascii="黑体" w:hAnsi="黑体" w:eastAsia="黑体" w:cs="宋体"/>
          <w:sz w:val="32"/>
          <w:szCs w:val="32"/>
        </w:rPr>
        <w:t>六、督查督办</w:t>
      </w:r>
    </w:p>
    <w:p>
      <w:pPr>
        <w:ind w:firstLine="643" w:firstLineChars="200"/>
        <w:rPr>
          <w:rFonts w:ascii="仿宋" w:hAnsi="仿宋" w:eastAsia="仿宋"/>
          <w:sz w:val="32"/>
          <w:szCs w:val="32"/>
        </w:rPr>
      </w:pPr>
      <w:r>
        <w:rPr>
          <w:rFonts w:hint="eastAsia" w:ascii="仿宋_GB2312" w:hAnsi="仿宋" w:eastAsia="仿宋_GB2312"/>
          <w:b/>
          <w:sz w:val="32"/>
          <w:szCs w:val="32"/>
        </w:rPr>
        <w:t>1、常规督查。</w:t>
      </w:r>
      <w:r>
        <w:rPr>
          <w:rFonts w:hint="eastAsia" w:ascii="仿宋_GB2312" w:hAnsi="仿宋" w:eastAsia="仿宋_GB2312"/>
          <w:sz w:val="32"/>
          <w:szCs w:val="32"/>
        </w:rPr>
        <w:t>省局、市（州）局要加强对属地打击传销工作的督查督办，定期或不定期对任务、进度、成效组织督查督办。重点对年度工作要点、宣传工作方案、无传销社区和无传销网络平台创建等落实情况，以及案件举报受理台账、案件处置流程、专项行动、重大案件等进行督查。省局每年开展督查不低于1次；市（州）局每年开展督查不低于2次，督查结束，应当形成督查报告，报送省局备案</w:t>
      </w:r>
      <w:r>
        <w:rPr>
          <w:rFonts w:hint="eastAsia" w:ascii="仿宋" w:hAnsi="仿宋" w:eastAsia="仿宋"/>
          <w:sz w:val="32"/>
          <w:szCs w:val="32"/>
        </w:rPr>
        <w:t>。</w:t>
      </w:r>
    </w:p>
    <w:p>
      <w:pPr>
        <w:adjustRightInd w:val="0"/>
        <w:snapToGrid w:val="0"/>
        <w:spacing w:line="600" w:lineRule="atLeast"/>
        <w:ind w:firstLine="643" w:firstLineChars="200"/>
        <w:rPr>
          <w:rFonts w:ascii="仿宋_GB2312" w:hAnsi="仿宋" w:eastAsia="仿宋_GB2312"/>
          <w:sz w:val="32"/>
          <w:szCs w:val="32"/>
        </w:rPr>
      </w:pPr>
      <w:r>
        <w:rPr>
          <w:rFonts w:hint="eastAsia" w:ascii="仿宋_GB2312" w:hAnsi="仿宋" w:eastAsia="仿宋_GB2312"/>
          <w:b/>
          <w:sz w:val="32"/>
          <w:szCs w:val="32"/>
        </w:rPr>
        <w:t>2、专项督办。</w:t>
      </w:r>
      <w:r>
        <w:rPr>
          <w:rFonts w:hint="eastAsia" w:ascii="仿宋_GB2312" w:hAnsi="仿宋" w:eastAsia="仿宋_GB2312"/>
          <w:sz w:val="32"/>
          <w:szCs w:val="32"/>
        </w:rPr>
        <w:t>省、市级局根据工作实际，对传销重点地区、重大案情，以及久拖不决的问题进行督查督办，也可联合有关部门组成督查组进行督办，或会同有关部门以省打传联席办名义挂牌督办。</w:t>
      </w:r>
    </w:p>
    <w:p>
      <w:pPr>
        <w:ind w:firstLine="640" w:firstLineChars="200"/>
        <w:rPr>
          <w:rFonts w:ascii="黑体" w:hAnsi="黑体" w:eastAsia="黑体" w:cs="宋体"/>
          <w:sz w:val="32"/>
          <w:szCs w:val="32"/>
        </w:rPr>
      </w:pPr>
      <w:r>
        <w:rPr>
          <w:rFonts w:hint="eastAsia" w:ascii="黑体" w:hAnsi="黑体" w:eastAsia="黑体" w:cs="宋体"/>
          <w:sz w:val="32"/>
          <w:szCs w:val="32"/>
        </w:rPr>
        <w:t>七、考核与责任追究</w:t>
      </w:r>
    </w:p>
    <w:p>
      <w:pPr>
        <w:ind w:firstLine="643" w:firstLineChars="200"/>
        <w:rPr>
          <w:rFonts w:ascii="仿宋_GB2312" w:hAnsi="仿宋" w:eastAsia="仿宋_GB2312"/>
          <w:sz w:val="32"/>
          <w:szCs w:val="32"/>
        </w:rPr>
      </w:pPr>
      <w:r>
        <w:rPr>
          <w:rFonts w:hint="eastAsia" w:ascii="仿宋_GB2312" w:hAnsi="仿宋" w:eastAsia="仿宋_GB2312" w:cs="方正仿宋_GBK"/>
          <w:b/>
          <w:sz w:val="32"/>
          <w:szCs w:val="32"/>
        </w:rPr>
        <w:t>1、加强考核考评。</w:t>
      </w:r>
      <w:r>
        <w:rPr>
          <w:rFonts w:hint="eastAsia" w:ascii="仿宋_GB2312" w:hAnsi="仿宋" w:eastAsia="仿宋_GB2312"/>
          <w:sz w:val="32"/>
          <w:szCs w:val="32"/>
        </w:rPr>
        <w:t>省局将根据年度工作安排要点、督查督办情况以及各地的工作实际，对市（州）局打击传销工作进行专项考核，并作为综治考核打击传销工作考评重要参考依据。市（州）局应当建立对县级局打击传销工作专项考核机制，并将考核结果上报省局备案。</w:t>
      </w:r>
    </w:p>
    <w:p>
      <w:pPr>
        <w:ind w:firstLine="643" w:firstLineChars="200"/>
        <w:rPr>
          <w:rFonts w:ascii="仿宋_GB2312" w:hAnsi="仿宋" w:eastAsia="仿宋_GB2312"/>
          <w:sz w:val="32"/>
          <w:szCs w:val="32"/>
        </w:rPr>
      </w:pPr>
      <w:r>
        <w:rPr>
          <w:rFonts w:hint="eastAsia" w:ascii="仿宋_GB2312" w:hAnsi="仿宋" w:eastAsia="仿宋_GB2312" w:cs="方正仿宋_GBK"/>
          <w:b/>
          <w:sz w:val="32"/>
          <w:szCs w:val="32"/>
        </w:rPr>
        <w:t>2、严肃问责。</w:t>
      </w:r>
      <w:r>
        <w:rPr>
          <w:rFonts w:hint="eastAsia" w:ascii="仿宋_GB2312" w:hAnsi="仿宋" w:eastAsia="仿宋_GB2312"/>
          <w:sz w:val="32"/>
          <w:szCs w:val="32"/>
        </w:rPr>
        <w:t>因打击传销工作履职不到位，责任不落实，造成严重后果的；被省级以上领导点名批评的；被中央、省级主要媒体曝光本地打击传销不力、传销活动较为猖獗的，将严肃问责。</w:t>
      </w:r>
    </w:p>
    <w:p>
      <w:pPr>
        <w:ind w:firstLine="640" w:firstLineChars="200"/>
        <w:rPr>
          <w:rFonts w:ascii="黑体" w:hAnsi="黑体" w:eastAsia="黑体" w:cs="宋体"/>
          <w:sz w:val="32"/>
          <w:szCs w:val="32"/>
        </w:rPr>
      </w:pPr>
      <w:r>
        <w:rPr>
          <w:rFonts w:hint="eastAsia" w:ascii="黑体" w:hAnsi="黑体" w:eastAsia="黑体" w:cs="宋体"/>
          <w:sz w:val="32"/>
          <w:szCs w:val="32"/>
        </w:rPr>
        <w:t>八、组织保障</w:t>
      </w:r>
    </w:p>
    <w:p>
      <w:pPr>
        <w:ind w:firstLine="643" w:firstLineChars="200"/>
        <w:rPr>
          <w:rFonts w:ascii="仿宋_GB2312" w:hAnsi="仿宋" w:eastAsia="仿宋_GB2312"/>
          <w:sz w:val="32"/>
          <w:szCs w:val="32"/>
        </w:rPr>
      </w:pPr>
      <w:r>
        <w:rPr>
          <w:rFonts w:hint="eastAsia" w:ascii="仿宋_GB2312" w:hAnsi="仿宋" w:eastAsia="仿宋_GB2312" w:cs="方正仿宋_GBK"/>
          <w:b/>
          <w:sz w:val="32"/>
          <w:szCs w:val="32"/>
        </w:rPr>
        <w:t>1、加强组织领导。</w:t>
      </w:r>
      <w:r>
        <w:rPr>
          <w:rFonts w:hint="eastAsia" w:ascii="仿宋_GB2312" w:hAnsi="仿宋" w:eastAsia="仿宋_GB2312"/>
          <w:sz w:val="32"/>
          <w:szCs w:val="32"/>
        </w:rPr>
        <w:t>各级市场监管部门要成立以主要负责人任组长，分管领导任副组长，直销监管、法规、注册登记、信用监管、广告监管、消费网监、应急宣传以及科技信息等机构为成员的打击传销工</w:t>
      </w:r>
      <w:r>
        <w:rPr>
          <w:rFonts w:ascii="仿宋_GB2312" w:hAnsi="仿宋" w:eastAsia="仿宋_GB2312"/>
          <w:sz w:val="32"/>
          <w:szCs w:val="32"/>
        </w:rPr>
        <w:t>作</w:t>
      </w:r>
      <w:r>
        <w:rPr>
          <w:rFonts w:hint="eastAsia" w:ascii="仿宋_GB2312" w:hAnsi="仿宋" w:eastAsia="仿宋_GB2312"/>
          <w:sz w:val="32"/>
          <w:szCs w:val="32"/>
        </w:rPr>
        <w:t>领导小组，做到主要负责人亲自抓，分管负责人具体抓。各司其职，形成一级抓一级，层层抓落实的工</w:t>
      </w:r>
      <w:r>
        <w:rPr>
          <w:rFonts w:ascii="仿宋_GB2312" w:hAnsi="仿宋" w:eastAsia="仿宋_GB2312"/>
          <w:sz w:val="32"/>
          <w:szCs w:val="32"/>
        </w:rPr>
        <w:t>作</w:t>
      </w:r>
      <w:r>
        <w:rPr>
          <w:rFonts w:hint="eastAsia" w:ascii="仿宋_GB2312" w:hAnsi="仿宋" w:eastAsia="仿宋_GB2312"/>
          <w:sz w:val="32"/>
          <w:szCs w:val="32"/>
        </w:rPr>
        <w:t>格局。</w:t>
      </w:r>
    </w:p>
    <w:p>
      <w:pPr>
        <w:ind w:firstLine="643" w:firstLineChars="200"/>
        <w:rPr>
          <w:rFonts w:ascii="仿宋_GB2312" w:hAnsi="仿宋" w:eastAsia="仿宋_GB2312"/>
          <w:sz w:val="32"/>
          <w:szCs w:val="32"/>
        </w:rPr>
      </w:pPr>
      <w:r>
        <w:rPr>
          <w:rFonts w:hint="eastAsia" w:ascii="仿宋_GB2312" w:hAnsi="仿宋" w:eastAsia="仿宋_GB2312"/>
          <w:b/>
          <w:sz w:val="32"/>
          <w:szCs w:val="32"/>
        </w:rPr>
        <w:t>2、发挥打传联席会议作用。</w:t>
      </w:r>
      <w:r>
        <w:rPr>
          <w:rFonts w:hint="eastAsia" w:ascii="仿宋_GB2312" w:hAnsi="仿宋" w:eastAsia="仿宋_GB2312"/>
          <w:sz w:val="32"/>
          <w:szCs w:val="32"/>
        </w:rPr>
        <w:t>充分运用打传联席会议办公室作用，积极主动向党委政府汇报，协调沟通相关成员单位，形成工作合力。必要时以联席会议办公室名义召开专题会。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02446"/>
      <w:docPartObj>
        <w:docPartGallery w:val="autotext"/>
      </w:docPartObj>
    </w:sdtPr>
    <w:sdtContent>
      <w:p>
        <w:pPr>
          <w:pStyle w:val="4"/>
          <w:jc w:val="center"/>
        </w:pPr>
        <w:r>
          <w:fldChar w:fldCharType="begin"/>
        </w:r>
        <w:r>
          <w:instrText xml:space="preserve">PAGE   \* MERGEFORMAT</w:instrText>
        </w:r>
        <w:r>
          <w:fldChar w:fldCharType="separate"/>
        </w:r>
        <w:r>
          <w:rPr>
            <w:lang w:val="zh-CN"/>
          </w:rPr>
          <w:t>13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BF280"/>
    <w:multiLevelType w:val="singleLevel"/>
    <w:tmpl w:val="5A9BF2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71"/>
    <w:rsid w:val="000005DA"/>
    <w:rsid w:val="0000128F"/>
    <w:rsid w:val="00004625"/>
    <w:rsid w:val="0001196A"/>
    <w:rsid w:val="000145E5"/>
    <w:rsid w:val="000163A1"/>
    <w:rsid w:val="00016BAA"/>
    <w:rsid w:val="00020B30"/>
    <w:rsid w:val="000215D5"/>
    <w:rsid w:val="000236AF"/>
    <w:rsid w:val="000259FC"/>
    <w:rsid w:val="00026316"/>
    <w:rsid w:val="000268A0"/>
    <w:rsid w:val="00026EEE"/>
    <w:rsid w:val="00035EBB"/>
    <w:rsid w:val="00040215"/>
    <w:rsid w:val="00040BDE"/>
    <w:rsid w:val="000419B6"/>
    <w:rsid w:val="00057B83"/>
    <w:rsid w:val="00064E49"/>
    <w:rsid w:val="000673BC"/>
    <w:rsid w:val="00071C47"/>
    <w:rsid w:val="000732B4"/>
    <w:rsid w:val="00074220"/>
    <w:rsid w:val="00074916"/>
    <w:rsid w:val="00082ED9"/>
    <w:rsid w:val="00083A94"/>
    <w:rsid w:val="0008443C"/>
    <w:rsid w:val="000847A0"/>
    <w:rsid w:val="00087BE0"/>
    <w:rsid w:val="00093599"/>
    <w:rsid w:val="00096CB9"/>
    <w:rsid w:val="0009776D"/>
    <w:rsid w:val="00097B81"/>
    <w:rsid w:val="000A39D2"/>
    <w:rsid w:val="000A53EF"/>
    <w:rsid w:val="000B1996"/>
    <w:rsid w:val="000B2371"/>
    <w:rsid w:val="000B3E31"/>
    <w:rsid w:val="000B3ECD"/>
    <w:rsid w:val="000B486F"/>
    <w:rsid w:val="000B598C"/>
    <w:rsid w:val="000C08CB"/>
    <w:rsid w:val="000C1255"/>
    <w:rsid w:val="000C1BF5"/>
    <w:rsid w:val="000D01AE"/>
    <w:rsid w:val="000D0706"/>
    <w:rsid w:val="000D177A"/>
    <w:rsid w:val="000D1A25"/>
    <w:rsid w:val="000D1C81"/>
    <w:rsid w:val="000D229C"/>
    <w:rsid w:val="000E6973"/>
    <w:rsid w:val="000E7220"/>
    <w:rsid w:val="000F19E9"/>
    <w:rsid w:val="0010188F"/>
    <w:rsid w:val="00107B17"/>
    <w:rsid w:val="001116DA"/>
    <w:rsid w:val="00113975"/>
    <w:rsid w:val="00114478"/>
    <w:rsid w:val="00120428"/>
    <w:rsid w:val="0012147A"/>
    <w:rsid w:val="001243C8"/>
    <w:rsid w:val="0012472B"/>
    <w:rsid w:val="001249C4"/>
    <w:rsid w:val="00125EDB"/>
    <w:rsid w:val="00127943"/>
    <w:rsid w:val="0013034D"/>
    <w:rsid w:val="00131961"/>
    <w:rsid w:val="0013538D"/>
    <w:rsid w:val="001354F3"/>
    <w:rsid w:val="001364C2"/>
    <w:rsid w:val="00141FD4"/>
    <w:rsid w:val="001421E2"/>
    <w:rsid w:val="00142A61"/>
    <w:rsid w:val="0014328E"/>
    <w:rsid w:val="001454F2"/>
    <w:rsid w:val="00145EEC"/>
    <w:rsid w:val="00147A21"/>
    <w:rsid w:val="001512E2"/>
    <w:rsid w:val="001525DB"/>
    <w:rsid w:val="0015377C"/>
    <w:rsid w:val="00155175"/>
    <w:rsid w:val="001562B7"/>
    <w:rsid w:val="0016019B"/>
    <w:rsid w:val="00160B84"/>
    <w:rsid w:val="001627F9"/>
    <w:rsid w:val="00162E5D"/>
    <w:rsid w:val="00164D32"/>
    <w:rsid w:val="00170C82"/>
    <w:rsid w:val="0017159D"/>
    <w:rsid w:val="00173F0C"/>
    <w:rsid w:val="00176874"/>
    <w:rsid w:val="00181A41"/>
    <w:rsid w:val="00181D2C"/>
    <w:rsid w:val="001858EA"/>
    <w:rsid w:val="001863DC"/>
    <w:rsid w:val="00186DD8"/>
    <w:rsid w:val="00191145"/>
    <w:rsid w:val="00193FB2"/>
    <w:rsid w:val="00195CB8"/>
    <w:rsid w:val="001A10A0"/>
    <w:rsid w:val="001A7535"/>
    <w:rsid w:val="001A7543"/>
    <w:rsid w:val="001A7A32"/>
    <w:rsid w:val="001B0420"/>
    <w:rsid w:val="001B1D31"/>
    <w:rsid w:val="001B6715"/>
    <w:rsid w:val="001C0ECA"/>
    <w:rsid w:val="001C181B"/>
    <w:rsid w:val="001C5049"/>
    <w:rsid w:val="001C5653"/>
    <w:rsid w:val="001C63F7"/>
    <w:rsid w:val="001C6DDE"/>
    <w:rsid w:val="001D1771"/>
    <w:rsid w:val="001D24DB"/>
    <w:rsid w:val="001D3B43"/>
    <w:rsid w:val="001D47AE"/>
    <w:rsid w:val="001D71E1"/>
    <w:rsid w:val="001E0F0A"/>
    <w:rsid w:val="001E4785"/>
    <w:rsid w:val="001E67FE"/>
    <w:rsid w:val="001F0D74"/>
    <w:rsid w:val="001F3416"/>
    <w:rsid w:val="001F3A30"/>
    <w:rsid w:val="001F4ED8"/>
    <w:rsid w:val="001F4F27"/>
    <w:rsid w:val="001F737E"/>
    <w:rsid w:val="001F7B1B"/>
    <w:rsid w:val="002017B6"/>
    <w:rsid w:val="00203379"/>
    <w:rsid w:val="00203545"/>
    <w:rsid w:val="00212BA8"/>
    <w:rsid w:val="002144DC"/>
    <w:rsid w:val="00220F69"/>
    <w:rsid w:val="00221C10"/>
    <w:rsid w:val="0022324F"/>
    <w:rsid w:val="00226F15"/>
    <w:rsid w:val="00230156"/>
    <w:rsid w:val="00233F97"/>
    <w:rsid w:val="002364E0"/>
    <w:rsid w:val="00237BA0"/>
    <w:rsid w:val="002415FF"/>
    <w:rsid w:val="002468F7"/>
    <w:rsid w:val="0024788E"/>
    <w:rsid w:val="002510A7"/>
    <w:rsid w:val="00251403"/>
    <w:rsid w:val="0025224E"/>
    <w:rsid w:val="0025296B"/>
    <w:rsid w:val="0025360D"/>
    <w:rsid w:val="0025691E"/>
    <w:rsid w:val="00257FB5"/>
    <w:rsid w:val="00262853"/>
    <w:rsid w:val="00263D5F"/>
    <w:rsid w:val="002645E1"/>
    <w:rsid w:val="00264799"/>
    <w:rsid w:val="00265EE3"/>
    <w:rsid w:val="00266155"/>
    <w:rsid w:val="00267F78"/>
    <w:rsid w:val="002701A2"/>
    <w:rsid w:val="002732DE"/>
    <w:rsid w:val="00274ECD"/>
    <w:rsid w:val="00276B86"/>
    <w:rsid w:val="00277072"/>
    <w:rsid w:val="00277F7E"/>
    <w:rsid w:val="002813AA"/>
    <w:rsid w:val="0028206E"/>
    <w:rsid w:val="002841F6"/>
    <w:rsid w:val="002871AA"/>
    <w:rsid w:val="002900F6"/>
    <w:rsid w:val="00290842"/>
    <w:rsid w:val="00291210"/>
    <w:rsid w:val="00293D55"/>
    <w:rsid w:val="0029462B"/>
    <w:rsid w:val="00294BEF"/>
    <w:rsid w:val="00295973"/>
    <w:rsid w:val="00297B99"/>
    <w:rsid w:val="002A1DDD"/>
    <w:rsid w:val="002A2865"/>
    <w:rsid w:val="002A30AB"/>
    <w:rsid w:val="002A445C"/>
    <w:rsid w:val="002A48DB"/>
    <w:rsid w:val="002A4EB7"/>
    <w:rsid w:val="002A58F1"/>
    <w:rsid w:val="002A6E4F"/>
    <w:rsid w:val="002A7537"/>
    <w:rsid w:val="002B00FF"/>
    <w:rsid w:val="002B04D2"/>
    <w:rsid w:val="002B4F2D"/>
    <w:rsid w:val="002B6606"/>
    <w:rsid w:val="002C135C"/>
    <w:rsid w:val="002C2026"/>
    <w:rsid w:val="002C229A"/>
    <w:rsid w:val="002C4CB0"/>
    <w:rsid w:val="002C54D0"/>
    <w:rsid w:val="002C5768"/>
    <w:rsid w:val="002C594E"/>
    <w:rsid w:val="002C6A50"/>
    <w:rsid w:val="002C6AE6"/>
    <w:rsid w:val="002D417A"/>
    <w:rsid w:val="002D54FB"/>
    <w:rsid w:val="002D62E8"/>
    <w:rsid w:val="002D7D65"/>
    <w:rsid w:val="002E0235"/>
    <w:rsid w:val="002E11A8"/>
    <w:rsid w:val="002E21AE"/>
    <w:rsid w:val="002E2EAC"/>
    <w:rsid w:val="002E5FEA"/>
    <w:rsid w:val="002E6B4D"/>
    <w:rsid w:val="002F0E76"/>
    <w:rsid w:val="002F1512"/>
    <w:rsid w:val="002F1BBB"/>
    <w:rsid w:val="002F306E"/>
    <w:rsid w:val="002F440F"/>
    <w:rsid w:val="002F4A98"/>
    <w:rsid w:val="002F7165"/>
    <w:rsid w:val="003012E4"/>
    <w:rsid w:val="00304C08"/>
    <w:rsid w:val="00310128"/>
    <w:rsid w:val="00313B38"/>
    <w:rsid w:val="00313D60"/>
    <w:rsid w:val="00313F5A"/>
    <w:rsid w:val="00315B2C"/>
    <w:rsid w:val="00325ABF"/>
    <w:rsid w:val="00326D0D"/>
    <w:rsid w:val="00331AC7"/>
    <w:rsid w:val="003323D6"/>
    <w:rsid w:val="0033560B"/>
    <w:rsid w:val="00336F5E"/>
    <w:rsid w:val="003377A9"/>
    <w:rsid w:val="003430FE"/>
    <w:rsid w:val="00346B98"/>
    <w:rsid w:val="00347E18"/>
    <w:rsid w:val="0035044B"/>
    <w:rsid w:val="0035316E"/>
    <w:rsid w:val="00353842"/>
    <w:rsid w:val="00353AC5"/>
    <w:rsid w:val="0035477F"/>
    <w:rsid w:val="00354C22"/>
    <w:rsid w:val="00355499"/>
    <w:rsid w:val="00357807"/>
    <w:rsid w:val="0036362E"/>
    <w:rsid w:val="003637FB"/>
    <w:rsid w:val="0036476F"/>
    <w:rsid w:val="00370080"/>
    <w:rsid w:val="003734ED"/>
    <w:rsid w:val="00376223"/>
    <w:rsid w:val="00381B1D"/>
    <w:rsid w:val="00382615"/>
    <w:rsid w:val="003844DB"/>
    <w:rsid w:val="003853B2"/>
    <w:rsid w:val="0038690A"/>
    <w:rsid w:val="00386D23"/>
    <w:rsid w:val="00394822"/>
    <w:rsid w:val="00395462"/>
    <w:rsid w:val="003975B0"/>
    <w:rsid w:val="003A09BB"/>
    <w:rsid w:val="003A0B96"/>
    <w:rsid w:val="003A0EBA"/>
    <w:rsid w:val="003A12B3"/>
    <w:rsid w:val="003A3B89"/>
    <w:rsid w:val="003A5586"/>
    <w:rsid w:val="003B2F7B"/>
    <w:rsid w:val="003B3C88"/>
    <w:rsid w:val="003B53DC"/>
    <w:rsid w:val="003B54DF"/>
    <w:rsid w:val="003B5F20"/>
    <w:rsid w:val="003B6620"/>
    <w:rsid w:val="003C199B"/>
    <w:rsid w:val="003C1CC6"/>
    <w:rsid w:val="003C2828"/>
    <w:rsid w:val="003C322E"/>
    <w:rsid w:val="003C487D"/>
    <w:rsid w:val="003C61D1"/>
    <w:rsid w:val="003D23F1"/>
    <w:rsid w:val="003D4F56"/>
    <w:rsid w:val="003D51C0"/>
    <w:rsid w:val="003D54C7"/>
    <w:rsid w:val="003D5BE6"/>
    <w:rsid w:val="003E4E44"/>
    <w:rsid w:val="003E73EE"/>
    <w:rsid w:val="003F19F1"/>
    <w:rsid w:val="003F2C03"/>
    <w:rsid w:val="003F3CBF"/>
    <w:rsid w:val="003F533C"/>
    <w:rsid w:val="003F5C4E"/>
    <w:rsid w:val="003F6140"/>
    <w:rsid w:val="003F71DF"/>
    <w:rsid w:val="003F7F97"/>
    <w:rsid w:val="00402396"/>
    <w:rsid w:val="004026EA"/>
    <w:rsid w:val="0040439E"/>
    <w:rsid w:val="00407527"/>
    <w:rsid w:val="004106E8"/>
    <w:rsid w:val="00410C1E"/>
    <w:rsid w:val="00411AD4"/>
    <w:rsid w:val="00414822"/>
    <w:rsid w:val="00414D2D"/>
    <w:rsid w:val="0041731E"/>
    <w:rsid w:val="00430780"/>
    <w:rsid w:val="00431D03"/>
    <w:rsid w:val="00433AA9"/>
    <w:rsid w:val="00434096"/>
    <w:rsid w:val="00434124"/>
    <w:rsid w:val="00437388"/>
    <w:rsid w:val="00440CC2"/>
    <w:rsid w:val="00440D52"/>
    <w:rsid w:val="0044218E"/>
    <w:rsid w:val="004441A8"/>
    <w:rsid w:val="00450EAC"/>
    <w:rsid w:val="0045428C"/>
    <w:rsid w:val="004544D2"/>
    <w:rsid w:val="00456542"/>
    <w:rsid w:val="00460EED"/>
    <w:rsid w:val="00462626"/>
    <w:rsid w:val="00467588"/>
    <w:rsid w:val="00470291"/>
    <w:rsid w:val="00470A24"/>
    <w:rsid w:val="00471B9B"/>
    <w:rsid w:val="00473F75"/>
    <w:rsid w:val="00474896"/>
    <w:rsid w:val="00476E4B"/>
    <w:rsid w:val="00477203"/>
    <w:rsid w:val="004779C3"/>
    <w:rsid w:val="00481083"/>
    <w:rsid w:val="00481C7E"/>
    <w:rsid w:val="0048247C"/>
    <w:rsid w:val="00483AD9"/>
    <w:rsid w:val="00484A6A"/>
    <w:rsid w:val="00486AD5"/>
    <w:rsid w:val="00490337"/>
    <w:rsid w:val="00492FCC"/>
    <w:rsid w:val="00493C8E"/>
    <w:rsid w:val="004A225C"/>
    <w:rsid w:val="004A38FB"/>
    <w:rsid w:val="004A4829"/>
    <w:rsid w:val="004A5484"/>
    <w:rsid w:val="004A6EB1"/>
    <w:rsid w:val="004A7C31"/>
    <w:rsid w:val="004B19E7"/>
    <w:rsid w:val="004B3DCF"/>
    <w:rsid w:val="004B4C85"/>
    <w:rsid w:val="004B4E6B"/>
    <w:rsid w:val="004B79BA"/>
    <w:rsid w:val="004C1205"/>
    <w:rsid w:val="004C217D"/>
    <w:rsid w:val="004C39B6"/>
    <w:rsid w:val="004C6773"/>
    <w:rsid w:val="004C747E"/>
    <w:rsid w:val="004D03B8"/>
    <w:rsid w:val="004D109D"/>
    <w:rsid w:val="004D3041"/>
    <w:rsid w:val="004D3247"/>
    <w:rsid w:val="004D450B"/>
    <w:rsid w:val="004D57CF"/>
    <w:rsid w:val="004E05C8"/>
    <w:rsid w:val="004E51A0"/>
    <w:rsid w:val="004E6124"/>
    <w:rsid w:val="004E6635"/>
    <w:rsid w:val="004E66E9"/>
    <w:rsid w:val="004F4622"/>
    <w:rsid w:val="004F6E2D"/>
    <w:rsid w:val="00503667"/>
    <w:rsid w:val="005045AA"/>
    <w:rsid w:val="00506BF1"/>
    <w:rsid w:val="005128DC"/>
    <w:rsid w:val="00513410"/>
    <w:rsid w:val="00514309"/>
    <w:rsid w:val="00515569"/>
    <w:rsid w:val="0051747B"/>
    <w:rsid w:val="00522C2E"/>
    <w:rsid w:val="00523A5C"/>
    <w:rsid w:val="00524F6F"/>
    <w:rsid w:val="00535F52"/>
    <w:rsid w:val="0053670F"/>
    <w:rsid w:val="0054043E"/>
    <w:rsid w:val="00540A28"/>
    <w:rsid w:val="00542400"/>
    <w:rsid w:val="0054470C"/>
    <w:rsid w:val="0055152B"/>
    <w:rsid w:val="00552819"/>
    <w:rsid w:val="00553801"/>
    <w:rsid w:val="00553873"/>
    <w:rsid w:val="005560F3"/>
    <w:rsid w:val="00563171"/>
    <w:rsid w:val="00565A79"/>
    <w:rsid w:val="005724C8"/>
    <w:rsid w:val="00574F40"/>
    <w:rsid w:val="00575C6A"/>
    <w:rsid w:val="00580380"/>
    <w:rsid w:val="00581056"/>
    <w:rsid w:val="0058126B"/>
    <w:rsid w:val="005854B3"/>
    <w:rsid w:val="005870DF"/>
    <w:rsid w:val="00591BC2"/>
    <w:rsid w:val="0059300D"/>
    <w:rsid w:val="00593649"/>
    <w:rsid w:val="00594E93"/>
    <w:rsid w:val="00596E13"/>
    <w:rsid w:val="005972CC"/>
    <w:rsid w:val="005978A1"/>
    <w:rsid w:val="005A0570"/>
    <w:rsid w:val="005A2036"/>
    <w:rsid w:val="005A27DE"/>
    <w:rsid w:val="005A7151"/>
    <w:rsid w:val="005A719B"/>
    <w:rsid w:val="005B2CCD"/>
    <w:rsid w:val="005B5116"/>
    <w:rsid w:val="005B6100"/>
    <w:rsid w:val="005B75F3"/>
    <w:rsid w:val="005C00D7"/>
    <w:rsid w:val="005C04DF"/>
    <w:rsid w:val="005C1027"/>
    <w:rsid w:val="005C2FB6"/>
    <w:rsid w:val="005C70AD"/>
    <w:rsid w:val="005C7B91"/>
    <w:rsid w:val="005D1230"/>
    <w:rsid w:val="005D1D40"/>
    <w:rsid w:val="005D3736"/>
    <w:rsid w:val="005D3809"/>
    <w:rsid w:val="005D4941"/>
    <w:rsid w:val="005D56CE"/>
    <w:rsid w:val="005D626D"/>
    <w:rsid w:val="005D7B64"/>
    <w:rsid w:val="005E449E"/>
    <w:rsid w:val="005E494F"/>
    <w:rsid w:val="005E5133"/>
    <w:rsid w:val="005E7B6A"/>
    <w:rsid w:val="005F10CA"/>
    <w:rsid w:val="005F23E5"/>
    <w:rsid w:val="005F2B43"/>
    <w:rsid w:val="005F7639"/>
    <w:rsid w:val="006005EA"/>
    <w:rsid w:val="00602354"/>
    <w:rsid w:val="006069D1"/>
    <w:rsid w:val="00607A94"/>
    <w:rsid w:val="00610283"/>
    <w:rsid w:val="00613626"/>
    <w:rsid w:val="00616B54"/>
    <w:rsid w:val="00621658"/>
    <w:rsid w:val="006253C9"/>
    <w:rsid w:val="00625F60"/>
    <w:rsid w:val="0063019E"/>
    <w:rsid w:val="00631D2E"/>
    <w:rsid w:val="006340AE"/>
    <w:rsid w:val="00637715"/>
    <w:rsid w:val="00640E3E"/>
    <w:rsid w:val="006416DB"/>
    <w:rsid w:val="00643785"/>
    <w:rsid w:val="00644AF1"/>
    <w:rsid w:val="00645645"/>
    <w:rsid w:val="006456C3"/>
    <w:rsid w:val="0064632A"/>
    <w:rsid w:val="00646517"/>
    <w:rsid w:val="00654D73"/>
    <w:rsid w:val="00655467"/>
    <w:rsid w:val="0065733E"/>
    <w:rsid w:val="00657EAE"/>
    <w:rsid w:val="00660FEF"/>
    <w:rsid w:val="0066102D"/>
    <w:rsid w:val="00661DA7"/>
    <w:rsid w:val="00667117"/>
    <w:rsid w:val="006718C4"/>
    <w:rsid w:val="00671BAD"/>
    <w:rsid w:val="00671E86"/>
    <w:rsid w:val="0068676B"/>
    <w:rsid w:val="00692F36"/>
    <w:rsid w:val="006A16D8"/>
    <w:rsid w:val="006A4D9A"/>
    <w:rsid w:val="006A71FC"/>
    <w:rsid w:val="006B0ED5"/>
    <w:rsid w:val="006B1EEF"/>
    <w:rsid w:val="006B265A"/>
    <w:rsid w:val="006B3C0D"/>
    <w:rsid w:val="006B4D7F"/>
    <w:rsid w:val="006B707E"/>
    <w:rsid w:val="006C290D"/>
    <w:rsid w:val="006C3C72"/>
    <w:rsid w:val="006C4269"/>
    <w:rsid w:val="006C5A5D"/>
    <w:rsid w:val="006D4D7F"/>
    <w:rsid w:val="006D59B7"/>
    <w:rsid w:val="006D6041"/>
    <w:rsid w:val="006E09CC"/>
    <w:rsid w:val="006E1A01"/>
    <w:rsid w:val="006E2726"/>
    <w:rsid w:val="006E2C90"/>
    <w:rsid w:val="006E2DE6"/>
    <w:rsid w:val="006E3391"/>
    <w:rsid w:val="006E3E21"/>
    <w:rsid w:val="006E64F7"/>
    <w:rsid w:val="006E68F0"/>
    <w:rsid w:val="006F02EB"/>
    <w:rsid w:val="006F3FC7"/>
    <w:rsid w:val="0070146E"/>
    <w:rsid w:val="00701642"/>
    <w:rsid w:val="00704B6E"/>
    <w:rsid w:val="00704C9A"/>
    <w:rsid w:val="007052BC"/>
    <w:rsid w:val="00705407"/>
    <w:rsid w:val="00707DAD"/>
    <w:rsid w:val="00710941"/>
    <w:rsid w:val="0071156B"/>
    <w:rsid w:val="00714358"/>
    <w:rsid w:val="007158F5"/>
    <w:rsid w:val="00715CD6"/>
    <w:rsid w:val="0071709A"/>
    <w:rsid w:val="00720DBA"/>
    <w:rsid w:val="00723E76"/>
    <w:rsid w:val="00724F6D"/>
    <w:rsid w:val="007253B5"/>
    <w:rsid w:val="007256BF"/>
    <w:rsid w:val="00725AF8"/>
    <w:rsid w:val="00725CBD"/>
    <w:rsid w:val="007262F9"/>
    <w:rsid w:val="00731167"/>
    <w:rsid w:val="00731E7E"/>
    <w:rsid w:val="00734248"/>
    <w:rsid w:val="007344D9"/>
    <w:rsid w:val="0073671C"/>
    <w:rsid w:val="00736A46"/>
    <w:rsid w:val="00737C83"/>
    <w:rsid w:val="007406D4"/>
    <w:rsid w:val="00741F25"/>
    <w:rsid w:val="00743470"/>
    <w:rsid w:val="00750956"/>
    <w:rsid w:val="00751F48"/>
    <w:rsid w:val="00753C49"/>
    <w:rsid w:val="00754A6C"/>
    <w:rsid w:val="00754B5D"/>
    <w:rsid w:val="00756F4B"/>
    <w:rsid w:val="00757B37"/>
    <w:rsid w:val="0076340C"/>
    <w:rsid w:val="007649A9"/>
    <w:rsid w:val="007659DD"/>
    <w:rsid w:val="007669D8"/>
    <w:rsid w:val="0077433A"/>
    <w:rsid w:val="00781570"/>
    <w:rsid w:val="007834BF"/>
    <w:rsid w:val="00783B28"/>
    <w:rsid w:val="00784FEF"/>
    <w:rsid w:val="007900A7"/>
    <w:rsid w:val="0079504F"/>
    <w:rsid w:val="00795137"/>
    <w:rsid w:val="007A08EB"/>
    <w:rsid w:val="007A0B4F"/>
    <w:rsid w:val="007A314D"/>
    <w:rsid w:val="007A4C8D"/>
    <w:rsid w:val="007A4FB7"/>
    <w:rsid w:val="007A7FF2"/>
    <w:rsid w:val="007B0BC5"/>
    <w:rsid w:val="007B283F"/>
    <w:rsid w:val="007B4ED8"/>
    <w:rsid w:val="007C39BB"/>
    <w:rsid w:val="007C403E"/>
    <w:rsid w:val="007C48CF"/>
    <w:rsid w:val="007D2142"/>
    <w:rsid w:val="007D26E5"/>
    <w:rsid w:val="007D3761"/>
    <w:rsid w:val="007D3E54"/>
    <w:rsid w:val="007D417C"/>
    <w:rsid w:val="007D4ADE"/>
    <w:rsid w:val="007D5E63"/>
    <w:rsid w:val="007D707A"/>
    <w:rsid w:val="007E528D"/>
    <w:rsid w:val="007E612B"/>
    <w:rsid w:val="007F4BAF"/>
    <w:rsid w:val="007F74F2"/>
    <w:rsid w:val="00801110"/>
    <w:rsid w:val="00802009"/>
    <w:rsid w:val="00802215"/>
    <w:rsid w:val="00803A7D"/>
    <w:rsid w:val="00806473"/>
    <w:rsid w:val="00806E8D"/>
    <w:rsid w:val="00807B4B"/>
    <w:rsid w:val="008115F6"/>
    <w:rsid w:val="00811E77"/>
    <w:rsid w:val="00813F5E"/>
    <w:rsid w:val="00814C1A"/>
    <w:rsid w:val="0081581F"/>
    <w:rsid w:val="008219E0"/>
    <w:rsid w:val="00821BA7"/>
    <w:rsid w:val="0082238F"/>
    <w:rsid w:val="00826016"/>
    <w:rsid w:val="008273D9"/>
    <w:rsid w:val="00831B8F"/>
    <w:rsid w:val="00835E30"/>
    <w:rsid w:val="00836C80"/>
    <w:rsid w:val="008414E5"/>
    <w:rsid w:val="0084540A"/>
    <w:rsid w:val="008458C0"/>
    <w:rsid w:val="00846280"/>
    <w:rsid w:val="00850D8B"/>
    <w:rsid w:val="00855204"/>
    <w:rsid w:val="00856579"/>
    <w:rsid w:val="0085746B"/>
    <w:rsid w:val="008574B5"/>
    <w:rsid w:val="0086159E"/>
    <w:rsid w:val="00863881"/>
    <w:rsid w:val="00864C5A"/>
    <w:rsid w:val="00864DAD"/>
    <w:rsid w:val="00866BF5"/>
    <w:rsid w:val="00866C89"/>
    <w:rsid w:val="00867B83"/>
    <w:rsid w:val="00871002"/>
    <w:rsid w:val="0087211A"/>
    <w:rsid w:val="008818FB"/>
    <w:rsid w:val="008823A3"/>
    <w:rsid w:val="00884E17"/>
    <w:rsid w:val="008876D9"/>
    <w:rsid w:val="008907B6"/>
    <w:rsid w:val="00892293"/>
    <w:rsid w:val="00892486"/>
    <w:rsid w:val="0089797D"/>
    <w:rsid w:val="008A1EEF"/>
    <w:rsid w:val="008A4475"/>
    <w:rsid w:val="008A45A2"/>
    <w:rsid w:val="008A510E"/>
    <w:rsid w:val="008A5652"/>
    <w:rsid w:val="008A651E"/>
    <w:rsid w:val="008B4833"/>
    <w:rsid w:val="008B5555"/>
    <w:rsid w:val="008B58E5"/>
    <w:rsid w:val="008B73E9"/>
    <w:rsid w:val="008C07F4"/>
    <w:rsid w:val="008C2E1E"/>
    <w:rsid w:val="008C633C"/>
    <w:rsid w:val="008C7AC5"/>
    <w:rsid w:val="008D2657"/>
    <w:rsid w:val="008D27D3"/>
    <w:rsid w:val="008D29E5"/>
    <w:rsid w:val="008D32B9"/>
    <w:rsid w:val="008D3454"/>
    <w:rsid w:val="008D5771"/>
    <w:rsid w:val="008E1A1A"/>
    <w:rsid w:val="008E2300"/>
    <w:rsid w:val="008E2ACD"/>
    <w:rsid w:val="008E5FE5"/>
    <w:rsid w:val="008E79FD"/>
    <w:rsid w:val="008F0699"/>
    <w:rsid w:val="008F1C51"/>
    <w:rsid w:val="008F475F"/>
    <w:rsid w:val="008F5F4C"/>
    <w:rsid w:val="008F722C"/>
    <w:rsid w:val="00901D00"/>
    <w:rsid w:val="00902DB2"/>
    <w:rsid w:val="00912749"/>
    <w:rsid w:val="009155CF"/>
    <w:rsid w:val="00920DB4"/>
    <w:rsid w:val="00925A3D"/>
    <w:rsid w:val="00930EFF"/>
    <w:rsid w:val="00934837"/>
    <w:rsid w:val="009348F7"/>
    <w:rsid w:val="0093721C"/>
    <w:rsid w:val="0093765A"/>
    <w:rsid w:val="009376F2"/>
    <w:rsid w:val="00941F4F"/>
    <w:rsid w:val="00942EA4"/>
    <w:rsid w:val="00944228"/>
    <w:rsid w:val="00945DB1"/>
    <w:rsid w:val="00952269"/>
    <w:rsid w:val="00952915"/>
    <w:rsid w:val="00953B65"/>
    <w:rsid w:val="00953DBF"/>
    <w:rsid w:val="00954EEC"/>
    <w:rsid w:val="00955A19"/>
    <w:rsid w:val="00961CB5"/>
    <w:rsid w:val="00963ED8"/>
    <w:rsid w:val="00974EC7"/>
    <w:rsid w:val="009750FC"/>
    <w:rsid w:val="0097583F"/>
    <w:rsid w:val="00977D89"/>
    <w:rsid w:val="00982897"/>
    <w:rsid w:val="00982F1A"/>
    <w:rsid w:val="0098390F"/>
    <w:rsid w:val="00985871"/>
    <w:rsid w:val="009914EC"/>
    <w:rsid w:val="00991585"/>
    <w:rsid w:val="00992C4E"/>
    <w:rsid w:val="0099593C"/>
    <w:rsid w:val="009A3686"/>
    <w:rsid w:val="009A57A4"/>
    <w:rsid w:val="009A60C9"/>
    <w:rsid w:val="009A75C7"/>
    <w:rsid w:val="009B1478"/>
    <w:rsid w:val="009B292B"/>
    <w:rsid w:val="009B3243"/>
    <w:rsid w:val="009B4EAC"/>
    <w:rsid w:val="009B612E"/>
    <w:rsid w:val="009B6B22"/>
    <w:rsid w:val="009C21C7"/>
    <w:rsid w:val="009C33E0"/>
    <w:rsid w:val="009C7E10"/>
    <w:rsid w:val="009C7F2A"/>
    <w:rsid w:val="009D39A1"/>
    <w:rsid w:val="009D4169"/>
    <w:rsid w:val="009D67D8"/>
    <w:rsid w:val="009E6F3A"/>
    <w:rsid w:val="009F3A73"/>
    <w:rsid w:val="009F439B"/>
    <w:rsid w:val="00A0054D"/>
    <w:rsid w:val="00A02F4E"/>
    <w:rsid w:val="00A04851"/>
    <w:rsid w:val="00A049E1"/>
    <w:rsid w:val="00A111FE"/>
    <w:rsid w:val="00A11EAD"/>
    <w:rsid w:val="00A178E3"/>
    <w:rsid w:val="00A228A0"/>
    <w:rsid w:val="00A22F6F"/>
    <w:rsid w:val="00A239EF"/>
    <w:rsid w:val="00A25FB9"/>
    <w:rsid w:val="00A26EDE"/>
    <w:rsid w:val="00A27AF4"/>
    <w:rsid w:val="00A31A79"/>
    <w:rsid w:val="00A33265"/>
    <w:rsid w:val="00A34F0A"/>
    <w:rsid w:val="00A36D27"/>
    <w:rsid w:val="00A36FFF"/>
    <w:rsid w:val="00A42501"/>
    <w:rsid w:val="00A52C04"/>
    <w:rsid w:val="00A553F8"/>
    <w:rsid w:val="00A66522"/>
    <w:rsid w:val="00A67D56"/>
    <w:rsid w:val="00A72D3B"/>
    <w:rsid w:val="00A73940"/>
    <w:rsid w:val="00A74882"/>
    <w:rsid w:val="00A75611"/>
    <w:rsid w:val="00A756BA"/>
    <w:rsid w:val="00A76029"/>
    <w:rsid w:val="00A81003"/>
    <w:rsid w:val="00A8141A"/>
    <w:rsid w:val="00A83028"/>
    <w:rsid w:val="00A8352B"/>
    <w:rsid w:val="00A83D7D"/>
    <w:rsid w:val="00A87A5B"/>
    <w:rsid w:val="00A9091D"/>
    <w:rsid w:val="00A90A47"/>
    <w:rsid w:val="00A964BC"/>
    <w:rsid w:val="00A97804"/>
    <w:rsid w:val="00AA2B2D"/>
    <w:rsid w:val="00AA30A7"/>
    <w:rsid w:val="00AA416A"/>
    <w:rsid w:val="00AA4E50"/>
    <w:rsid w:val="00AA5CA1"/>
    <w:rsid w:val="00AA6268"/>
    <w:rsid w:val="00AB15A4"/>
    <w:rsid w:val="00AB1623"/>
    <w:rsid w:val="00AB2A24"/>
    <w:rsid w:val="00AB6B24"/>
    <w:rsid w:val="00AC1864"/>
    <w:rsid w:val="00AC5FDA"/>
    <w:rsid w:val="00AC77AB"/>
    <w:rsid w:val="00AC7AD3"/>
    <w:rsid w:val="00AD131D"/>
    <w:rsid w:val="00AD5A08"/>
    <w:rsid w:val="00AD6F22"/>
    <w:rsid w:val="00AE1B00"/>
    <w:rsid w:val="00AE3163"/>
    <w:rsid w:val="00AE5736"/>
    <w:rsid w:val="00AE7119"/>
    <w:rsid w:val="00AE7BFC"/>
    <w:rsid w:val="00AF094D"/>
    <w:rsid w:val="00AF17C4"/>
    <w:rsid w:val="00AF2FB6"/>
    <w:rsid w:val="00AF60BC"/>
    <w:rsid w:val="00AF73CC"/>
    <w:rsid w:val="00B00603"/>
    <w:rsid w:val="00B03B90"/>
    <w:rsid w:val="00B06F77"/>
    <w:rsid w:val="00B07B44"/>
    <w:rsid w:val="00B07DBB"/>
    <w:rsid w:val="00B138B4"/>
    <w:rsid w:val="00B14059"/>
    <w:rsid w:val="00B14CFA"/>
    <w:rsid w:val="00B15A79"/>
    <w:rsid w:val="00B17C24"/>
    <w:rsid w:val="00B17C90"/>
    <w:rsid w:val="00B20A7D"/>
    <w:rsid w:val="00B2105D"/>
    <w:rsid w:val="00B22417"/>
    <w:rsid w:val="00B22CBF"/>
    <w:rsid w:val="00B24894"/>
    <w:rsid w:val="00B264E3"/>
    <w:rsid w:val="00B265E3"/>
    <w:rsid w:val="00B26BD2"/>
    <w:rsid w:val="00B273AE"/>
    <w:rsid w:val="00B27B51"/>
    <w:rsid w:val="00B31D35"/>
    <w:rsid w:val="00B34100"/>
    <w:rsid w:val="00B34B01"/>
    <w:rsid w:val="00B370F0"/>
    <w:rsid w:val="00B40C19"/>
    <w:rsid w:val="00B427D8"/>
    <w:rsid w:val="00B43A36"/>
    <w:rsid w:val="00B44837"/>
    <w:rsid w:val="00B47201"/>
    <w:rsid w:val="00B52D2A"/>
    <w:rsid w:val="00B52DC4"/>
    <w:rsid w:val="00B60627"/>
    <w:rsid w:val="00B60CEF"/>
    <w:rsid w:val="00B60ED9"/>
    <w:rsid w:val="00B62494"/>
    <w:rsid w:val="00B63864"/>
    <w:rsid w:val="00B638EC"/>
    <w:rsid w:val="00B6671E"/>
    <w:rsid w:val="00B72053"/>
    <w:rsid w:val="00B763FB"/>
    <w:rsid w:val="00B8011F"/>
    <w:rsid w:val="00B81486"/>
    <w:rsid w:val="00B82CEA"/>
    <w:rsid w:val="00B9007A"/>
    <w:rsid w:val="00B910DA"/>
    <w:rsid w:val="00B93F5B"/>
    <w:rsid w:val="00B972A7"/>
    <w:rsid w:val="00BA1139"/>
    <w:rsid w:val="00BA2B5B"/>
    <w:rsid w:val="00BA4197"/>
    <w:rsid w:val="00BB0995"/>
    <w:rsid w:val="00BB17D1"/>
    <w:rsid w:val="00BB197C"/>
    <w:rsid w:val="00BB65F5"/>
    <w:rsid w:val="00BB760C"/>
    <w:rsid w:val="00BB7733"/>
    <w:rsid w:val="00BB7E20"/>
    <w:rsid w:val="00BC17BC"/>
    <w:rsid w:val="00BC2A3C"/>
    <w:rsid w:val="00BC5374"/>
    <w:rsid w:val="00BC745F"/>
    <w:rsid w:val="00BC7800"/>
    <w:rsid w:val="00BD1514"/>
    <w:rsid w:val="00BD1CB7"/>
    <w:rsid w:val="00BD4565"/>
    <w:rsid w:val="00BE270C"/>
    <w:rsid w:val="00BE4966"/>
    <w:rsid w:val="00BE726B"/>
    <w:rsid w:val="00BF0046"/>
    <w:rsid w:val="00BF2F93"/>
    <w:rsid w:val="00BF5DF4"/>
    <w:rsid w:val="00BF7807"/>
    <w:rsid w:val="00C0115A"/>
    <w:rsid w:val="00C03BF7"/>
    <w:rsid w:val="00C03C59"/>
    <w:rsid w:val="00C046E7"/>
    <w:rsid w:val="00C06C15"/>
    <w:rsid w:val="00C106B1"/>
    <w:rsid w:val="00C12C17"/>
    <w:rsid w:val="00C13387"/>
    <w:rsid w:val="00C20E4D"/>
    <w:rsid w:val="00C23048"/>
    <w:rsid w:val="00C2600E"/>
    <w:rsid w:val="00C300D6"/>
    <w:rsid w:val="00C310CD"/>
    <w:rsid w:val="00C3165D"/>
    <w:rsid w:val="00C331E5"/>
    <w:rsid w:val="00C33C6D"/>
    <w:rsid w:val="00C34BEE"/>
    <w:rsid w:val="00C41705"/>
    <w:rsid w:val="00C438B9"/>
    <w:rsid w:val="00C44519"/>
    <w:rsid w:val="00C551C1"/>
    <w:rsid w:val="00C60B8E"/>
    <w:rsid w:val="00C62D6E"/>
    <w:rsid w:val="00C6693B"/>
    <w:rsid w:val="00C67121"/>
    <w:rsid w:val="00C672C7"/>
    <w:rsid w:val="00C70157"/>
    <w:rsid w:val="00C71BD8"/>
    <w:rsid w:val="00C72387"/>
    <w:rsid w:val="00C7308B"/>
    <w:rsid w:val="00C76EED"/>
    <w:rsid w:val="00C7757A"/>
    <w:rsid w:val="00C805AE"/>
    <w:rsid w:val="00C821E3"/>
    <w:rsid w:val="00C836E9"/>
    <w:rsid w:val="00C855B0"/>
    <w:rsid w:val="00C8583A"/>
    <w:rsid w:val="00C858CE"/>
    <w:rsid w:val="00C85BB7"/>
    <w:rsid w:val="00C86155"/>
    <w:rsid w:val="00C90501"/>
    <w:rsid w:val="00C907E2"/>
    <w:rsid w:val="00C93057"/>
    <w:rsid w:val="00C93DB4"/>
    <w:rsid w:val="00C954A5"/>
    <w:rsid w:val="00C96A95"/>
    <w:rsid w:val="00C97A70"/>
    <w:rsid w:val="00CA1A7A"/>
    <w:rsid w:val="00CA2599"/>
    <w:rsid w:val="00CA26F7"/>
    <w:rsid w:val="00CA28E8"/>
    <w:rsid w:val="00CB7ED3"/>
    <w:rsid w:val="00CC0529"/>
    <w:rsid w:val="00CC3C3D"/>
    <w:rsid w:val="00CC4E56"/>
    <w:rsid w:val="00CD003C"/>
    <w:rsid w:val="00CD0ECC"/>
    <w:rsid w:val="00CD1434"/>
    <w:rsid w:val="00CD30DC"/>
    <w:rsid w:val="00CD39F0"/>
    <w:rsid w:val="00CE08EB"/>
    <w:rsid w:val="00CE184A"/>
    <w:rsid w:val="00CE2A39"/>
    <w:rsid w:val="00CE3DBA"/>
    <w:rsid w:val="00CE4529"/>
    <w:rsid w:val="00CE45AE"/>
    <w:rsid w:val="00CE5A83"/>
    <w:rsid w:val="00CE72E1"/>
    <w:rsid w:val="00CE74F0"/>
    <w:rsid w:val="00CF1B78"/>
    <w:rsid w:val="00CF30AC"/>
    <w:rsid w:val="00D00EDD"/>
    <w:rsid w:val="00D03D61"/>
    <w:rsid w:val="00D10723"/>
    <w:rsid w:val="00D11188"/>
    <w:rsid w:val="00D1156E"/>
    <w:rsid w:val="00D126D4"/>
    <w:rsid w:val="00D14FEC"/>
    <w:rsid w:val="00D15C2F"/>
    <w:rsid w:val="00D16737"/>
    <w:rsid w:val="00D17C7C"/>
    <w:rsid w:val="00D20F70"/>
    <w:rsid w:val="00D22DD5"/>
    <w:rsid w:val="00D239B7"/>
    <w:rsid w:val="00D23ECA"/>
    <w:rsid w:val="00D30B78"/>
    <w:rsid w:val="00D31ED2"/>
    <w:rsid w:val="00D33FB6"/>
    <w:rsid w:val="00D35780"/>
    <w:rsid w:val="00D35BD0"/>
    <w:rsid w:val="00D36880"/>
    <w:rsid w:val="00D41D74"/>
    <w:rsid w:val="00D42A24"/>
    <w:rsid w:val="00D42D66"/>
    <w:rsid w:val="00D43301"/>
    <w:rsid w:val="00D44BF9"/>
    <w:rsid w:val="00D45F5C"/>
    <w:rsid w:val="00D46875"/>
    <w:rsid w:val="00D46C92"/>
    <w:rsid w:val="00D52558"/>
    <w:rsid w:val="00D55D36"/>
    <w:rsid w:val="00D5626D"/>
    <w:rsid w:val="00D57BB2"/>
    <w:rsid w:val="00D6058B"/>
    <w:rsid w:val="00D607F3"/>
    <w:rsid w:val="00D62B18"/>
    <w:rsid w:val="00D656D3"/>
    <w:rsid w:val="00D65875"/>
    <w:rsid w:val="00D6633D"/>
    <w:rsid w:val="00D666C9"/>
    <w:rsid w:val="00D70C7C"/>
    <w:rsid w:val="00D718B6"/>
    <w:rsid w:val="00D71C80"/>
    <w:rsid w:val="00D744BF"/>
    <w:rsid w:val="00D74D25"/>
    <w:rsid w:val="00D74D30"/>
    <w:rsid w:val="00D759E4"/>
    <w:rsid w:val="00D80CD5"/>
    <w:rsid w:val="00D85D05"/>
    <w:rsid w:val="00D900E4"/>
    <w:rsid w:val="00D93C00"/>
    <w:rsid w:val="00D959D6"/>
    <w:rsid w:val="00DA21E1"/>
    <w:rsid w:val="00DA39DB"/>
    <w:rsid w:val="00DB0B04"/>
    <w:rsid w:val="00DB1216"/>
    <w:rsid w:val="00DB19E3"/>
    <w:rsid w:val="00DB4631"/>
    <w:rsid w:val="00DB6498"/>
    <w:rsid w:val="00DC1DDA"/>
    <w:rsid w:val="00DC249C"/>
    <w:rsid w:val="00DC5203"/>
    <w:rsid w:val="00DD15D6"/>
    <w:rsid w:val="00DD4FE1"/>
    <w:rsid w:val="00DD59A0"/>
    <w:rsid w:val="00DD5BFC"/>
    <w:rsid w:val="00DD64ED"/>
    <w:rsid w:val="00DD6AE1"/>
    <w:rsid w:val="00DD6DC9"/>
    <w:rsid w:val="00DD7CC7"/>
    <w:rsid w:val="00DE035F"/>
    <w:rsid w:val="00DE0BAD"/>
    <w:rsid w:val="00DE3EED"/>
    <w:rsid w:val="00DE4448"/>
    <w:rsid w:val="00DE6573"/>
    <w:rsid w:val="00DF130D"/>
    <w:rsid w:val="00DF32BE"/>
    <w:rsid w:val="00DF4C4C"/>
    <w:rsid w:val="00DF4EB5"/>
    <w:rsid w:val="00DF6AB4"/>
    <w:rsid w:val="00E0063B"/>
    <w:rsid w:val="00E00AED"/>
    <w:rsid w:val="00E0195B"/>
    <w:rsid w:val="00E02BB6"/>
    <w:rsid w:val="00E0708A"/>
    <w:rsid w:val="00E1476A"/>
    <w:rsid w:val="00E15014"/>
    <w:rsid w:val="00E1794E"/>
    <w:rsid w:val="00E17D7E"/>
    <w:rsid w:val="00E21136"/>
    <w:rsid w:val="00E22EBE"/>
    <w:rsid w:val="00E23209"/>
    <w:rsid w:val="00E25B82"/>
    <w:rsid w:val="00E2726C"/>
    <w:rsid w:val="00E3067D"/>
    <w:rsid w:val="00E33EC3"/>
    <w:rsid w:val="00E344CE"/>
    <w:rsid w:val="00E36677"/>
    <w:rsid w:val="00E3794F"/>
    <w:rsid w:val="00E4007E"/>
    <w:rsid w:val="00E40214"/>
    <w:rsid w:val="00E425EE"/>
    <w:rsid w:val="00E45213"/>
    <w:rsid w:val="00E46BD4"/>
    <w:rsid w:val="00E504BB"/>
    <w:rsid w:val="00E51BDF"/>
    <w:rsid w:val="00E53F43"/>
    <w:rsid w:val="00E54011"/>
    <w:rsid w:val="00E6045A"/>
    <w:rsid w:val="00E60CC9"/>
    <w:rsid w:val="00E61DBE"/>
    <w:rsid w:val="00E62DC9"/>
    <w:rsid w:val="00E630CE"/>
    <w:rsid w:val="00E73324"/>
    <w:rsid w:val="00E7533B"/>
    <w:rsid w:val="00E75531"/>
    <w:rsid w:val="00E75639"/>
    <w:rsid w:val="00E75915"/>
    <w:rsid w:val="00E75D9F"/>
    <w:rsid w:val="00E81443"/>
    <w:rsid w:val="00E8214D"/>
    <w:rsid w:val="00E85063"/>
    <w:rsid w:val="00E8657E"/>
    <w:rsid w:val="00E8729D"/>
    <w:rsid w:val="00E96F78"/>
    <w:rsid w:val="00EA05B3"/>
    <w:rsid w:val="00EA1FC6"/>
    <w:rsid w:val="00EA2CFB"/>
    <w:rsid w:val="00EA63E9"/>
    <w:rsid w:val="00EB32E4"/>
    <w:rsid w:val="00EB5018"/>
    <w:rsid w:val="00EB58ED"/>
    <w:rsid w:val="00EB6321"/>
    <w:rsid w:val="00EB68B8"/>
    <w:rsid w:val="00EB6B34"/>
    <w:rsid w:val="00EB776A"/>
    <w:rsid w:val="00EC1F1E"/>
    <w:rsid w:val="00EC57A1"/>
    <w:rsid w:val="00EC59DD"/>
    <w:rsid w:val="00EC7DC5"/>
    <w:rsid w:val="00ED09DD"/>
    <w:rsid w:val="00ED2481"/>
    <w:rsid w:val="00ED3AC2"/>
    <w:rsid w:val="00ED4E22"/>
    <w:rsid w:val="00ED5D64"/>
    <w:rsid w:val="00ED658A"/>
    <w:rsid w:val="00ED66A2"/>
    <w:rsid w:val="00EE039C"/>
    <w:rsid w:val="00EE1A48"/>
    <w:rsid w:val="00EE20C4"/>
    <w:rsid w:val="00EE4A60"/>
    <w:rsid w:val="00EE4B4A"/>
    <w:rsid w:val="00EE4F8E"/>
    <w:rsid w:val="00EE76AC"/>
    <w:rsid w:val="00F0611F"/>
    <w:rsid w:val="00F10977"/>
    <w:rsid w:val="00F11CC0"/>
    <w:rsid w:val="00F11E39"/>
    <w:rsid w:val="00F14204"/>
    <w:rsid w:val="00F16D68"/>
    <w:rsid w:val="00F16F94"/>
    <w:rsid w:val="00F17780"/>
    <w:rsid w:val="00F23817"/>
    <w:rsid w:val="00F2493D"/>
    <w:rsid w:val="00F2588C"/>
    <w:rsid w:val="00F26AAE"/>
    <w:rsid w:val="00F32BDD"/>
    <w:rsid w:val="00F33AF8"/>
    <w:rsid w:val="00F340B0"/>
    <w:rsid w:val="00F34792"/>
    <w:rsid w:val="00F36720"/>
    <w:rsid w:val="00F367F7"/>
    <w:rsid w:val="00F36B58"/>
    <w:rsid w:val="00F416DA"/>
    <w:rsid w:val="00F42CB1"/>
    <w:rsid w:val="00F42DF6"/>
    <w:rsid w:val="00F44FE9"/>
    <w:rsid w:val="00F45DD6"/>
    <w:rsid w:val="00F50898"/>
    <w:rsid w:val="00F5325A"/>
    <w:rsid w:val="00F537D4"/>
    <w:rsid w:val="00F538B5"/>
    <w:rsid w:val="00F53985"/>
    <w:rsid w:val="00F63299"/>
    <w:rsid w:val="00F64E49"/>
    <w:rsid w:val="00F72159"/>
    <w:rsid w:val="00F73208"/>
    <w:rsid w:val="00F73E6B"/>
    <w:rsid w:val="00F76623"/>
    <w:rsid w:val="00F810CD"/>
    <w:rsid w:val="00F818AA"/>
    <w:rsid w:val="00F830FC"/>
    <w:rsid w:val="00F8381E"/>
    <w:rsid w:val="00F90946"/>
    <w:rsid w:val="00F90B15"/>
    <w:rsid w:val="00F91920"/>
    <w:rsid w:val="00F92BDF"/>
    <w:rsid w:val="00F943FE"/>
    <w:rsid w:val="00F97957"/>
    <w:rsid w:val="00FA4D47"/>
    <w:rsid w:val="00FA7A3E"/>
    <w:rsid w:val="00FB31BC"/>
    <w:rsid w:val="00FC0297"/>
    <w:rsid w:val="00FC29EF"/>
    <w:rsid w:val="00FC6019"/>
    <w:rsid w:val="00FC71B2"/>
    <w:rsid w:val="00FD0916"/>
    <w:rsid w:val="00FD133E"/>
    <w:rsid w:val="00FD1979"/>
    <w:rsid w:val="00FD3A3A"/>
    <w:rsid w:val="00FD775A"/>
    <w:rsid w:val="00FD7B8E"/>
    <w:rsid w:val="00FE290C"/>
    <w:rsid w:val="00FE34F6"/>
    <w:rsid w:val="00FE49A2"/>
    <w:rsid w:val="00FE6D99"/>
    <w:rsid w:val="00FE6EE7"/>
    <w:rsid w:val="00FF05E7"/>
    <w:rsid w:val="00FF1826"/>
    <w:rsid w:val="00FF2016"/>
    <w:rsid w:val="00FF3F31"/>
    <w:rsid w:val="00FF7472"/>
    <w:rsid w:val="03FC286A"/>
    <w:rsid w:val="044F6810"/>
    <w:rsid w:val="065543A8"/>
    <w:rsid w:val="0D6D5804"/>
    <w:rsid w:val="0FF3599E"/>
    <w:rsid w:val="152F04FE"/>
    <w:rsid w:val="2C341995"/>
    <w:rsid w:val="2F8D29DF"/>
    <w:rsid w:val="30A25167"/>
    <w:rsid w:val="4B852FBD"/>
    <w:rsid w:val="4BCB69D0"/>
    <w:rsid w:val="51153297"/>
    <w:rsid w:val="7AE13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character" w:customStyle="1" w:styleId="13">
    <w:name w:val="批注框文本 Char"/>
    <w:basedOn w:val="8"/>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F8F3B-F96F-4091-A529-AE2A7429DF98}">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1</Pages>
  <Words>897</Words>
  <Characters>5117</Characters>
  <Lines>42</Lines>
  <Paragraphs>12</Paragraphs>
  <TotalTime>291</TotalTime>
  <ScaleCrop>false</ScaleCrop>
  <LinksUpToDate>false</LinksUpToDate>
  <CharactersWithSpaces>6002</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2019-04-09T02:48:00Z</dcterms:created>
  <dc:creator>郁峰</dc:creator>
  <cp:lastModifiedBy>Administrator</cp:lastModifiedBy>
  <cp:lastPrinted>2019-04-09T02:47:00Z</cp:lastPrinted>
  <dcterms:modified xsi:type="dcterms:W3CDTF">2019-04-25T02:53:58Z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