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b/>
          <w:sz w:val="72"/>
        </w:rPr>
      </w:pPr>
      <w:r>
        <w:rPr>
          <w:rFonts w:eastAsia="黑体"/>
          <w:b/>
          <w:sz w:val="72"/>
        </w:rPr>
        <w:t>DB52</w:t>
      </w:r>
    </w:p>
    <w:p>
      <w:pPr>
        <w:rPr>
          <w:rFonts w:eastAsia="黑体"/>
          <w:bCs/>
          <w:sz w:val="30"/>
        </w:rPr>
      </w:pPr>
    </w:p>
    <w:p>
      <w:pPr>
        <w:rPr>
          <w:rFonts w:eastAsia="黑体"/>
          <w:b/>
          <w:sz w:val="52"/>
        </w:rPr>
      </w:pPr>
      <w:r>
        <w:rPr>
          <w:rFonts w:eastAsia="黑体"/>
          <w:bCs/>
          <w:sz w:val="48"/>
        </w:rPr>
        <w:t xml:space="preserve">          </w:t>
      </w:r>
      <w:r>
        <w:rPr>
          <w:rFonts w:hint="eastAsia" w:eastAsia="黑体"/>
          <w:b/>
          <w:sz w:val="52"/>
        </w:rPr>
        <w:t>贵州省地方标准</w:t>
      </w:r>
    </w:p>
    <w:p>
      <w:pPr>
        <w:rPr>
          <w:rFonts w:eastAsia="黑体"/>
          <w:bCs/>
          <w:sz w:val="48"/>
        </w:rPr>
      </w:pPr>
      <w:r>
        <w:rPr>
          <w:rFonts w:eastAsia="黑体"/>
          <w:bCs/>
          <w:sz w:val="48"/>
        </w:rPr>
        <w:t xml:space="preserve">                       </w:t>
      </w:r>
    </w:p>
    <w:p>
      <w:pPr>
        <w:ind w:firstLine="5520" w:firstLineChars="1150"/>
        <w:rPr>
          <w:rFonts w:eastAsia="黑体"/>
          <w:bCs/>
          <w:sz w:val="32"/>
        </w:rPr>
      </w:pPr>
      <w:r>
        <w:rPr>
          <w:rFonts w:eastAsia="黑体"/>
          <w:bCs/>
          <w:sz w:val="48"/>
        </w:rPr>
        <w:t xml:space="preserve"> </w:t>
      </w:r>
      <w:r>
        <w:rPr>
          <w:rFonts w:ascii="宋体"/>
          <w:sz w:val="32"/>
        </w:rPr>
        <w:t>DB52/T</w:t>
      </w:r>
      <w:r>
        <w:rPr>
          <w:rFonts w:hint="eastAsia" w:ascii="宋体"/>
          <w:sz w:val="32"/>
        </w:rPr>
        <w:t>××</w:t>
      </w:r>
      <w:r>
        <w:rPr>
          <w:rFonts w:ascii="宋体"/>
          <w:sz w:val="32"/>
        </w:rPr>
        <w:t>-2012</w:t>
      </w:r>
    </w:p>
    <w:p>
      <w:pPr>
        <w:rPr>
          <w:rFonts w:eastAsia="黑体"/>
          <w:bCs/>
          <w:sz w:val="30"/>
          <w:u w:val="single"/>
        </w:rPr>
      </w:pPr>
      <w:r>
        <w:rPr>
          <w:rFonts w:eastAsia="黑体"/>
          <w:bCs/>
          <w:sz w:val="30"/>
          <w:u w:val="single"/>
        </w:rPr>
        <w:t xml:space="preserve">                                                         </w:t>
      </w:r>
    </w:p>
    <w:p>
      <w:pPr>
        <w:rPr>
          <w:rFonts w:eastAsia="黑体"/>
          <w:bCs/>
          <w:sz w:val="30"/>
        </w:rPr>
      </w:pPr>
    </w:p>
    <w:p>
      <w:pPr>
        <w:rPr>
          <w:rFonts w:eastAsia="黑体"/>
          <w:bCs/>
          <w:sz w:val="30"/>
        </w:rPr>
      </w:pPr>
    </w:p>
    <w:p>
      <w:pPr>
        <w:rPr>
          <w:rFonts w:eastAsia="黑体"/>
          <w:bCs/>
          <w:sz w:val="30"/>
        </w:rPr>
      </w:pPr>
    </w:p>
    <w:p>
      <w:pPr>
        <w:rPr>
          <w:rFonts w:eastAsia="黑体"/>
          <w:bCs/>
          <w:sz w:val="30"/>
        </w:rPr>
      </w:pPr>
    </w:p>
    <w:p>
      <w:pPr>
        <w:widowControl/>
        <w:adjustRightInd w:val="0"/>
        <w:snapToGrid w:val="0"/>
        <w:spacing w:line="360" w:lineRule="auto"/>
        <w:ind w:firstLine="542" w:firstLineChars="150"/>
        <w:rPr>
          <w:rFonts w:ascii="宋体"/>
          <w:b/>
          <w:sz w:val="36"/>
          <w:szCs w:val="36"/>
        </w:rPr>
      </w:pPr>
      <w:r>
        <w:rPr>
          <w:rFonts w:hint="eastAsia" w:ascii="宋体" w:hAnsi="宋体"/>
          <w:b/>
          <w:sz w:val="36"/>
          <w:szCs w:val="36"/>
        </w:rPr>
        <w:t>贵州生态鸭养殖废弃物处理与综合利用技术规程</w:t>
      </w:r>
    </w:p>
    <w:p>
      <w:pPr>
        <w:jc w:val="center"/>
        <w:rPr>
          <w:rFonts w:eastAsia="黑体"/>
          <w:bCs/>
          <w:spacing w:val="-10"/>
          <w:sz w:val="44"/>
        </w:rPr>
      </w:pPr>
    </w:p>
    <w:p>
      <w:pPr>
        <w:jc w:val="center"/>
        <w:rPr>
          <w:rFonts w:eastAsia="黑体"/>
          <w:bCs/>
          <w:spacing w:val="-10"/>
          <w:sz w:val="44"/>
        </w:rPr>
      </w:pPr>
      <w:r>
        <w:rPr>
          <w:rFonts w:hint="eastAsia" w:eastAsia="黑体"/>
          <w:bCs/>
          <w:spacing w:val="-10"/>
          <w:sz w:val="44"/>
        </w:rPr>
        <w:t>（</w:t>
      </w:r>
      <w:r>
        <w:rPr>
          <w:rFonts w:hint="eastAsia" w:eastAsia="黑体"/>
          <w:bCs/>
          <w:spacing w:val="-10"/>
          <w:sz w:val="44"/>
          <w:lang w:eastAsia="zh-CN"/>
        </w:rPr>
        <w:t>征求意见</w:t>
      </w:r>
      <w:r>
        <w:rPr>
          <w:rFonts w:hint="eastAsia" w:eastAsia="黑体"/>
          <w:bCs/>
          <w:spacing w:val="-10"/>
          <w:sz w:val="44"/>
        </w:rPr>
        <w:t>稿）</w:t>
      </w:r>
    </w:p>
    <w:p>
      <w:pPr>
        <w:rPr>
          <w:rFonts w:eastAsia="黑体"/>
          <w:bCs/>
          <w:sz w:val="30"/>
        </w:rPr>
      </w:pPr>
    </w:p>
    <w:p>
      <w:pPr>
        <w:rPr>
          <w:rFonts w:eastAsia="黑体"/>
          <w:bCs/>
          <w:sz w:val="30"/>
        </w:rPr>
      </w:pPr>
    </w:p>
    <w:p>
      <w:pPr>
        <w:rPr>
          <w:rFonts w:eastAsia="黑体"/>
          <w:bCs/>
          <w:sz w:val="30"/>
        </w:rPr>
      </w:pPr>
    </w:p>
    <w:p>
      <w:pPr>
        <w:rPr>
          <w:rFonts w:eastAsia="黑体"/>
          <w:bCs/>
          <w:sz w:val="30"/>
          <w:u w:val="single"/>
        </w:rPr>
      </w:pPr>
      <w:r>
        <w:rPr>
          <w:rFonts w:hint="eastAsia" w:eastAsia="黑体"/>
          <w:bCs/>
          <w:color w:val="000000"/>
          <w:sz w:val="30"/>
          <w:u w:val="single"/>
        </w:rPr>
        <w:t>发布</w:t>
      </w:r>
      <w:r>
        <w:rPr>
          <w:rFonts w:eastAsia="黑体"/>
          <w:bCs/>
          <w:color w:val="000000"/>
          <w:sz w:val="30"/>
          <w:u w:val="single"/>
        </w:rPr>
        <w:t xml:space="preserve">2019-XX-XX  </w:t>
      </w:r>
      <w:r>
        <w:rPr>
          <w:rFonts w:eastAsia="黑体"/>
          <w:bCs/>
          <w:sz w:val="30"/>
          <w:u w:val="single"/>
        </w:rPr>
        <w:t xml:space="preserve">                       </w:t>
      </w:r>
      <w:r>
        <w:rPr>
          <w:rFonts w:hint="eastAsia" w:eastAsia="黑体"/>
          <w:bCs/>
          <w:sz w:val="30"/>
          <w:u w:val="single"/>
        </w:rPr>
        <w:t>实施</w:t>
      </w:r>
      <w:r>
        <w:rPr>
          <w:rFonts w:eastAsia="黑体"/>
          <w:bCs/>
          <w:sz w:val="30"/>
          <w:u w:val="single"/>
        </w:rPr>
        <w:t xml:space="preserve">2019-XX-XX </w:t>
      </w:r>
    </w:p>
    <w:p>
      <w:pPr>
        <w:rPr>
          <w:rFonts w:eastAsia="黑体"/>
          <w:bCs/>
          <w:sz w:val="30"/>
          <w:u w:val="single"/>
        </w:rPr>
      </w:pPr>
    </w:p>
    <w:p>
      <w:pPr>
        <w:jc w:val="center"/>
        <w:rPr>
          <w:rFonts w:eastAsia="黑体"/>
          <w:b/>
          <w:sz w:val="36"/>
        </w:rPr>
      </w:pPr>
    </w:p>
    <w:p>
      <w:pPr>
        <w:ind w:firstLine="1807" w:firstLineChars="500"/>
        <w:rPr>
          <w:rFonts w:eastAsia="黑体"/>
          <w:b/>
          <w:sz w:val="36"/>
        </w:rPr>
      </w:pPr>
      <w:r>
        <w:rPr>
          <w:rFonts w:hint="eastAsia" w:eastAsia="黑体"/>
          <w:b/>
          <w:sz w:val="36"/>
        </w:rPr>
        <w:t>贵州省质量技术监督局</w:t>
      </w:r>
      <w:r>
        <w:rPr>
          <w:rFonts w:eastAsia="黑体"/>
          <w:b/>
          <w:sz w:val="36"/>
        </w:rPr>
        <w:t xml:space="preserve">   </w:t>
      </w:r>
      <w:r>
        <w:rPr>
          <w:rFonts w:hint="eastAsia" w:eastAsia="黑体"/>
          <w:b/>
          <w:sz w:val="36"/>
        </w:rPr>
        <w:t>发布</w:t>
      </w:r>
    </w:p>
    <w:p/>
    <w:p/>
    <w:p>
      <w:pPr>
        <w:jc w:val="center"/>
        <w:rPr>
          <w:rFonts w:eastAsia="黑体"/>
          <w:bCs/>
          <w:sz w:val="36"/>
          <w:szCs w:val="36"/>
        </w:rPr>
        <w:sectPr>
          <w:headerReference r:id="rId5" w:type="first"/>
          <w:footerReference r:id="rId8" w:type="first"/>
          <w:headerReference r:id="rId3" w:type="default"/>
          <w:footerReference r:id="rId6" w:type="default"/>
          <w:headerReference r:id="rId4" w:type="even"/>
          <w:footerReference r:id="rId7" w:type="even"/>
          <w:pgSz w:w="11906" w:h="16838"/>
          <w:pgMar w:top="1440" w:right="1274" w:bottom="1440" w:left="1800" w:header="851" w:footer="992" w:gutter="0"/>
          <w:pgNumType w:fmt="upperRoman" w:start="1"/>
          <w:cols w:space="425" w:num="1"/>
          <w:titlePg/>
          <w:docGrid w:type="lines" w:linePitch="312" w:charSpace="0"/>
        </w:sectPr>
      </w:pPr>
    </w:p>
    <w:p>
      <w:pPr>
        <w:jc w:val="center"/>
        <w:rPr>
          <w:rFonts w:eastAsia="黑体"/>
          <w:bCs/>
          <w:sz w:val="32"/>
          <w:szCs w:val="32"/>
        </w:rPr>
      </w:pPr>
    </w:p>
    <w:p>
      <w:pPr>
        <w:jc w:val="center"/>
        <w:rPr>
          <w:rFonts w:eastAsia="黑体"/>
          <w:bCs/>
          <w:sz w:val="32"/>
          <w:szCs w:val="32"/>
        </w:rPr>
      </w:pPr>
      <w:r>
        <w:rPr>
          <w:rFonts w:hint="eastAsia" w:eastAsia="黑体"/>
          <w:bCs/>
          <w:sz w:val="32"/>
          <w:szCs w:val="32"/>
        </w:rPr>
        <w:t>目</w:t>
      </w:r>
      <w:r>
        <w:rPr>
          <w:rFonts w:eastAsia="黑体"/>
          <w:bCs/>
          <w:sz w:val="32"/>
          <w:szCs w:val="32"/>
        </w:rPr>
        <w:t xml:space="preserve">    </w:t>
      </w:r>
      <w:r>
        <w:rPr>
          <w:rFonts w:hint="eastAsia" w:eastAsia="黑体"/>
          <w:bCs/>
          <w:sz w:val="32"/>
          <w:szCs w:val="32"/>
        </w:rPr>
        <w:t>次</w:t>
      </w:r>
    </w:p>
    <w:p>
      <w:pPr>
        <w:pStyle w:val="8"/>
        <w:tabs>
          <w:tab w:val="right" w:leader="dot" w:pos="8296"/>
        </w:tabs>
        <w:rPr>
          <w:rFonts w:eastAsia="黑体"/>
          <w:bCs/>
          <w:sz w:val="28"/>
          <w:szCs w:val="28"/>
        </w:rPr>
      </w:pPr>
    </w:p>
    <w:p>
      <w:pPr>
        <w:pStyle w:val="8"/>
        <w:tabs>
          <w:tab w:val="right" w:leader="dot" w:pos="8822"/>
        </w:tabs>
        <w:adjustRightInd w:val="0"/>
        <w:snapToGrid w:val="0"/>
        <w:spacing w:line="360" w:lineRule="auto"/>
        <w:rPr>
          <w:rFonts w:ascii="宋体"/>
          <w:sz w:val="28"/>
          <w:szCs w:val="28"/>
        </w:rPr>
      </w:pPr>
      <w:r>
        <w:rPr>
          <w:rFonts w:ascii="宋体" w:hAnsi="宋体"/>
          <w:bCs/>
          <w:sz w:val="28"/>
          <w:szCs w:val="28"/>
        </w:rPr>
        <w:fldChar w:fldCharType="begin"/>
      </w:r>
      <w:r>
        <w:rPr>
          <w:rFonts w:ascii="宋体" w:hAnsi="宋体"/>
          <w:bCs/>
          <w:sz w:val="28"/>
          <w:szCs w:val="28"/>
        </w:rPr>
        <w:instrText xml:space="preserve"> TOC \o "1-3" \h \z \u </w:instrText>
      </w:r>
      <w:r>
        <w:rPr>
          <w:rFonts w:ascii="宋体" w:hAnsi="宋体"/>
          <w:bCs/>
          <w:sz w:val="28"/>
          <w:szCs w:val="28"/>
        </w:rPr>
        <w:fldChar w:fldCharType="separate"/>
      </w:r>
      <w:r>
        <w:fldChar w:fldCharType="begin"/>
      </w:r>
      <w:r>
        <w:instrText xml:space="preserve"> HYPERLINK \l "_Toc534671012" </w:instrText>
      </w:r>
      <w:r>
        <w:fldChar w:fldCharType="separate"/>
      </w:r>
      <w:r>
        <w:rPr>
          <w:rStyle w:val="13"/>
          <w:rFonts w:hint="eastAsia" w:ascii="宋体" w:hAnsi="宋体"/>
          <w:sz w:val="28"/>
          <w:szCs w:val="28"/>
        </w:rPr>
        <w:t>前言</w:t>
      </w:r>
      <w:r>
        <w:rPr>
          <w:rFonts w:ascii="宋体"/>
          <w:sz w:val="28"/>
          <w:szCs w:val="28"/>
        </w:rPr>
        <w:tab/>
      </w:r>
      <w:r>
        <w:rPr>
          <w:rFonts w:ascii="宋体" w:hAnsi="宋体"/>
          <w:sz w:val="28"/>
          <w:szCs w:val="28"/>
        </w:rPr>
        <w:fldChar w:fldCharType="begin"/>
      </w:r>
      <w:r>
        <w:rPr>
          <w:rFonts w:ascii="宋体" w:hAnsi="宋体"/>
          <w:sz w:val="28"/>
          <w:szCs w:val="28"/>
        </w:rPr>
        <w:instrText xml:space="preserve"> PAGEREF _Toc534671012 \h </w:instrText>
      </w:r>
      <w:r>
        <w:rPr>
          <w:rFonts w:ascii="宋体" w:hAnsi="宋体"/>
          <w:sz w:val="28"/>
          <w:szCs w:val="28"/>
        </w:rPr>
        <w:fldChar w:fldCharType="separate"/>
      </w:r>
      <w:r>
        <w:rPr>
          <w:rFonts w:ascii="宋体" w:hAnsi="宋体"/>
          <w:sz w:val="28"/>
          <w:szCs w:val="28"/>
        </w:rPr>
        <w:t>II</w:t>
      </w:r>
      <w:r>
        <w:rPr>
          <w:rFonts w:ascii="宋体" w:hAnsi="宋体"/>
          <w:sz w:val="28"/>
          <w:szCs w:val="28"/>
        </w:rPr>
        <w:fldChar w:fldCharType="end"/>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"_Toc534671013" </w:instrText>
      </w:r>
      <w:r>
        <w:fldChar w:fldCharType="separate"/>
      </w:r>
      <w:r>
        <w:rPr>
          <w:rStyle w:val="13"/>
          <w:rFonts w:ascii="宋体" w:hAnsi="宋体" w:cs="Arial"/>
          <w:sz w:val="28"/>
          <w:szCs w:val="28"/>
        </w:rPr>
        <w:t xml:space="preserve">1 </w:t>
      </w:r>
      <w:r>
        <w:rPr>
          <w:rStyle w:val="13"/>
          <w:rFonts w:hint="eastAsia" w:ascii="宋体" w:hAnsi="宋体" w:cs="Arial"/>
          <w:sz w:val="28"/>
          <w:szCs w:val="28"/>
        </w:rPr>
        <w:t>范围</w:t>
      </w:r>
      <w:r>
        <w:rPr>
          <w:rFonts w:ascii="宋体"/>
          <w:sz w:val="28"/>
          <w:szCs w:val="28"/>
        </w:rPr>
        <w:tab/>
      </w:r>
      <w:r>
        <w:rPr>
          <w:rFonts w:ascii="宋体" w:hAnsi="宋体"/>
          <w:sz w:val="28"/>
          <w:szCs w:val="28"/>
        </w:rPr>
        <w:fldChar w:fldCharType="begin"/>
      </w:r>
      <w:r>
        <w:rPr>
          <w:rFonts w:ascii="宋体" w:hAnsi="宋体"/>
          <w:sz w:val="28"/>
          <w:szCs w:val="28"/>
        </w:rPr>
        <w:instrText xml:space="preserve"> PAGEREF _Toc534671013 \h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"_Toc534671014" </w:instrText>
      </w:r>
      <w:r>
        <w:fldChar w:fldCharType="separate"/>
      </w:r>
      <w:r>
        <w:rPr>
          <w:rStyle w:val="13"/>
          <w:rFonts w:ascii="宋体" w:hAnsi="宋体"/>
          <w:sz w:val="28"/>
          <w:szCs w:val="28"/>
        </w:rPr>
        <w:t xml:space="preserve">2 </w:t>
      </w:r>
      <w:r>
        <w:rPr>
          <w:rStyle w:val="13"/>
          <w:rFonts w:hint="eastAsia" w:ascii="宋体" w:hAnsi="宋体"/>
          <w:sz w:val="28"/>
          <w:szCs w:val="28"/>
        </w:rPr>
        <w:t>规范性引用文件</w:t>
      </w:r>
      <w:r>
        <w:rPr>
          <w:rFonts w:ascii="宋体"/>
          <w:sz w:val="28"/>
          <w:szCs w:val="28"/>
        </w:rPr>
        <w:tab/>
      </w:r>
      <w:r>
        <w:rPr>
          <w:rFonts w:ascii="宋体" w:hAnsi="宋体"/>
          <w:sz w:val="28"/>
          <w:szCs w:val="28"/>
        </w:rPr>
        <w:fldChar w:fldCharType="begin"/>
      </w:r>
      <w:r>
        <w:rPr>
          <w:rFonts w:ascii="宋体" w:hAnsi="宋体"/>
          <w:sz w:val="28"/>
          <w:szCs w:val="28"/>
        </w:rPr>
        <w:instrText xml:space="preserve"> PAGEREF _Toc534671014 \h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"_Toc534671015" </w:instrText>
      </w:r>
      <w:r>
        <w:fldChar w:fldCharType="separate"/>
      </w:r>
      <w:r>
        <w:rPr>
          <w:rStyle w:val="13"/>
          <w:rFonts w:ascii="宋体" w:hAnsi="宋体"/>
          <w:sz w:val="28"/>
          <w:szCs w:val="28"/>
        </w:rPr>
        <w:t xml:space="preserve">3 </w:t>
      </w:r>
      <w:r>
        <w:rPr>
          <w:rStyle w:val="13"/>
          <w:rFonts w:hint="eastAsia" w:ascii="宋体" w:hAnsi="宋体"/>
          <w:sz w:val="28"/>
          <w:szCs w:val="28"/>
        </w:rPr>
        <w:t>术语与定义</w:t>
      </w:r>
      <w:r>
        <w:rPr>
          <w:rFonts w:ascii="宋体"/>
          <w:sz w:val="28"/>
          <w:szCs w:val="28"/>
        </w:rPr>
        <w:tab/>
      </w:r>
      <w:r>
        <w:rPr>
          <w:rFonts w:ascii="宋体" w:hAnsi="宋体"/>
          <w:sz w:val="28"/>
          <w:szCs w:val="28"/>
        </w:rPr>
        <w:fldChar w:fldCharType="begin"/>
      </w:r>
      <w:r>
        <w:rPr>
          <w:rFonts w:ascii="宋体" w:hAnsi="宋体"/>
          <w:sz w:val="28"/>
          <w:szCs w:val="28"/>
        </w:rPr>
        <w:instrText xml:space="preserve"> PAGEREF _Toc534671015 \h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"_Toc534671016" </w:instrText>
      </w:r>
      <w:r>
        <w:fldChar w:fldCharType="separate"/>
      </w:r>
      <w:r>
        <w:rPr>
          <w:rStyle w:val="13"/>
          <w:rFonts w:ascii="宋体" w:hAnsi="宋体"/>
          <w:sz w:val="28"/>
          <w:szCs w:val="28"/>
        </w:rPr>
        <w:t xml:space="preserve">4 </w:t>
      </w:r>
      <w:r>
        <w:rPr>
          <w:rStyle w:val="13"/>
          <w:rFonts w:hint="eastAsia" w:ascii="宋体" w:hAnsi="宋体"/>
          <w:sz w:val="28"/>
          <w:szCs w:val="28"/>
        </w:rPr>
        <w:t>处理原则</w:t>
      </w:r>
      <w:r>
        <w:rPr>
          <w:rFonts w:ascii="宋体"/>
          <w:sz w:val="28"/>
          <w:szCs w:val="28"/>
        </w:rPr>
        <w:tab/>
      </w:r>
      <w:r>
        <w:rPr>
          <w:rFonts w:ascii="宋体" w:hAnsi="宋体"/>
          <w:sz w:val="28"/>
          <w:szCs w:val="28"/>
        </w:rPr>
        <w:fldChar w:fldCharType="begin"/>
      </w:r>
      <w:r>
        <w:rPr>
          <w:rFonts w:ascii="宋体" w:hAnsi="宋体"/>
          <w:sz w:val="28"/>
          <w:szCs w:val="28"/>
        </w:rPr>
        <w:instrText xml:space="preserve"> PAGEREF _Toc534671016 \h </w:instrText>
      </w:r>
      <w:r>
        <w:rPr>
          <w:rFonts w:ascii="宋体" w:hAnsi="宋体"/>
          <w:sz w:val="28"/>
          <w:szCs w:val="28"/>
        </w:rPr>
        <w:fldChar w:fldCharType="separate"/>
      </w:r>
      <w:r>
        <w:rPr>
          <w:rFonts w:ascii="宋体" w:hAnsi="宋体"/>
          <w:sz w:val="28"/>
          <w:szCs w:val="28"/>
        </w:rPr>
        <w:t>2</w:t>
      </w:r>
      <w:r>
        <w:rPr>
          <w:rFonts w:ascii="宋体" w:hAnsi="宋体"/>
          <w:sz w:val="28"/>
          <w:szCs w:val="28"/>
        </w:rPr>
        <w:fldChar w:fldCharType="end"/>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"_Toc534671017" </w:instrText>
      </w:r>
      <w:r>
        <w:fldChar w:fldCharType="separate"/>
      </w:r>
      <w:r>
        <w:rPr>
          <w:rStyle w:val="13"/>
          <w:rFonts w:ascii="宋体" w:hAnsi="宋体"/>
          <w:sz w:val="28"/>
          <w:szCs w:val="28"/>
        </w:rPr>
        <w:t xml:space="preserve">5 </w:t>
      </w:r>
      <w:r>
        <w:rPr>
          <w:rStyle w:val="13"/>
          <w:rFonts w:hint="eastAsia" w:ascii="宋体" w:hAnsi="宋体"/>
          <w:sz w:val="28"/>
          <w:szCs w:val="28"/>
        </w:rPr>
        <w:t>废弃物处理场建设</w:t>
      </w:r>
      <w:r>
        <w:rPr>
          <w:rFonts w:ascii="宋体"/>
          <w:sz w:val="28"/>
          <w:szCs w:val="28"/>
        </w:rPr>
        <w:tab/>
      </w:r>
      <w:r>
        <w:rPr>
          <w:rFonts w:ascii="宋体" w:hAnsi="宋体"/>
          <w:sz w:val="28"/>
          <w:szCs w:val="28"/>
        </w:rPr>
        <w:fldChar w:fldCharType="begin"/>
      </w:r>
      <w:r>
        <w:rPr>
          <w:rFonts w:ascii="宋体" w:hAnsi="宋体"/>
          <w:sz w:val="28"/>
          <w:szCs w:val="28"/>
        </w:rPr>
        <w:instrText xml:space="preserve"> PAGEREF _Toc534671017 \h </w:instrText>
      </w:r>
      <w:r>
        <w:rPr>
          <w:rFonts w:ascii="宋体" w:hAnsi="宋体"/>
          <w:sz w:val="28"/>
          <w:szCs w:val="28"/>
        </w:rPr>
        <w:fldChar w:fldCharType="separate"/>
      </w:r>
      <w:r>
        <w:rPr>
          <w:rFonts w:ascii="宋体" w:hAnsi="宋体"/>
          <w:sz w:val="28"/>
          <w:szCs w:val="28"/>
        </w:rPr>
        <w:t>2</w:t>
      </w:r>
      <w:r>
        <w:rPr>
          <w:rFonts w:ascii="宋体" w:hAnsi="宋体"/>
          <w:sz w:val="28"/>
          <w:szCs w:val="28"/>
        </w:rPr>
        <w:fldChar w:fldCharType="end"/>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"_Toc534671018" </w:instrText>
      </w:r>
      <w:r>
        <w:fldChar w:fldCharType="separate"/>
      </w:r>
      <w:r>
        <w:rPr>
          <w:rStyle w:val="13"/>
          <w:rFonts w:ascii="宋体" w:hAnsi="宋体"/>
          <w:sz w:val="28"/>
          <w:szCs w:val="28"/>
        </w:rPr>
        <w:t xml:space="preserve">6 </w:t>
      </w:r>
      <w:r>
        <w:rPr>
          <w:rStyle w:val="13"/>
          <w:rFonts w:hint="eastAsia" w:ascii="宋体" w:hAnsi="宋体"/>
          <w:sz w:val="28"/>
          <w:szCs w:val="28"/>
        </w:rPr>
        <w:t>废弃物种类</w:t>
      </w:r>
      <w:r>
        <w:rPr>
          <w:rFonts w:ascii="宋体"/>
          <w:sz w:val="28"/>
          <w:szCs w:val="28"/>
        </w:rPr>
        <w:tab/>
      </w:r>
      <w:r>
        <w:rPr>
          <w:rFonts w:ascii="宋体" w:hAnsi="宋体"/>
          <w:sz w:val="28"/>
          <w:szCs w:val="28"/>
        </w:rPr>
        <w:t>3</w:t>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"_Toc534671019" </w:instrText>
      </w:r>
      <w:r>
        <w:fldChar w:fldCharType="separate"/>
      </w:r>
      <w:r>
        <w:rPr>
          <w:rStyle w:val="13"/>
          <w:rFonts w:ascii="宋体" w:hAnsi="宋体"/>
          <w:sz w:val="28"/>
          <w:szCs w:val="28"/>
        </w:rPr>
        <w:t xml:space="preserve">7 </w:t>
      </w:r>
      <w:r>
        <w:rPr>
          <w:rStyle w:val="13"/>
          <w:rFonts w:hint="eastAsia" w:ascii="宋体" w:hAnsi="宋体"/>
          <w:sz w:val="28"/>
          <w:szCs w:val="28"/>
        </w:rPr>
        <w:t>废弃物处理</w:t>
      </w:r>
      <w:r>
        <w:rPr>
          <w:rFonts w:ascii="宋体"/>
          <w:sz w:val="28"/>
          <w:szCs w:val="28"/>
        </w:rPr>
        <w:tab/>
      </w:r>
      <w:r>
        <w:rPr>
          <w:rFonts w:ascii="宋体" w:hAnsi="宋体"/>
          <w:sz w:val="28"/>
          <w:szCs w:val="28"/>
        </w:rPr>
        <w:t>3</w:t>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"_Toc534671020" </w:instrText>
      </w:r>
      <w:r>
        <w:fldChar w:fldCharType="separate"/>
      </w:r>
      <w:r>
        <w:rPr>
          <w:rStyle w:val="13"/>
          <w:rFonts w:ascii="宋体" w:hAnsi="宋体"/>
          <w:sz w:val="28"/>
          <w:szCs w:val="28"/>
        </w:rPr>
        <w:t xml:space="preserve">8 </w:t>
      </w:r>
      <w:r>
        <w:rPr>
          <w:rStyle w:val="13"/>
          <w:rFonts w:hint="eastAsia" w:ascii="宋体" w:hAnsi="宋体"/>
          <w:sz w:val="28"/>
          <w:szCs w:val="28"/>
        </w:rPr>
        <w:t>综合利用</w:t>
      </w:r>
      <w:r>
        <w:rPr>
          <w:rFonts w:ascii="宋体"/>
          <w:sz w:val="28"/>
          <w:szCs w:val="28"/>
        </w:rPr>
        <w:tab/>
      </w:r>
      <w:r>
        <w:rPr>
          <w:rFonts w:ascii="宋体" w:hAnsi="宋体"/>
          <w:sz w:val="28"/>
          <w:szCs w:val="28"/>
        </w:rPr>
        <w:t>4</w:t>
      </w:r>
      <w:r>
        <w:rPr>
          <w:rFonts w:ascii="宋体" w:hAnsi="宋体"/>
          <w:sz w:val="28"/>
          <w:szCs w:val="28"/>
        </w:rPr>
        <w:fldChar w:fldCharType="end"/>
      </w:r>
    </w:p>
    <w:p>
      <w:pPr>
        <w:pStyle w:val="8"/>
        <w:tabs>
          <w:tab w:val="right" w:leader="dot" w:pos="8822"/>
        </w:tabs>
        <w:adjustRightInd w:val="0"/>
        <w:snapToGrid w:val="0"/>
        <w:spacing w:line="360" w:lineRule="auto"/>
        <w:rPr>
          <w:rFonts w:ascii="宋体"/>
          <w:sz w:val="28"/>
          <w:szCs w:val="28"/>
        </w:rPr>
      </w:pPr>
      <w:r>
        <w:fldChar w:fldCharType="begin"/>
      </w:r>
      <w:r>
        <w:instrText xml:space="preserve"> HYPERLINK \l "_Toc534671021" </w:instrText>
      </w:r>
      <w:r>
        <w:fldChar w:fldCharType="separate"/>
      </w:r>
      <w:r>
        <w:rPr>
          <w:rStyle w:val="13"/>
          <w:rFonts w:ascii="宋体" w:hAnsi="宋体" w:cs="宋体"/>
          <w:sz w:val="28"/>
          <w:szCs w:val="28"/>
        </w:rPr>
        <w:t xml:space="preserve">9 </w:t>
      </w:r>
      <w:r>
        <w:rPr>
          <w:rStyle w:val="13"/>
          <w:rFonts w:hint="eastAsia" w:ascii="宋体" w:hAnsi="宋体" w:cs="宋体"/>
          <w:sz w:val="28"/>
          <w:szCs w:val="28"/>
        </w:rPr>
        <w:t>运行管理与维护</w:t>
      </w:r>
      <w:r>
        <w:rPr>
          <w:rFonts w:ascii="宋体"/>
          <w:sz w:val="28"/>
          <w:szCs w:val="28"/>
        </w:rPr>
        <w:tab/>
      </w:r>
      <w:r>
        <w:rPr>
          <w:rFonts w:ascii="宋体" w:hAnsi="宋体"/>
          <w:sz w:val="28"/>
          <w:szCs w:val="28"/>
        </w:rPr>
        <w:t>4</w:t>
      </w:r>
      <w:r>
        <w:rPr>
          <w:rFonts w:ascii="宋体" w:hAnsi="宋体"/>
          <w:sz w:val="28"/>
          <w:szCs w:val="28"/>
        </w:rPr>
        <w:fldChar w:fldCharType="end"/>
      </w:r>
    </w:p>
    <w:p>
      <w:pPr>
        <w:adjustRightInd w:val="0"/>
        <w:snapToGrid w:val="0"/>
        <w:spacing w:line="360" w:lineRule="auto"/>
        <w:rPr>
          <w:rFonts w:ascii="宋体"/>
          <w:bCs/>
          <w:sz w:val="28"/>
          <w:szCs w:val="28"/>
        </w:rPr>
      </w:pPr>
      <w:r>
        <w:rPr>
          <w:rFonts w:ascii="宋体" w:hAnsi="宋体"/>
          <w:bCs/>
          <w:sz w:val="28"/>
          <w:szCs w:val="28"/>
        </w:rPr>
        <w:fldChar w:fldCharType="end"/>
      </w:r>
    </w:p>
    <w:p>
      <w:pPr>
        <w:rPr>
          <w:rFonts w:eastAsia="黑体"/>
          <w:bCs/>
          <w:sz w:val="28"/>
          <w:szCs w:val="28"/>
        </w:rPr>
      </w:pPr>
    </w:p>
    <w:p>
      <w:pPr>
        <w:rPr>
          <w:rFonts w:eastAsia="黑体"/>
          <w:bCs/>
          <w:sz w:val="28"/>
          <w:szCs w:val="28"/>
        </w:rPr>
      </w:pPr>
    </w:p>
    <w:p>
      <w:pPr>
        <w:rPr>
          <w:rFonts w:eastAsia="黑体"/>
          <w:bCs/>
          <w:sz w:val="28"/>
          <w:szCs w:val="28"/>
        </w:rPr>
      </w:pPr>
    </w:p>
    <w:p>
      <w:pPr>
        <w:rPr>
          <w:rFonts w:eastAsia="黑体"/>
          <w:bCs/>
          <w:sz w:val="28"/>
          <w:szCs w:val="28"/>
        </w:rPr>
      </w:pPr>
    </w:p>
    <w:p>
      <w:pPr>
        <w:rPr>
          <w:rFonts w:eastAsia="黑体"/>
          <w:bCs/>
          <w:sz w:val="28"/>
          <w:szCs w:val="28"/>
        </w:rPr>
      </w:pPr>
    </w:p>
    <w:p>
      <w:pPr>
        <w:rPr>
          <w:rFonts w:eastAsia="黑体"/>
          <w:bCs/>
          <w:sz w:val="28"/>
          <w:szCs w:val="28"/>
        </w:rPr>
      </w:pPr>
    </w:p>
    <w:p>
      <w:pPr>
        <w:rPr>
          <w:rFonts w:eastAsia="黑体"/>
          <w:bCs/>
          <w:sz w:val="28"/>
          <w:szCs w:val="28"/>
        </w:rPr>
      </w:pPr>
    </w:p>
    <w:p>
      <w:pPr>
        <w:rPr>
          <w:rFonts w:eastAsia="黑体"/>
          <w:bCs/>
          <w:sz w:val="28"/>
          <w:szCs w:val="28"/>
        </w:rPr>
      </w:pPr>
    </w:p>
    <w:p>
      <w:pPr>
        <w:rPr>
          <w:rFonts w:eastAsia="黑体"/>
          <w:bCs/>
          <w:sz w:val="28"/>
          <w:szCs w:val="28"/>
        </w:rPr>
      </w:pPr>
    </w:p>
    <w:p>
      <w:pPr>
        <w:pStyle w:val="2"/>
        <w:rPr>
          <w:rFonts w:eastAsia="黑体"/>
          <w:bCs w:val="0"/>
          <w:sz w:val="32"/>
          <w:szCs w:val="32"/>
        </w:rPr>
      </w:pPr>
      <w:r>
        <w:rPr>
          <w:rFonts w:eastAsia="黑体"/>
          <w:sz w:val="28"/>
          <w:szCs w:val="28"/>
        </w:rPr>
        <w:t xml:space="preserve">                     </w:t>
      </w:r>
      <w:r>
        <w:rPr>
          <w:rFonts w:eastAsia="黑体"/>
          <w:sz w:val="32"/>
          <w:szCs w:val="32"/>
        </w:rPr>
        <w:t xml:space="preserve"> </w:t>
      </w:r>
      <w:bookmarkStart w:id="0" w:name="_Toc534671012"/>
      <w:r>
        <w:rPr>
          <w:rFonts w:hint="eastAsia" w:eastAsia="黑体"/>
          <w:sz w:val="32"/>
          <w:szCs w:val="32"/>
        </w:rPr>
        <w:t>前</w:t>
      </w:r>
      <w:r>
        <w:rPr>
          <w:rFonts w:eastAsia="黑体"/>
          <w:sz w:val="32"/>
          <w:szCs w:val="32"/>
        </w:rPr>
        <w:t xml:space="preserve">    </w:t>
      </w:r>
      <w:r>
        <w:rPr>
          <w:rFonts w:hint="eastAsia" w:eastAsia="黑体"/>
          <w:sz w:val="32"/>
          <w:szCs w:val="32"/>
        </w:rPr>
        <w:t>言</w:t>
      </w:r>
      <w:bookmarkEnd w:id="0"/>
    </w:p>
    <w:p>
      <w:pPr>
        <w:spacing w:line="360" w:lineRule="auto"/>
        <w:ind w:firstLine="420" w:firstLineChars="200"/>
        <w:rPr>
          <w:rFonts w:ascii="宋体"/>
          <w:bCs/>
          <w:szCs w:val="21"/>
        </w:rPr>
      </w:pPr>
      <w:r>
        <w:rPr>
          <w:rFonts w:hint="eastAsia" w:ascii="宋体" w:hAnsi="宋体"/>
          <w:bCs/>
          <w:szCs w:val="21"/>
        </w:rPr>
        <w:t>本标准按照</w:t>
      </w:r>
      <w:r>
        <w:rPr>
          <w:rFonts w:ascii="宋体" w:hAnsi="宋体"/>
          <w:bCs/>
          <w:szCs w:val="21"/>
        </w:rPr>
        <w:t>GB/T1.1-2009</w:t>
      </w:r>
      <w:r>
        <w:rPr>
          <w:rFonts w:hint="eastAsia" w:ascii="宋体" w:hAnsi="宋体"/>
          <w:bCs/>
          <w:szCs w:val="21"/>
        </w:rPr>
        <w:t>《标准化工作导则第</w:t>
      </w:r>
      <w:r>
        <w:rPr>
          <w:rFonts w:ascii="宋体" w:hAnsi="宋体"/>
          <w:bCs/>
          <w:szCs w:val="21"/>
        </w:rPr>
        <w:t>1</w:t>
      </w:r>
      <w:r>
        <w:rPr>
          <w:rFonts w:hint="eastAsia" w:ascii="宋体" w:hAnsi="宋体"/>
          <w:bCs/>
          <w:szCs w:val="21"/>
        </w:rPr>
        <w:t>部分：标准化的结构和编写》给出的规则起草。</w:t>
      </w:r>
    </w:p>
    <w:p>
      <w:pPr>
        <w:spacing w:line="360" w:lineRule="auto"/>
        <w:ind w:firstLine="420" w:firstLineChars="200"/>
        <w:rPr>
          <w:bCs/>
          <w:szCs w:val="21"/>
        </w:rPr>
      </w:pPr>
      <w:r>
        <w:rPr>
          <w:rFonts w:hint="eastAsia"/>
          <w:bCs/>
          <w:szCs w:val="21"/>
        </w:rPr>
        <w:t>请注意本文件的某些内容可能涉及专利。本文件的发布机构不承担识别这些专利的责任。</w:t>
      </w:r>
    </w:p>
    <w:p>
      <w:pPr>
        <w:spacing w:line="360" w:lineRule="auto"/>
        <w:ind w:firstLine="420" w:firstLineChars="200"/>
        <w:rPr>
          <w:rFonts w:ascii="宋体"/>
          <w:bCs/>
          <w:szCs w:val="21"/>
        </w:rPr>
      </w:pPr>
      <w:r>
        <w:rPr>
          <w:rFonts w:hint="eastAsia" w:ascii="宋体" w:hAnsi="宋体"/>
          <w:bCs/>
          <w:szCs w:val="21"/>
        </w:rPr>
        <w:t>本标准由贵州省农业农村厅提出并归口。</w:t>
      </w:r>
    </w:p>
    <w:p>
      <w:pPr>
        <w:widowControl/>
        <w:spacing w:line="360" w:lineRule="auto"/>
        <w:ind w:firstLine="420" w:firstLineChars="200"/>
        <w:rPr>
          <w:rFonts w:ascii="宋体"/>
          <w:szCs w:val="21"/>
        </w:rPr>
      </w:pPr>
      <w:r>
        <w:rPr>
          <w:rFonts w:hint="eastAsia" w:ascii="宋体" w:hAnsi="宋体"/>
          <w:bCs/>
          <w:szCs w:val="21"/>
        </w:rPr>
        <w:t>本标准起草单位</w:t>
      </w:r>
      <w:r>
        <w:rPr>
          <w:rFonts w:ascii="宋体" w:hAnsi="宋体"/>
          <w:bCs/>
          <w:szCs w:val="21"/>
        </w:rPr>
        <w:t xml:space="preserve">: </w:t>
      </w:r>
      <w:r>
        <w:rPr>
          <w:rFonts w:hint="eastAsia" w:ascii="宋体" w:hAnsi="宋体"/>
          <w:szCs w:val="21"/>
        </w:rPr>
        <w:t>贵州省畜牧兽医研究所、贵州省农业区域经济发展中心、贵州省畜禽遗传资源管理站</w:t>
      </w:r>
    </w:p>
    <w:p>
      <w:pPr>
        <w:widowControl/>
        <w:spacing w:line="360" w:lineRule="auto"/>
        <w:ind w:firstLine="315" w:firstLineChars="150"/>
        <w:rPr>
          <w:rFonts w:ascii="宋体"/>
          <w:szCs w:val="21"/>
        </w:rPr>
      </w:pPr>
      <w:r>
        <w:rPr>
          <w:rFonts w:hint="eastAsia" w:ascii="宋体" w:hAnsi="宋体"/>
          <w:szCs w:val="21"/>
        </w:rPr>
        <w:t>本标准主要起草人</w:t>
      </w:r>
      <w:r>
        <w:rPr>
          <w:rFonts w:ascii="宋体" w:hAnsi="宋体"/>
          <w:szCs w:val="21"/>
        </w:rPr>
        <w:t xml:space="preserve">: </w:t>
      </w:r>
      <w:r>
        <w:rPr>
          <w:rFonts w:hint="eastAsia" w:ascii="宋体" w:hAnsi="宋体"/>
          <w:szCs w:val="21"/>
        </w:rPr>
        <w:t>杨莉、张芸、李雪松、陈浩林、杨民、李冬光、沈德林、蒲龄、葛磊、郭小江、黎恒铭、</w:t>
      </w:r>
      <w:r>
        <w:rPr>
          <w:rFonts w:hint="eastAsia" w:ascii="宋体" w:hAnsi="宋体"/>
        </w:rPr>
        <w:t>黄宇杰</w:t>
      </w:r>
      <w:r>
        <w:rPr>
          <w:rFonts w:hint="eastAsia"/>
        </w:rPr>
        <w:t>、</w:t>
      </w:r>
      <w:r>
        <w:rPr>
          <w:rFonts w:hint="eastAsia" w:ascii="宋体" w:hAnsi="宋体"/>
          <w:bCs/>
          <w:szCs w:val="21"/>
        </w:rPr>
        <w:t>龙云</w:t>
      </w:r>
      <w:r>
        <w:rPr>
          <w:rFonts w:hint="eastAsia" w:ascii="宋体" w:hAnsi="宋体"/>
          <w:szCs w:val="21"/>
        </w:rPr>
        <w:t>、伍革民、李亮、徐景峨、韩雪、姜桃、朱丽莉、吴松成、姜玲玲、郎红权、段培强、姚碧琼、杨学坤、王燕、吴宗豪、石庆茂、陈晓岚、单鲁先。</w:t>
      </w:r>
    </w:p>
    <w:p>
      <w:pPr>
        <w:rPr>
          <w:rFonts w:ascii="宋体"/>
          <w:bCs/>
          <w:sz w:val="28"/>
          <w:szCs w:val="28"/>
        </w:rPr>
      </w:pPr>
      <w:bookmarkStart w:id="10" w:name="_GoBack"/>
      <w:bookmarkEnd w:id="10"/>
    </w:p>
    <w:p>
      <w:pPr>
        <w:rPr>
          <w:rFonts w:ascii="宋体"/>
          <w:bCs/>
          <w:sz w:val="28"/>
          <w:szCs w:val="28"/>
        </w:rPr>
      </w:pPr>
    </w:p>
    <w:p>
      <w:pPr>
        <w:rPr>
          <w:rFonts w:ascii="宋体"/>
          <w:bCs/>
          <w:sz w:val="28"/>
          <w:szCs w:val="28"/>
        </w:rPr>
      </w:pPr>
    </w:p>
    <w:p>
      <w:pPr>
        <w:rPr>
          <w:rFonts w:ascii="宋体"/>
          <w:bCs/>
          <w:sz w:val="28"/>
          <w:szCs w:val="28"/>
        </w:rPr>
      </w:pPr>
    </w:p>
    <w:p>
      <w:pPr>
        <w:rPr>
          <w:rFonts w:ascii="宋体"/>
          <w:bCs/>
          <w:sz w:val="28"/>
          <w:szCs w:val="28"/>
        </w:rPr>
      </w:pPr>
    </w:p>
    <w:p>
      <w:pPr>
        <w:rPr>
          <w:rFonts w:ascii="宋体"/>
          <w:bCs/>
          <w:sz w:val="28"/>
          <w:szCs w:val="28"/>
        </w:rPr>
      </w:pPr>
    </w:p>
    <w:p>
      <w:pPr>
        <w:rPr>
          <w:rFonts w:ascii="宋体"/>
          <w:bCs/>
          <w:sz w:val="28"/>
          <w:szCs w:val="28"/>
        </w:rPr>
      </w:pPr>
    </w:p>
    <w:p>
      <w:pPr>
        <w:rPr>
          <w:rFonts w:ascii="宋体"/>
          <w:bCs/>
          <w:sz w:val="28"/>
          <w:szCs w:val="28"/>
        </w:rPr>
      </w:pPr>
    </w:p>
    <w:p>
      <w:pPr>
        <w:rPr>
          <w:rFonts w:ascii="宋体"/>
          <w:bCs/>
          <w:sz w:val="28"/>
          <w:szCs w:val="28"/>
        </w:rPr>
      </w:pPr>
    </w:p>
    <w:p>
      <w:pPr>
        <w:rPr>
          <w:rFonts w:ascii="宋体"/>
          <w:bCs/>
          <w:sz w:val="28"/>
          <w:szCs w:val="28"/>
        </w:rPr>
      </w:pPr>
    </w:p>
    <w:p>
      <w:pPr>
        <w:rPr>
          <w:rFonts w:ascii="宋体"/>
          <w:bCs/>
          <w:sz w:val="28"/>
          <w:szCs w:val="28"/>
        </w:rPr>
      </w:pPr>
    </w:p>
    <w:p>
      <w:pPr>
        <w:rPr>
          <w:rFonts w:ascii="宋体"/>
          <w:bCs/>
          <w:sz w:val="28"/>
          <w:szCs w:val="28"/>
        </w:rPr>
        <w:sectPr>
          <w:footerReference r:id="rId9" w:type="first"/>
          <w:pgSz w:w="11906" w:h="16838"/>
          <w:pgMar w:top="1440" w:right="1274" w:bottom="1440" w:left="1800" w:header="851" w:footer="992" w:gutter="0"/>
          <w:pgNumType w:fmt="upperRoman" w:start="1"/>
          <w:cols w:space="425" w:num="1"/>
          <w:titlePg/>
          <w:docGrid w:type="lines" w:linePitch="312" w:charSpace="0"/>
        </w:sectPr>
      </w:pPr>
    </w:p>
    <w:p>
      <w:pPr>
        <w:widowControl/>
        <w:adjustRightInd w:val="0"/>
        <w:snapToGrid w:val="0"/>
        <w:spacing w:line="360" w:lineRule="auto"/>
        <w:ind w:firstLine="800" w:firstLineChars="250"/>
        <w:rPr>
          <w:rFonts w:ascii="黑体" w:hAnsi="黑体" w:eastAsia="黑体"/>
          <w:sz w:val="32"/>
          <w:szCs w:val="32"/>
        </w:rPr>
      </w:pPr>
      <w:r>
        <w:rPr>
          <w:rFonts w:hint="eastAsia" w:ascii="黑体" w:hAnsi="黑体" w:eastAsia="黑体"/>
          <w:sz w:val="32"/>
          <w:szCs w:val="32"/>
        </w:rPr>
        <w:t>贵州生态鸭养殖废弃物处理与综合利用技术规程</w:t>
      </w:r>
    </w:p>
    <w:p>
      <w:pPr>
        <w:pStyle w:val="2"/>
        <w:spacing w:line="360" w:lineRule="auto"/>
        <w:rPr>
          <w:rFonts w:ascii="宋体" w:cs="Arial"/>
          <w:b w:val="0"/>
          <w:sz w:val="21"/>
          <w:szCs w:val="21"/>
        </w:rPr>
      </w:pPr>
      <w:bookmarkStart w:id="1" w:name="_Toc534671013"/>
      <w:r>
        <w:rPr>
          <w:rFonts w:ascii="宋体" w:hAnsi="宋体" w:cs="Arial"/>
          <w:sz w:val="21"/>
          <w:szCs w:val="21"/>
        </w:rPr>
        <w:t xml:space="preserve">1 </w:t>
      </w:r>
      <w:r>
        <w:rPr>
          <w:rFonts w:hint="eastAsia" w:ascii="宋体" w:hAnsi="宋体" w:cs="Arial"/>
          <w:sz w:val="21"/>
          <w:szCs w:val="21"/>
        </w:rPr>
        <w:t>范围</w:t>
      </w:r>
      <w:bookmarkEnd w:id="1"/>
    </w:p>
    <w:p>
      <w:pPr>
        <w:spacing w:line="360" w:lineRule="auto"/>
        <w:ind w:firstLine="420" w:firstLineChars="200"/>
        <w:jc w:val="left"/>
        <w:rPr>
          <w:rFonts w:ascii="宋体"/>
          <w:b/>
          <w:szCs w:val="21"/>
        </w:rPr>
      </w:pPr>
      <w:r>
        <w:rPr>
          <w:rFonts w:hint="eastAsia" w:ascii="宋体" w:hAnsi="宋体" w:cs="Arial"/>
          <w:szCs w:val="21"/>
        </w:rPr>
        <w:t>本标准规定贵州省内生态鸭养殖废弃物</w:t>
      </w:r>
      <w:r>
        <w:rPr>
          <w:rFonts w:hint="eastAsia" w:ascii="宋体" w:hAnsi="宋体"/>
          <w:szCs w:val="21"/>
        </w:rPr>
        <w:t>处理原则、废弃物处理场建设、废弃物种类、废弃物处理、综合利用、</w:t>
      </w:r>
      <w:r>
        <w:rPr>
          <w:rFonts w:hint="eastAsia" w:ascii="宋体" w:hAnsi="宋体" w:cs="宋体"/>
          <w:bCs/>
          <w:szCs w:val="21"/>
        </w:rPr>
        <w:t>运行管理与维护等。</w:t>
      </w:r>
    </w:p>
    <w:p>
      <w:pPr>
        <w:spacing w:line="360" w:lineRule="auto"/>
        <w:ind w:firstLine="420" w:firstLineChars="200"/>
        <w:jc w:val="left"/>
        <w:rPr>
          <w:rFonts w:ascii="宋体" w:cs="Arial"/>
          <w:szCs w:val="21"/>
        </w:rPr>
      </w:pPr>
      <w:r>
        <w:rPr>
          <w:rFonts w:hint="eastAsia" w:ascii="宋体" w:hAnsi="宋体" w:cs="Arial"/>
          <w:szCs w:val="21"/>
        </w:rPr>
        <w:t>本标准适用于贵州省内生态鸭养殖场。</w:t>
      </w:r>
    </w:p>
    <w:p>
      <w:pPr>
        <w:pStyle w:val="2"/>
        <w:spacing w:line="360" w:lineRule="auto"/>
        <w:rPr>
          <w:rFonts w:ascii="宋体"/>
          <w:b w:val="0"/>
          <w:sz w:val="21"/>
          <w:szCs w:val="21"/>
        </w:rPr>
      </w:pPr>
      <w:bookmarkStart w:id="2" w:name="_Toc534671014"/>
      <w:r>
        <w:rPr>
          <w:rFonts w:ascii="宋体" w:hAnsi="宋体"/>
          <w:sz w:val="21"/>
          <w:szCs w:val="21"/>
        </w:rPr>
        <w:t xml:space="preserve">2 </w:t>
      </w:r>
      <w:r>
        <w:rPr>
          <w:rFonts w:hint="eastAsia" w:ascii="宋体" w:hAnsi="宋体"/>
          <w:sz w:val="21"/>
          <w:szCs w:val="21"/>
        </w:rPr>
        <w:t>规范性引用文件</w:t>
      </w:r>
      <w:bookmarkEnd w:id="2"/>
      <w:r>
        <w:rPr>
          <w:rFonts w:ascii="宋体" w:hAnsi="宋体"/>
          <w:sz w:val="21"/>
          <w:szCs w:val="21"/>
        </w:rPr>
        <w:t xml:space="preserve"> </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下列文件对于本文件的应用是必不可少的。凡是注日期的引用文件，仅注日期的版本适用于本文件。凡是不注日期的引用文件，其最新版本（包括所有的修改单）适用于本文件。</w:t>
      </w:r>
    </w:p>
    <w:p>
      <w:pPr>
        <w:autoSpaceDE w:val="0"/>
        <w:autoSpaceDN w:val="0"/>
        <w:adjustRightInd w:val="0"/>
        <w:snapToGrid w:val="0"/>
        <w:spacing w:line="360" w:lineRule="auto"/>
        <w:ind w:firstLine="420" w:firstLineChars="200"/>
        <w:jc w:val="left"/>
        <w:rPr>
          <w:rFonts w:ascii="宋体"/>
          <w:szCs w:val="21"/>
        </w:rPr>
      </w:pPr>
      <w:r>
        <w:rPr>
          <w:rFonts w:ascii="宋体" w:hAnsi="宋体"/>
          <w:szCs w:val="21"/>
        </w:rPr>
        <w:t xml:space="preserve">GB 5084          </w:t>
      </w:r>
      <w:r>
        <w:rPr>
          <w:rFonts w:hint="eastAsia" w:ascii="宋体" w:hAnsi="宋体"/>
          <w:szCs w:val="21"/>
        </w:rPr>
        <w:t>农田灌溉水质标准</w:t>
      </w:r>
    </w:p>
    <w:p>
      <w:pPr>
        <w:autoSpaceDE w:val="0"/>
        <w:autoSpaceDN w:val="0"/>
        <w:adjustRightInd w:val="0"/>
        <w:snapToGrid w:val="0"/>
        <w:spacing w:line="360" w:lineRule="auto"/>
        <w:ind w:firstLine="420" w:firstLineChars="200"/>
        <w:jc w:val="left"/>
        <w:rPr>
          <w:rFonts w:ascii="宋体" w:cs="宋体"/>
          <w:color w:val="000000"/>
          <w:kern w:val="0"/>
          <w:szCs w:val="21"/>
        </w:rPr>
      </w:pPr>
      <w:r>
        <w:rPr>
          <w:rFonts w:ascii="宋体" w:hAnsi="宋体" w:cs="宋体"/>
          <w:color w:val="000000"/>
          <w:kern w:val="0"/>
          <w:szCs w:val="21"/>
        </w:rPr>
        <w:t xml:space="preserve">GB 7959          </w:t>
      </w:r>
      <w:r>
        <w:rPr>
          <w:rFonts w:hint="eastAsia" w:ascii="宋体" w:hAnsi="宋体" w:cs="宋体"/>
          <w:color w:val="000000"/>
          <w:kern w:val="0"/>
          <w:szCs w:val="21"/>
        </w:rPr>
        <w:t>粪便</w:t>
      </w:r>
      <w:r>
        <w:rPr>
          <w:rFonts w:hint="eastAsia" w:ascii="宋体" w:hAnsi="宋体"/>
          <w:color w:val="000000"/>
          <w:szCs w:val="21"/>
        </w:rPr>
        <w:t>无害化卫生要求</w:t>
      </w:r>
    </w:p>
    <w:p>
      <w:pPr>
        <w:autoSpaceDE w:val="0"/>
        <w:autoSpaceDN w:val="0"/>
        <w:adjustRightInd w:val="0"/>
        <w:snapToGrid w:val="0"/>
        <w:spacing w:line="360" w:lineRule="auto"/>
        <w:ind w:firstLine="420" w:firstLineChars="200"/>
        <w:jc w:val="left"/>
        <w:rPr>
          <w:rFonts w:ascii="宋体"/>
          <w:szCs w:val="21"/>
        </w:rPr>
      </w:pPr>
      <w:r>
        <w:rPr>
          <w:rFonts w:ascii="宋体" w:hAnsi="宋体"/>
          <w:szCs w:val="21"/>
        </w:rPr>
        <w:t xml:space="preserve">GB 18596         </w:t>
      </w:r>
      <w:r>
        <w:rPr>
          <w:rFonts w:hint="eastAsia" w:ascii="宋体" w:hAnsi="宋体"/>
          <w:szCs w:val="21"/>
        </w:rPr>
        <w:t>畜禽养殖业污染物排放标准</w:t>
      </w:r>
    </w:p>
    <w:p>
      <w:pPr>
        <w:autoSpaceDE w:val="0"/>
        <w:autoSpaceDN w:val="0"/>
        <w:adjustRightInd w:val="0"/>
        <w:snapToGrid w:val="0"/>
        <w:spacing w:line="360" w:lineRule="auto"/>
        <w:ind w:firstLine="420" w:firstLineChars="200"/>
        <w:jc w:val="left"/>
        <w:rPr>
          <w:rFonts w:ascii="宋体"/>
          <w:color w:val="000000"/>
          <w:szCs w:val="21"/>
          <w:shd w:val="clear" w:color="auto" w:fill="FFFFFF"/>
        </w:rPr>
      </w:pPr>
      <w:r>
        <w:rPr>
          <w:rFonts w:ascii="宋体" w:hAnsi="宋体"/>
          <w:szCs w:val="21"/>
        </w:rPr>
        <w:t>GB/</w:t>
      </w:r>
      <w:r>
        <w:rPr>
          <w:rFonts w:ascii="宋体" w:hAnsi="宋体"/>
          <w:color w:val="000000"/>
          <w:szCs w:val="21"/>
        </w:rPr>
        <w:t>T</w:t>
      </w:r>
      <w:r>
        <w:rPr>
          <w:rFonts w:ascii="宋体" w:hAnsi="宋体"/>
          <w:szCs w:val="21"/>
        </w:rPr>
        <w:t xml:space="preserve"> 12801       </w:t>
      </w:r>
      <w:r>
        <w:rPr>
          <w:rFonts w:hint="eastAsia" w:ascii="宋体" w:hAnsi="宋体"/>
          <w:szCs w:val="21"/>
        </w:rPr>
        <w:t>生产过程安全卫生要求总则</w:t>
      </w:r>
    </w:p>
    <w:p>
      <w:pPr>
        <w:autoSpaceDE w:val="0"/>
        <w:autoSpaceDN w:val="0"/>
        <w:adjustRightInd w:val="0"/>
        <w:snapToGrid w:val="0"/>
        <w:spacing w:line="360" w:lineRule="auto"/>
        <w:ind w:firstLine="420" w:firstLineChars="200"/>
        <w:jc w:val="left"/>
        <w:rPr>
          <w:rFonts w:ascii="宋体"/>
          <w:color w:val="000000"/>
          <w:szCs w:val="21"/>
          <w:shd w:val="clear" w:color="auto" w:fill="FFFFFF"/>
        </w:rPr>
      </w:pPr>
      <w:r>
        <w:rPr>
          <w:rFonts w:ascii="宋体" w:hAnsi="宋体"/>
          <w:szCs w:val="21"/>
        </w:rPr>
        <w:t xml:space="preserve">GB/T 18877       </w:t>
      </w:r>
      <w:r>
        <w:rPr>
          <w:rFonts w:hint="eastAsia" w:ascii="宋体" w:hAnsi="宋体"/>
          <w:szCs w:val="21"/>
        </w:rPr>
        <w:t>有机</w:t>
      </w:r>
      <w:r>
        <w:rPr>
          <w:rFonts w:ascii="宋体"/>
          <w:szCs w:val="21"/>
        </w:rPr>
        <w:t>-</w:t>
      </w:r>
      <w:r>
        <w:rPr>
          <w:rFonts w:hint="eastAsia" w:ascii="宋体" w:hAnsi="宋体"/>
          <w:szCs w:val="21"/>
        </w:rPr>
        <w:t>无机复混肥料</w:t>
      </w:r>
    </w:p>
    <w:p>
      <w:pPr>
        <w:autoSpaceDE w:val="0"/>
        <w:autoSpaceDN w:val="0"/>
        <w:adjustRightInd w:val="0"/>
        <w:snapToGrid w:val="0"/>
        <w:spacing w:line="360" w:lineRule="auto"/>
        <w:ind w:firstLine="420" w:firstLineChars="200"/>
        <w:jc w:val="left"/>
        <w:rPr>
          <w:rFonts w:ascii="宋体"/>
          <w:szCs w:val="21"/>
        </w:rPr>
      </w:pPr>
      <w:r>
        <w:rPr>
          <w:rFonts w:ascii="宋体" w:hAnsi="宋体"/>
          <w:color w:val="000000"/>
          <w:szCs w:val="21"/>
        </w:rPr>
        <w:t xml:space="preserve">GB/T 25246       </w:t>
      </w:r>
      <w:r>
        <w:fldChar w:fldCharType="begin"/>
      </w:r>
      <w:r>
        <w:instrText xml:space="preserve"> HYPERLINK "http://book.gzlib.org/views/specific/2929/StdDetail.jsp?dxid=320151129992&amp;d=CE697CA8E47AF97CE7D5422DD01E2D1D&amp;sw=+%E7%95%9C%E7%A6%BD" \t "http://book.gzlib.org/_blank" </w:instrText>
      </w:r>
      <w:r>
        <w:fldChar w:fldCharType="separate"/>
      </w:r>
      <w:r>
        <w:rPr>
          <w:rFonts w:hint="eastAsia" w:ascii="宋体" w:hAnsi="宋体"/>
          <w:color w:val="000000"/>
          <w:szCs w:val="21"/>
        </w:rPr>
        <w:t>畜禽粪便还田技术规范</w:t>
      </w:r>
      <w:r>
        <w:rPr>
          <w:rFonts w:hint="eastAsia" w:ascii="宋体" w:hAnsi="宋体"/>
          <w:color w:val="000000"/>
          <w:szCs w:val="21"/>
        </w:rPr>
        <w:fldChar w:fldCharType="end"/>
      </w:r>
    </w:p>
    <w:p>
      <w:pPr>
        <w:autoSpaceDE w:val="0"/>
        <w:autoSpaceDN w:val="0"/>
        <w:adjustRightInd w:val="0"/>
        <w:snapToGrid w:val="0"/>
        <w:spacing w:line="360" w:lineRule="auto"/>
        <w:ind w:firstLine="420" w:firstLineChars="200"/>
        <w:jc w:val="left"/>
        <w:rPr>
          <w:rFonts w:ascii="宋体" w:hAnsi="宋体"/>
          <w:szCs w:val="21"/>
        </w:rPr>
      </w:pPr>
      <w:r>
        <w:rPr>
          <w:rFonts w:ascii="宋体" w:hAnsi="宋体"/>
          <w:szCs w:val="21"/>
        </w:rPr>
        <w:t xml:space="preserve">NY 525           </w:t>
      </w:r>
      <w:r>
        <w:rPr>
          <w:rFonts w:hint="eastAsia" w:ascii="宋体" w:hAnsi="宋体"/>
          <w:szCs w:val="21"/>
        </w:rPr>
        <w:t>有机肥料</w:t>
      </w:r>
      <w:r>
        <w:rPr>
          <w:rFonts w:ascii="宋体" w:hAnsi="宋体"/>
          <w:szCs w:val="21"/>
        </w:rPr>
        <w:t xml:space="preserve"> </w:t>
      </w:r>
    </w:p>
    <w:p>
      <w:pPr>
        <w:autoSpaceDE w:val="0"/>
        <w:autoSpaceDN w:val="0"/>
        <w:adjustRightInd w:val="0"/>
        <w:snapToGrid w:val="0"/>
        <w:spacing w:line="360" w:lineRule="auto"/>
        <w:ind w:firstLine="420" w:firstLineChars="200"/>
        <w:jc w:val="left"/>
        <w:rPr>
          <w:rFonts w:ascii="宋体"/>
          <w:szCs w:val="21"/>
        </w:rPr>
      </w:pPr>
      <w:r>
        <w:rPr>
          <w:rFonts w:ascii="宋体" w:hAnsi="宋体"/>
          <w:szCs w:val="21"/>
        </w:rPr>
        <w:t xml:space="preserve">NY/T 682         </w:t>
      </w:r>
      <w:r>
        <w:rPr>
          <w:rFonts w:hint="eastAsia" w:ascii="宋体" w:hAnsi="宋体"/>
          <w:szCs w:val="21"/>
        </w:rPr>
        <w:t>畜禽场场区设计技术规范</w:t>
      </w:r>
    </w:p>
    <w:p>
      <w:pPr>
        <w:autoSpaceDE w:val="0"/>
        <w:autoSpaceDN w:val="0"/>
        <w:adjustRightInd w:val="0"/>
        <w:snapToGrid w:val="0"/>
        <w:spacing w:line="360" w:lineRule="auto"/>
        <w:ind w:firstLine="420" w:firstLineChars="200"/>
        <w:jc w:val="left"/>
        <w:rPr>
          <w:rFonts w:ascii="宋体"/>
          <w:color w:val="000000"/>
          <w:szCs w:val="21"/>
        </w:rPr>
      </w:pPr>
      <w:r>
        <w:rPr>
          <w:rFonts w:ascii="宋体" w:hAnsi="宋体"/>
          <w:color w:val="000000"/>
          <w:szCs w:val="21"/>
        </w:rPr>
        <w:t xml:space="preserve">NY/T 1168        </w:t>
      </w:r>
      <w:r>
        <w:rPr>
          <w:rFonts w:hint="eastAsia" w:ascii="宋体" w:hAnsi="宋体"/>
          <w:color w:val="000000"/>
          <w:szCs w:val="21"/>
        </w:rPr>
        <w:t>畜禽粪便无害化处理技术规范</w:t>
      </w:r>
    </w:p>
    <w:p>
      <w:pPr>
        <w:autoSpaceDE w:val="0"/>
        <w:autoSpaceDN w:val="0"/>
        <w:adjustRightInd w:val="0"/>
        <w:snapToGrid w:val="0"/>
        <w:spacing w:line="360" w:lineRule="auto"/>
        <w:ind w:firstLine="420" w:firstLineChars="200"/>
        <w:jc w:val="left"/>
        <w:rPr>
          <w:rFonts w:ascii="宋体"/>
          <w:color w:val="000000"/>
          <w:szCs w:val="21"/>
        </w:rPr>
      </w:pPr>
      <w:r>
        <w:rPr>
          <w:rFonts w:ascii="宋体" w:hAnsi="宋体"/>
          <w:szCs w:val="21"/>
        </w:rPr>
        <w:t xml:space="preserve">NY/T 3023        </w:t>
      </w:r>
      <w:r>
        <w:rPr>
          <w:rFonts w:hint="eastAsia" w:ascii="宋体" w:hAnsi="宋体" w:cs="Arial"/>
          <w:color w:val="000000"/>
          <w:kern w:val="36"/>
          <w:szCs w:val="21"/>
        </w:rPr>
        <w:t>畜禽粪污处理场建设标准</w:t>
      </w:r>
    </w:p>
    <w:p>
      <w:pPr>
        <w:autoSpaceDE w:val="0"/>
        <w:autoSpaceDN w:val="0"/>
        <w:adjustRightInd w:val="0"/>
        <w:snapToGrid w:val="0"/>
        <w:spacing w:line="360" w:lineRule="auto"/>
        <w:ind w:firstLine="420" w:firstLineChars="200"/>
        <w:jc w:val="left"/>
        <w:rPr>
          <w:rFonts w:ascii="宋体"/>
          <w:color w:val="000000"/>
          <w:szCs w:val="21"/>
        </w:rPr>
      </w:pPr>
      <w:r>
        <w:rPr>
          <w:rFonts w:ascii="宋体" w:hAnsi="宋体"/>
          <w:szCs w:val="21"/>
        </w:rPr>
        <w:t>HJ 497</w:t>
      </w:r>
      <w:r>
        <w:rPr>
          <w:rFonts w:ascii="宋体" w:hAnsi="宋体"/>
          <w:color w:val="000000"/>
          <w:szCs w:val="21"/>
        </w:rPr>
        <w:t xml:space="preserve">           </w:t>
      </w:r>
      <w:r>
        <w:rPr>
          <w:rFonts w:hint="eastAsia" w:ascii="宋体" w:hAnsi="宋体"/>
          <w:color w:val="000000"/>
          <w:szCs w:val="21"/>
        </w:rPr>
        <w:t>畜禽养殖业污染治理工程技术规范</w:t>
      </w:r>
    </w:p>
    <w:p>
      <w:pPr>
        <w:autoSpaceDE w:val="0"/>
        <w:autoSpaceDN w:val="0"/>
        <w:adjustRightInd w:val="0"/>
        <w:snapToGrid w:val="0"/>
        <w:spacing w:line="360" w:lineRule="auto"/>
        <w:ind w:firstLine="420" w:firstLineChars="200"/>
        <w:jc w:val="left"/>
        <w:rPr>
          <w:rFonts w:ascii="宋体"/>
          <w:szCs w:val="21"/>
        </w:rPr>
      </w:pPr>
      <w:r>
        <w:rPr>
          <w:rFonts w:ascii="宋体" w:hAnsi="宋体"/>
          <w:szCs w:val="21"/>
        </w:rPr>
        <w:t xml:space="preserve">HJ/T 81          </w:t>
      </w:r>
      <w:r>
        <w:rPr>
          <w:rFonts w:hint="eastAsia" w:ascii="宋体" w:hAnsi="宋体"/>
          <w:szCs w:val="21"/>
        </w:rPr>
        <w:t>畜禽养殖业污染防治技术规范</w:t>
      </w:r>
    </w:p>
    <w:p>
      <w:pPr>
        <w:autoSpaceDE w:val="0"/>
        <w:autoSpaceDN w:val="0"/>
        <w:adjustRightInd w:val="0"/>
        <w:snapToGrid w:val="0"/>
        <w:spacing w:line="360" w:lineRule="auto"/>
        <w:ind w:firstLine="420" w:firstLineChars="200"/>
        <w:jc w:val="left"/>
        <w:rPr>
          <w:rFonts w:ascii="宋体"/>
          <w:color w:val="000000"/>
          <w:szCs w:val="21"/>
        </w:rPr>
      </w:pPr>
    </w:p>
    <w:p>
      <w:pPr>
        <w:pStyle w:val="2"/>
        <w:spacing w:line="360" w:lineRule="auto"/>
        <w:rPr>
          <w:rFonts w:ascii="宋体"/>
          <w:b w:val="0"/>
          <w:sz w:val="21"/>
          <w:szCs w:val="21"/>
        </w:rPr>
      </w:pPr>
      <w:bookmarkStart w:id="3" w:name="_Toc534671015"/>
      <w:r>
        <w:rPr>
          <w:rFonts w:ascii="宋体" w:hAnsi="宋体"/>
          <w:sz w:val="21"/>
          <w:szCs w:val="21"/>
        </w:rPr>
        <w:t xml:space="preserve">3 </w:t>
      </w:r>
      <w:r>
        <w:rPr>
          <w:rFonts w:hint="eastAsia" w:ascii="宋体" w:hAnsi="宋体"/>
          <w:sz w:val="21"/>
          <w:szCs w:val="21"/>
        </w:rPr>
        <w:t>术语与定义</w:t>
      </w:r>
      <w:bookmarkEnd w:id="3"/>
      <w:r>
        <w:rPr>
          <w:rFonts w:ascii="宋体" w:hAnsi="宋体"/>
          <w:sz w:val="21"/>
          <w:szCs w:val="21"/>
        </w:rPr>
        <w:t xml:space="preserve"> </w:t>
      </w:r>
    </w:p>
    <w:p>
      <w:pPr>
        <w:autoSpaceDE w:val="0"/>
        <w:autoSpaceDN w:val="0"/>
        <w:adjustRightInd w:val="0"/>
        <w:snapToGrid w:val="0"/>
        <w:spacing w:line="360" w:lineRule="auto"/>
        <w:ind w:firstLine="420" w:firstLineChars="200"/>
        <w:jc w:val="left"/>
        <w:rPr>
          <w:rFonts w:ascii="宋体"/>
          <w:b/>
          <w:szCs w:val="21"/>
        </w:rPr>
      </w:pPr>
      <w:r>
        <w:rPr>
          <w:rFonts w:hint="eastAsia" w:ascii="宋体" w:hAnsi="宋体"/>
          <w:szCs w:val="21"/>
        </w:rPr>
        <w:t>下列术语和定义适用于本标准。</w:t>
      </w:r>
    </w:p>
    <w:p>
      <w:pPr>
        <w:autoSpaceDE w:val="0"/>
        <w:autoSpaceDN w:val="0"/>
        <w:adjustRightInd w:val="0"/>
        <w:snapToGrid w:val="0"/>
        <w:spacing w:line="360" w:lineRule="auto"/>
        <w:jc w:val="left"/>
        <w:rPr>
          <w:rFonts w:ascii="宋体"/>
          <w:b/>
          <w:szCs w:val="21"/>
        </w:rPr>
      </w:pPr>
      <w:r>
        <w:rPr>
          <w:rFonts w:ascii="宋体" w:hAnsi="宋体"/>
          <w:b/>
          <w:szCs w:val="21"/>
        </w:rPr>
        <w:t>3.1</w:t>
      </w:r>
    </w:p>
    <w:p>
      <w:pPr>
        <w:widowControl/>
        <w:spacing w:line="360" w:lineRule="auto"/>
        <w:ind w:firstLine="422" w:firstLineChars="200"/>
        <w:rPr>
          <w:rFonts w:ascii="宋体" w:hAnsi="宋体" w:cs="宋体"/>
          <w:b/>
          <w:szCs w:val="21"/>
        </w:rPr>
      </w:pPr>
      <w:r>
        <w:rPr>
          <w:rFonts w:hint="eastAsia" w:ascii="宋体" w:hAnsi="宋体"/>
          <w:b/>
          <w:szCs w:val="21"/>
        </w:rPr>
        <w:t>生态鸭</w:t>
      </w:r>
      <w:r>
        <w:rPr>
          <w:rFonts w:ascii="宋体" w:hAnsi="宋体"/>
          <w:b/>
          <w:szCs w:val="21"/>
        </w:rPr>
        <w:t xml:space="preserve"> </w:t>
      </w:r>
      <w:r>
        <w:rPr>
          <w:rFonts w:ascii="宋体" w:hAnsi="宋体" w:cs="宋体"/>
          <w:b/>
          <w:szCs w:val="21"/>
        </w:rPr>
        <w:t>ecological duck</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从农业生态系统平衡的角度出发，充分利用优质饲养资源，在保护好生态环境的情况，按标准养殖的鸭。</w:t>
      </w:r>
    </w:p>
    <w:p>
      <w:pPr>
        <w:autoSpaceDE w:val="0"/>
        <w:autoSpaceDN w:val="0"/>
        <w:adjustRightInd w:val="0"/>
        <w:snapToGrid w:val="0"/>
        <w:spacing w:line="360" w:lineRule="auto"/>
        <w:ind w:firstLine="422" w:firstLineChars="200"/>
        <w:jc w:val="left"/>
        <w:rPr>
          <w:rFonts w:ascii="宋体"/>
          <w:b/>
          <w:szCs w:val="21"/>
        </w:rPr>
      </w:pPr>
    </w:p>
    <w:p>
      <w:pPr>
        <w:autoSpaceDE w:val="0"/>
        <w:autoSpaceDN w:val="0"/>
        <w:adjustRightInd w:val="0"/>
        <w:snapToGrid w:val="0"/>
        <w:spacing w:line="360" w:lineRule="auto"/>
        <w:jc w:val="left"/>
        <w:rPr>
          <w:rFonts w:ascii="宋体"/>
          <w:b/>
          <w:szCs w:val="21"/>
        </w:rPr>
      </w:pPr>
      <w:r>
        <w:rPr>
          <w:rFonts w:ascii="宋体" w:hAnsi="宋体" w:cs="宋体"/>
          <w:b/>
          <w:kern w:val="0"/>
          <w:szCs w:val="21"/>
        </w:rPr>
        <w:t>3.2</w:t>
      </w:r>
    </w:p>
    <w:p>
      <w:pPr>
        <w:autoSpaceDE w:val="0"/>
        <w:autoSpaceDN w:val="0"/>
        <w:adjustRightInd w:val="0"/>
        <w:snapToGrid w:val="0"/>
        <w:spacing w:line="360" w:lineRule="auto"/>
        <w:ind w:firstLine="422" w:firstLineChars="200"/>
        <w:jc w:val="left"/>
        <w:rPr>
          <w:rFonts w:ascii="宋体" w:hAnsi="宋体"/>
          <w:b/>
          <w:szCs w:val="21"/>
        </w:rPr>
      </w:pPr>
      <w:r>
        <w:rPr>
          <w:rFonts w:hint="eastAsia" w:ascii="宋体" w:hAnsi="宋体"/>
          <w:b/>
          <w:szCs w:val="21"/>
        </w:rPr>
        <w:t>废弃物</w:t>
      </w:r>
      <w:r>
        <w:rPr>
          <w:rFonts w:ascii="宋体" w:hAnsi="宋体"/>
          <w:b/>
          <w:szCs w:val="21"/>
        </w:rPr>
        <w:t xml:space="preserve">  waste materials</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生态鸭饲养过程中所产生的粪便、污水、病死鸭、垫料、组织留样、医疗废弃物和废弃饲料等。</w:t>
      </w:r>
    </w:p>
    <w:p>
      <w:pPr>
        <w:autoSpaceDE w:val="0"/>
        <w:autoSpaceDN w:val="0"/>
        <w:adjustRightInd w:val="0"/>
        <w:snapToGrid w:val="0"/>
        <w:spacing w:line="360" w:lineRule="auto"/>
        <w:jc w:val="left"/>
        <w:rPr>
          <w:rFonts w:ascii="宋体" w:hAnsi="宋体" w:cs="宋体"/>
          <w:b/>
          <w:kern w:val="0"/>
          <w:szCs w:val="21"/>
        </w:rPr>
      </w:pPr>
      <w:r>
        <w:rPr>
          <w:rFonts w:ascii="宋体" w:hAnsi="宋体" w:cs="宋体"/>
          <w:b/>
          <w:kern w:val="0"/>
          <w:szCs w:val="21"/>
        </w:rPr>
        <w:t>3.3</w:t>
      </w:r>
    </w:p>
    <w:p>
      <w:pPr>
        <w:autoSpaceDE w:val="0"/>
        <w:autoSpaceDN w:val="0"/>
        <w:adjustRightInd w:val="0"/>
        <w:snapToGrid w:val="0"/>
        <w:spacing w:line="360" w:lineRule="auto"/>
        <w:ind w:firstLine="422" w:firstLineChars="200"/>
        <w:jc w:val="left"/>
        <w:rPr>
          <w:rFonts w:ascii="宋体"/>
          <w:b/>
          <w:szCs w:val="21"/>
        </w:rPr>
      </w:pPr>
      <w:r>
        <w:rPr>
          <w:rFonts w:hint="eastAsia" w:ascii="宋体" w:hAnsi="宋体" w:cs="宋体"/>
          <w:b/>
          <w:kern w:val="0"/>
          <w:szCs w:val="21"/>
        </w:rPr>
        <w:t>干清粪</w:t>
      </w:r>
      <w:r>
        <w:rPr>
          <w:rFonts w:ascii="宋体" w:hAnsi="宋体" w:cs="宋体"/>
          <w:b/>
          <w:kern w:val="0"/>
          <w:szCs w:val="21"/>
        </w:rPr>
        <w:t xml:space="preserve"> </w:t>
      </w:r>
      <w:r>
        <w:rPr>
          <w:rFonts w:ascii="宋体" w:hAnsi="宋体"/>
          <w:b/>
          <w:szCs w:val="21"/>
        </w:rPr>
        <w:t>dry collecting</w:t>
      </w:r>
      <w:r>
        <w:rPr>
          <w:rFonts w:ascii="宋体"/>
          <w:b/>
          <w:szCs w:val="21"/>
        </w:rPr>
        <w:t> </w:t>
      </w:r>
    </w:p>
    <w:p>
      <w:pPr>
        <w:adjustRightInd w:val="0"/>
        <w:snapToGrid w:val="0"/>
        <w:spacing w:line="360" w:lineRule="auto"/>
        <w:ind w:firstLine="420" w:firstLineChars="200"/>
        <w:rPr>
          <w:rFonts w:ascii="宋体"/>
          <w:szCs w:val="21"/>
        </w:rPr>
      </w:pPr>
      <w:r>
        <w:rPr>
          <w:rFonts w:hint="eastAsia" w:ascii="宋体" w:hAnsi="宋体"/>
          <w:szCs w:val="21"/>
        </w:rPr>
        <w:t>生态鸭排放的粪便通过机械或人工方式从畜禽舍收集、清除全部或大部的固形粪便，地面残余粪便及冲洗水，从而使固体和液体废弃物分离的粪便清理方式。</w:t>
      </w:r>
    </w:p>
    <w:p>
      <w:pPr>
        <w:autoSpaceDE w:val="0"/>
        <w:autoSpaceDN w:val="0"/>
        <w:adjustRightInd w:val="0"/>
        <w:snapToGrid w:val="0"/>
        <w:spacing w:line="360" w:lineRule="auto"/>
        <w:jc w:val="left"/>
        <w:rPr>
          <w:rFonts w:ascii="宋体" w:hAnsi="宋体" w:cs="宋体"/>
          <w:b/>
          <w:kern w:val="0"/>
          <w:szCs w:val="21"/>
        </w:rPr>
      </w:pPr>
      <w:r>
        <w:rPr>
          <w:rFonts w:ascii="宋体" w:hAnsi="宋体" w:cs="宋体"/>
          <w:b/>
          <w:kern w:val="0"/>
          <w:szCs w:val="21"/>
        </w:rPr>
        <w:t>3.4</w:t>
      </w:r>
    </w:p>
    <w:p>
      <w:pPr>
        <w:autoSpaceDE w:val="0"/>
        <w:autoSpaceDN w:val="0"/>
        <w:adjustRightInd w:val="0"/>
        <w:snapToGrid w:val="0"/>
        <w:spacing w:line="360" w:lineRule="auto"/>
        <w:jc w:val="left"/>
        <w:rPr>
          <w:rFonts w:ascii="宋体" w:cs="宋体"/>
          <w:b/>
          <w:color w:val="FF0000"/>
          <w:kern w:val="0"/>
          <w:szCs w:val="21"/>
        </w:rPr>
      </w:pPr>
      <w:r>
        <w:rPr>
          <w:rFonts w:ascii="宋体" w:hAnsi="宋体" w:cs="宋体"/>
          <w:b/>
          <w:kern w:val="0"/>
          <w:szCs w:val="21"/>
        </w:rPr>
        <w:t xml:space="preserve">    </w:t>
      </w:r>
      <w:r>
        <w:rPr>
          <w:rFonts w:hint="eastAsia" w:ascii="宋体" w:hAnsi="宋体" w:cs="宋体"/>
          <w:b/>
          <w:color w:val="000000"/>
          <w:kern w:val="0"/>
          <w:szCs w:val="21"/>
        </w:rPr>
        <w:t>发酵床养殖</w:t>
      </w:r>
      <w:r>
        <w:rPr>
          <w:rFonts w:ascii="宋体" w:hAnsi="宋体" w:cs="宋体"/>
          <w:b/>
          <w:color w:val="000000"/>
          <w:kern w:val="0"/>
          <w:szCs w:val="21"/>
        </w:rPr>
        <w:t xml:space="preserve">  fermentation bed culture </w:t>
      </w:r>
      <w:r>
        <w:rPr>
          <w:rFonts w:ascii="宋体" w:hAnsi="宋体" w:cs="宋体"/>
          <w:b/>
          <w:color w:val="000000"/>
          <w:szCs w:val="21"/>
        </w:rPr>
        <w:t xml:space="preserve"> </w:t>
      </w:r>
      <w:r>
        <w:rPr>
          <w:rFonts w:ascii="宋体" w:hAnsi="宋体" w:cs="宋体"/>
          <w:b/>
          <w:szCs w:val="21"/>
        </w:rPr>
        <w:t xml:space="preserve"> </w:t>
      </w:r>
    </w:p>
    <w:p>
      <w:pPr>
        <w:adjustRightInd w:val="0"/>
        <w:snapToGrid w:val="0"/>
        <w:spacing w:line="360" w:lineRule="auto"/>
        <w:ind w:firstLine="420" w:firstLineChars="200"/>
        <w:rPr>
          <w:rFonts w:ascii="宋体" w:cs="宋体"/>
          <w:szCs w:val="21"/>
        </w:rPr>
      </w:pPr>
      <w:r>
        <w:rPr>
          <w:rFonts w:hint="eastAsia" w:ascii="宋体" w:hAnsi="宋体" w:cs="宋体"/>
          <w:szCs w:val="21"/>
        </w:rPr>
        <w:t>指以木屑、谷壳、米糠、生物菌剂等为主要原料，拌匀后作为垫料铺成圈舍，可有效发酵降解粪污等养殖废弃物，污染零排放的养殖方式。</w:t>
      </w:r>
    </w:p>
    <w:p>
      <w:pPr>
        <w:autoSpaceDE w:val="0"/>
        <w:autoSpaceDN w:val="0"/>
        <w:adjustRightInd w:val="0"/>
        <w:snapToGrid w:val="0"/>
        <w:spacing w:line="360" w:lineRule="auto"/>
        <w:jc w:val="left"/>
        <w:rPr>
          <w:rFonts w:ascii="宋体"/>
          <w:b/>
          <w:szCs w:val="21"/>
        </w:rPr>
      </w:pPr>
      <w:r>
        <w:rPr>
          <w:rFonts w:ascii="宋体" w:hAnsi="宋体" w:cs="宋体"/>
          <w:b/>
          <w:kern w:val="0"/>
          <w:szCs w:val="21"/>
        </w:rPr>
        <w:t>3.5</w:t>
      </w:r>
    </w:p>
    <w:p>
      <w:pPr>
        <w:adjustRightInd w:val="0"/>
        <w:snapToGrid w:val="0"/>
        <w:spacing w:line="360" w:lineRule="auto"/>
        <w:ind w:firstLine="422" w:firstLineChars="200"/>
        <w:rPr>
          <w:rFonts w:ascii="宋体" w:hAnsi="宋体"/>
          <w:szCs w:val="21"/>
        </w:rPr>
      </w:pPr>
      <w:r>
        <w:rPr>
          <w:rFonts w:hint="eastAsia" w:ascii="宋体" w:hAnsi="宋体"/>
          <w:b/>
          <w:szCs w:val="21"/>
        </w:rPr>
        <w:t>无害化处理</w:t>
      </w:r>
      <w:r>
        <w:rPr>
          <w:rFonts w:ascii="宋体" w:hAnsi="宋体"/>
          <w:b/>
          <w:szCs w:val="21"/>
        </w:rPr>
        <w:t xml:space="preserve">  non-hazardous treatment</w:t>
      </w:r>
      <w:r>
        <w:rPr>
          <w:rFonts w:ascii="宋体" w:hAnsi="宋体"/>
          <w:szCs w:val="21"/>
        </w:rPr>
        <w:t xml:space="preserve"> </w:t>
      </w:r>
    </w:p>
    <w:p>
      <w:pPr>
        <w:autoSpaceDE w:val="0"/>
        <w:autoSpaceDN w:val="0"/>
        <w:adjustRightInd w:val="0"/>
        <w:spacing w:line="360" w:lineRule="auto"/>
        <w:ind w:firstLine="435"/>
        <w:jc w:val="left"/>
        <w:rPr>
          <w:rFonts w:ascii="宋体"/>
          <w:szCs w:val="21"/>
        </w:rPr>
      </w:pPr>
      <w:r>
        <w:rPr>
          <w:rFonts w:hint="eastAsia" w:ascii="宋体" w:hAnsi="宋体"/>
          <w:szCs w:val="21"/>
        </w:rPr>
        <w:t>利用高温、好氧或厌氧、或消毒等工艺杀灭生态鸭粪便中病原菌、寄生虫和杂草种子的过程。</w:t>
      </w:r>
    </w:p>
    <w:p>
      <w:pPr>
        <w:autoSpaceDE w:val="0"/>
        <w:autoSpaceDN w:val="0"/>
        <w:adjustRightInd w:val="0"/>
        <w:snapToGrid w:val="0"/>
        <w:spacing w:line="360" w:lineRule="auto"/>
        <w:jc w:val="left"/>
        <w:rPr>
          <w:rFonts w:ascii="宋体"/>
          <w:b/>
          <w:szCs w:val="21"/>
        </w:rPr>
      </w:pPr>
      <w:r>
        <w:rPr>
          <w:rFonts w:ascii="宋体" w:hAnsi="宋体" w:cs="宋体"/>
          <w:b/>
          <w:kern w:val="0"/>
          <w:szCs w:val="21"/>
        </w:rPr>
        <w:t>3.6</w:t>
      </w:r>
    </w:p>
    <w:p>
      <w:pPr>
        <w:autoSpaceDE w:val="0"/>
        <w:autoSpaceDN w:val="0"/>
        <w:adjustRightInd w:val="0"/>
        <w:spacing w:line="360" w:lineRule="auto"/>
        <w:ind w:firstLine="435"/>
        <w:jc w:val="left"/>
        <w:rPr>
          <w:rFonts w:ascii="Arial" w:hAnsi="Arial" w:cs="Arial"/>
          <w:b/>
          <w:color w:val="333333"/>
          <w:szCs w:val="21"/>
          <w:shd w:val="clear" w:color="auto" w:fill="FFFFFF"/>
        </w:rPr>
      </w:pPr>
      <w:r>
        <w:rPr>
          <w:rFonts w:hint="eastAsia" w:ascii="宋体" w:hAnsi="宋体"/>
          <w:b/>
          <w:szCs w:val="21"/>
        </w:rPr>
        <w:t>沉淀池</w:t>
      </w:r>
      <w:r>
        <w:rPr>
          <w:rFonts w:ascii="宋体" w:hAnsi="宋体"/>
          <w:b/>
          <w:szCs w:val="21"/>
        </w:rPr>
        <w:t xml:space="preserve"> </w:t>
      </w:r>
      <w:r>
        <w:rPr>
          <w:rFonts w:ascii="Arial" w:hAnsi="Arial" w:cs="Arial"/>
          <w:b/>
          <w:color w:val="333333"/>
          <w:szCs w:val="21"/>
          <w:shd w:val="clear" w:color="auto" w:fill="FFFFFF"/>
        </w:rPr>
        <w:t>sedimentation tank</w:t>
      </w:r>
    </w:p>
    <w:p>
      <w:pPr>
        <w:autoSpaceDE w:val="0"/>
        <w:autoSpaceDN w:val="0"/>
        <w:adjustRightInd w:val="0"/>
        <w:spacing w:line="360" w:lineRule="auto"/>
        <w:ind w:firstLine="435"/>
        <w:jc w:val="left"/>
        <w:rPr>
          <w:rFonts w:ascii="宋体"/>
          <w:b/>
          <w:color w:val="262626"/>
          <w:szCs w:val="21"/>
        </w:rPr>
      </w:pPr>
      <w:r>
        <w:rPr>
          <w:rFonts w:hint="eastAsia" w:ascii="Arial" w:hAnsi="Arial" w:cs="Arial"/>
          <w:color w:val="333333"/>
          <w:szCs w:val="21"/>
          <w:shd w:val="clear" w:color="auto" w:fill="FFFFFF"/>
        </w:rPr>
        <w:t>污水的悬浮物固体物质在重力作用下，沉淀下来的混凝土和土质结构</w:t>
      </w:r>
      <w:r>
        <w:rPr>
          <w:rFonts w:hint="eastAsia"/>
          <w:color w:val="262626"/>
        </w:rPr>
        <w:t>。</w:t>
      </w:r>
    </w:p>
    <w:p>
      <w:pPr>
        <w:autoSpaceDE w:val="0"/>
        <w:autoSpaceDN w:val="0"/>
        <w:adjustRightInd w:val="0"/>
        <w:spacing w:line="360" w:lineRule="auto"/>
        <w:jc w:val="left"/>
        <w:rPr>
          <w:rFonts w:ascii="宋体" w:hAnsi="宋体"/>
          <w:b/>
          <w:szCs w:val="21"/>
        </w:rPr>
      </w:pPr>
      <w:r>
        <w:rPr>
          <w:rFonts w:ascii="宋体" w:hAnsi="宋体"/>
          <w:b/>
          <w:szCs w:val="21"/>
        </w:rPr>
        <w:t>3.7</w:t>
      </w:r>
    </w:p>
    <w:p>
      <w:pPr>
        <w:autoSpaceDE w:val="0"/>
        <w:autoSpaceDN w:val="0"/>
        <w:adjustRightInd w:val="0"/>
        <w:spacing w:line="360" w:lineRule="auto"/>
        <w:ind w:firstLine="435"/>
        <w:jc w:val="left"/>
        <w:rPr>
          <w:rFonts w:ascii="宋体" w:hAnsi="宋体"/>
          <w:b/>
          <w:szCs w:val="21"/>
        </w:rPr>
      </w:pPr>
      <w:r>
        <w:rPr>
          <w:rFonts w:hint="eastAsia" w:ascii="宋体" w:hAnsi="宋体"/>
          <w:b/>
          <w:szCs w:val="21"/>
        </w:rPr>
        <w:t>腐尸池</w:t>
      </w:r>
      <w:r>
        <w:rPr>
          <w:rFonts w:ascii="宋体" w:hAnsi="宋体"/>
          <w:b/>
          <w:szCs w:val="21"/>
        </w:rPr>
        <w:t xml:space="preserve">  carcass decomposed pit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450" w:lineRule="atLeast"/>
        <w:ind w:firstLine="420" w:firstLineChars="200"/>
        <w:jc w:val="left"/>
        <w:rPr>
          <w:rFonts w:ascii="宋体"/>
          <w:szCs w:val="21"/>
        </w:rPr>
      </w:pPr>
      <w:r>
        <w:rPr>
          <w:rFonts w:hint="eastAsia" w:ascii="宋体" w:hAnsi="宋体"/>
          <w:szCs w:val="21"/>
        </w:rPr>
        <w:t>专门用处理在流行病学及兽医卫生学方面具有危险性的畜禽尸体以及废弃物的深坑。</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450" w:lineRule="atLeast"/>
        <w:jc w:val="left"/>
        <w:rPr>
          <w:rFonts w:ascii="宋体" w:hAnsi="宋体"/>
          <w:szCs w:val="21"/>
        </w:rPr>
      </w:pPr>
      <w:r>
        <w:rPr>
          <w:rFonts w:ascii="宋体" w:hAnsi="宋体"/>
          <w:szCs w:val="21"/>
        </w:rPr>
        <w:t>3.8</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450" w:lineRule="atLeast"/>
        <w:jc w:val="left"/>
        <w:rPr>
          <w:rFonts w:ascii="宋体" w:hAnsi="宋体"/>
          <w:b/>
          <w:szCs w:val="21"/>
        </w:rPr>
      </w:pPr>
      <w:r>
        <w:rPr>
          <w:rFonts w:ascii="宋体" w:hAnsi="宋体"/>
          <w:szCs w:val="21"/>
        </w:rPr>
        <w:t xml:space="preserve"> </w:t>
      </w:r>
      <w:r>
        <w:rPr>
          <w:rFonts w:ascii="宋体" w:hAnsi="宋体"/>
          <w:b/>
          <w:szCs w:val="21"/>
        </w:rPr>
        <w:t xml:space="preserve">   </w:t>
      </w:r>
      <w:r>
        <w:rPr>
          <w:rFonts w:hint="eastAsia" w:ascii="宋体" w:hAnsi="宋体"/>
          <w:b/>
          <w:szCs w:val="21"/>
        </w:rPr>
        <w:t>焚尸炉</w:t>
      </w:r>
      <w:r>
        <w:rPr>
          <w:rFonts w:ascii="宋体" w:hAnsi="宋体"/>
          <w:b/>
          <w:szCs w:val="21"/>
        </w:rPr>
        <w:t xml:space="preserve"> carcass incinerator</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450" w:lineRule="atLeast"/>
        <w:jc w:val="left"/>
        <w:rPr>
          <w:rFonts w:ascii="宋体"/>
          <w:szCs w:val="21"/>
        </w:rPr>
      </w:pPr>
      <w:r>
        <w:rPr>
          <w:rFonts w:ascii="宋体" w:hAnsi="宋体"/>
          <w:b/>
          <w:szCs w:val="21"/>
        </w:rPr>
        <w:t xml:space="preserve">   </w:t>
      </w:r>
      <w:r>
        <w:rPr>
          <w:rFonts w:ascii="宋体" w:hAnsi="宋体"/>
          <w:szCs w:val="21"/>
        </w:rPr>
        <w:t xml:space="preserve"> </w:t>
      </w:r>
      <w:r>
        <w:rPr>
          <w:rFonts w:hint="eastAsia" w:ascii="宋体" w:hAnsi="宋体"/>
          <w:szCs w:val="21"/>
        </w:rPr>
        <w:t>专供焚毁患炭疽、气肿疽以及其他可以形成芽孢的传染病和某些特别危险疾病的病死畜禽尸体的炉具。</w:t>
      </w:r>
    </w:p>
    <w:p>
      <w:pPr>
        <w:pStyle w:val="2"/>
        <w:spacing w:line="360" w:lineRule="auto"/>
        <w:rPr>
          <w:rFonts w:ascii="宋体"/>
          <w:b w:val="0"/>
          <w:sz w:val="21"/>
          <w:szCs w:val="21"/>
        </w:rPr>
      </w:pPr>
      <w:bookmarkStart w:id="4" w:name="_Toc534671016"/>
      <w:r>
        <w:rPr>
          <w:rFonts w:ascii="宋体" w:hAnsi="宋体"/>
          <w:sz w:val="21"/>
          <w:szCs w:val="21"/>
        </w:rPr>
        <w:t xml:space="preserve">4 </w:t>
      </w:r>
      <w:r>
        <w:rPr>
          <w:rFonts w:hint="eastAsia" w:ascii="宋体" w:hAnsi="宋体"/>
          <w:sz w:val="21"/>
          <w:szCs w:val="21"/>
        </w:rPr>
        <w:t>处理原则</w:t>
      </w:r>
      <w:bookmarkEnd w:id="4"/>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按减量化、无害化、资源化、生态化的原则，实施清洁生产、种养结合，实现生态良性循环。</w:t>
      </w:r>
    </w:p>
    <w:p>
      <w:pPr>
        <w:pStyle w:val="2"/>
        <w:spacing w:line="360" w:lineRule="auto"/>
        <w:rPr>
          <w:rFonts w:ascii="宋体"/>
          <w:sz w:val="21"/>
          <w:szCs w:val="21"/>
        </w:rPr>
      </w:pPr>
      <w:bookmarkStart w:id="5" w:name="_Toc534671017"/>
      <w:r>
        <w:rPr>
          <w:rFonts w:ascii="宋体" w:hAnsi="宋体"/>
          <w:sz w:val="21"/>
          <w:szCs w:val="21"/>
        </w:rPr>
        <w:t xml:space="preserve">5 </w:t>
      </w:r>
      <w:r>
        <w:rPr>
          <w:rFonts w:hint="eastAsia" w:ascii="宋体" w:hAnsi="宋体"/>
          <w:sz w:val="21"/>
          <w:szCs w:val="21"/>
        </w:rPr>
        <w:t>废弃物处理场建设</w:t>
      </w:r>
      <w:bookmarkEnd w:id="5"/>
    </w:p>
    <w:p>
      <w:pPr>
        <w:autoSpaceDE w:val="0"/>
        <w:autoSpaceDN w:val="0"/>
        <w:adjustRightInd w:val="0"/>
        <w:snapToGrid w:val="0"/>
        <w:spacing w:line="360" w:lineRule="auto"/>
        <w:jc w:val="left"/>
        <w:rPr>
          <w:rFonts w:ascii="宋体"/>
          <w:szCs w:val="21"/>
        </w:rPr>
      </w:pPr>
      <w:r>
        <w:rPr>
          <w:rFonts w:ascii="宋体" w:hAnsi="宋体"/>
          <w:szCs w:val="21"/>
        </w:rPr>
        <w:t xml:space="preserve">5.1 </w:t>
      </w:r>
      <w:r>
        <w:rPr>
          <w:rFonts w:hint="eastAsia" w:ascii="宋体" w:hAnsi="宋体"/>
          <w:szCs w:val="21"/>
        </w:rPr>
        <w:t>生态鸭养殖场应配置废弃物处理场或处理区域。</w:t>
      </w:r>
    </w:p>
    <w:p>
      <w:pPr>
        <w:autoSpaceDE w:val="0"/>
        <w:autoSpaceDN w:val="0"/>
        <w:adjustRightInd w:val="0"/>
        <w:snapToGrid w:val="0"/>
        <w:spacing w:line="360" w:lineRule="auto"/>
        <w:jc w:val="left"/>
        <w:rPr>
          <w:rFonts w:ascii="宋体"/>
          <w:szCs w:val="21"/>
        </w:rPr>
      </w:pPr>
      <w:r>
        <w:rPr>
          <w:rFonts w:ascii="宋体" w:hAnsi="宋体"/>
          <w:szCs w:val="21"/>
        </w:rPr>
        <w:t xml:space="preserve">5.2 </w:t>
      </w:r>
      <w:r>
        <w:rPr>
          <w:rFonts w:hint="eastAsia" w:ascii="宋体" w:hAnsi="宋体"/>
          <w:szCs w:val="21"/>
        </w:rPr>
        <w:t>处理场应符合</w:t>
      </w:r>
      <w:r>
        <w:rPr>
          <w:rFonts w:ascii="宋体" w:hAnsi="宋体"/>
          <w:szCs w:val="21"/>
        </w:rPr>
        <w:t>NY/T 3023</w:t>
      </w:r>
      <w:r>
        <w:rPr>
          <w:rFonts w:hint="eastAsia" w:ascii="宋体" w:hAnsi="宋体"/>
          <w:szCs w:val="21"/>
        </w:rPr>
        <w:t>的要求。</w:t>
      </w:r>
    </w:p>
    <w:p>
      <w:pPr>
        <w:pStyle w:val="2"/>
        <w:spacing w:line="360" w:lineRule="auto"/>
        <w:rPr>
          <w:rFonts w:ascii="宋体"/>
          <w:b w:val="0"/>
          <w:sz w:val="21"/>
          <w:szCs w:val="21"/>
        </w:rPr>
      </w:pPr>
      <w:bookmarkStart w:id="6" w:name="_Toc534671018"/>
      <w:r>
        <w:rPr>
          <w:rFonts w:ascii="宋体" w:hAnsi="宋体"/>
          <w:sz w:val="21"/>
          <w:szCs w:val="21"/>
        </w:rPr>
        <w:t xml:space="preserve">6 </w:t>
      </w:r>
      <w:r>
        <w:rPr>
          <w:rFonts w:hint="eastAsia" w:ascii="宋体" w:hAnsi="宋体"/>
          <w:sz w:val="21"/>
          <w:szCs w:val="21"/>
        </w:rPr>
        <w:t>废弃物种类</w:t>
      </w:r>
      <w:bookmarkEnd w:id="6"/>
    </w:p>
    <w:p>
      <w:pPr>
        <w:autoSpaceDE w:val="0"/>
        <w:autoSpaceDN w:val="0"/>
        <w:adjustRightInd w:val="0"/>
        <w:snapToGrid w:val="0"/>
        <w:spacing w:line="360" w:lineRule="auto"/>
        <w:jc w:val="left"/>
        <w:rPr>
          <w:rFonts w:ascii="宋体"/>
          <w:b/>
          <w:szCs w:val="21"/>
        </w:rPr>
      </w:pPr>
      <w:r>
        <w:rPr>
          <w:rFonts w:ascii="宋体" w:hAnsi="宋体"/>
          <w:b/>
          <w:szCs w:val="21"/>
        </w:rPr>
        <w:t xml:space="preserve">6.1 </w:t>
      </w:r>
      <w:r>
        <w:rPr>
          <w:rFonts w:hint="eastAsia" w:ascii="宋体" w:hAnsi="宋体"/>
          <w:b/>
          <w:szCs w:val="21"/>
        </w:rPr>
        <w:t>固形物</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主要包括鸭排泄的粪便、饲料残渣、垫料等。</w:t>
      </w:r>
    </w:p>
    <w:p>
      <w:pPr>
        <w:autoSpaceDE w:val="0"/>
        <w:autoSpaceDN w:val="0"/>
        <w:adjustRightInd w:val="0"/>
        <w:snapToGrid w:val="0"/>
        <w:spacing w:line="360" w:lineRule="auto"/>
        <w:jc w:val="left"/>
        <w:rPr>
          <w:rFonts w:ascii="宋体"/>
          <w:b/>
          <w:szCs w:val="21"/>
        </w:rPr>
      </w:pPr>
      <w:r>
        <w:rPr>
          <w:rFonts w:ascii="宋体" w:hAnsi="宋体"/>
          <w:b/>
          <w:szCs w:val="21"/>
        </w:rPr>
        <w:t xml:space="preserve">6.2 </w:t>
      </w:r>
      <w:r>
        <w:rPr>
          <w:rFonts w:hint="eastAsia" w:ascii="宋体" w:hAnsi="宋体"/>
          <w:b/>
          <w:szCs w:val="21"/>
        </w:rPr>
        <w:t>污水</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包括鸭圈舍冲洗水和生活污水。</w:t>
      </w:r>
    </w:p>
    <w:p>
      <w:pPr>
        <w:autoSpaceDE w:val="0"/>
        <w:autoSpaceDN w:val="0"/>
        <w:adjustRightInd w:val="0"/>
        <w:snapToGrid w:val="0"/>
        <w:spacing w:line="360" w:lineRule="auto"/>
        <w:jc w:val="left"/>
        <w:rPr>
          <w:rFonts w:ascii="宋体"/>
          <w:b/>
          <w:szCs w:val="21"/>
        </w:rPr>
      </w:pPr>
      <w:r>
        <w:rPr>
          <w:rFonts w:ascii="宋体" w:hAnsi="宋体"/>
          <w:b/>
          <w:szCs w:val="21"/>
        </w:rPr>
        <w:t xml:space="preserve">6.3 </w:t>
      </w:r>
      <w:r>
        <w:rPr>
          <w:rFonts w:hint="eastAsia" w:ascii="宋体" w:hAnsi="宋体"/>
          <w:b/>
          <w:szCs w:val="21"/>
        </w:rPr>
        <w:t>病死鸭</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病死鸭尸体和解剖后鸭的残留物。</w:t>
      </w:r>
    </w:p>
    <w:p>
      <w:pPr>
        <w:autoSpaceDE w:val="0"/>
        <w:autoSpaceDN w:val="0"/>
        <w:adjustRightInd w:val="0"/>
        <w:snapToGrid w:val="0"/>
        <w:spacing w:line="360" w:lineRule="auto"/>
        <w:jc w:val="left"/>
        <w:rPr>
          <w:rFonts w:ascii="宋体"/>
          <w:b/>
          <w:szCs w:val="21"/>
        </w:rPr>
      </w:pPr>
      <w:r>
        <w:rPr>
          <w:rFonts w:ascii="宋体" w:hAnsi="宋体"/>
          <w:b/>
          <w:szCs w:val="21"/>
        </w:rPr>
        <w:t xml:space="preserve">6.4 </w:t>
      </w:r>
      <w:r>
        <w:rPr>
          <w:rFonts w:hint="eastAsia" w:ascii="宋体" w:hAnsi="宋体"/>
          <w:b/>
          <w:szCs w:val="21"/>
        </w:rPr>
        <w:t>特殊废弃物</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包括组织样品、过期失效药品、医疗废弃物等。</w:t>
      </w:r>
    </w:p>
    <w:p>
      <w:pPr>
        <w:pStyle w:val="2"/>
        <w:spacing w:line="360" w:lineRule="auto"/>
        <w:rPr>
          <w:rFonts w:ascii="宋体"/>
          <w:sz w:val="21"/>
          <w:szCs w:val="21"/>
        </w:rPr>
      </w:pPr>
      <w:bookmarkStart w:id="7" w:name="_Toc534671019"/>
      <w:r>
        <w:rPr>
          <w:rFonts w:ascii="宋体" w:hAnsi="宋体"/>
          <w:sz w:val="21"/>
          <w:szCs w:val="21"/>
        </w:rPr>
        <w:t xml:space="preserve">7 </w:t>
      </w:r>
      <w:r>
        <w:rPr>
          <w:rFonts w:hint="eastAsia" w:ascii="宋体" w:hAnsi="宋体"/>
          <w:sz w:val="21"/>
          <w:szCs w:val="21"/>
        </w:rPr>
        <w:t>废弃物的处理</w:t>
      </w:r>
      <w:bookmarkEnd w:id="7"/>
    </w:p>
    <w:p>
      <w:pPr>
        <w:autoSpaceDE w:val="0"/>
        <w:autoSpaceDN w:val="0"/>
        <w:adjustRightInd w:val="0"/>
        <w:snapToGrid w:val="0"/>
        <w:spacing w:line="360" w:lineRule="auto"/>
        <w:jc w:val="left"/>
        <w:rPr>
          <w:rFonts w:ascii="宋体"/>
          <w:b/>
          <w:szCs w:val="21"/>
        </w:rPr>
      </w:pPr>
      <w:r>
        <w:rPr>
          <w:rFonts w:ascii="宋体" w:hAnsi="宋体"/>
          <w:b/>
          <w:szCs w:val="21"/>
        </w:rPr>
        <w:t xml:space="preserve">7.1 </w:t>
      </w:r>
      <w:r>
        <w:rPr>
          <w:rFonts w:hint="eastAsia" w:ascii="宋体" w:hAnsi="宋体"/>
          <w:b/>
          <w:szCs w:val="21"/>
        </w:rPr>
        <w:t>固形物处理</w:t>
      </w:r>
    </w:p>
    <w:p>
      <w:pPr>
        <w:autoSpaceDE w:val="0"/>
        <w:autoSpaceDN w:val="0"/>
        <w:adjustRightInd w:val="0"/>
        <w:spacing w:line="360" w:lineRule="auto"/>
        <w:jc w:val="left"/>
        <w:rPr>
          <w:rFonts w:ascii="宋体" w:cs="宋体"/>
          <w:b/>
          <w:kern w:val="0"/>
          <w:szCs w:val="21"/>
        </w:rPr>
      </w:pPr>
      <w:r>
        <w:rPr>
          <w:rFonts w:ascii="宋体" w:hAnsi="宋体" w:cs="宋体"/>
          <w:b/>
          <w:kern w:val="0"/>
          <w:szCs w:val="21"/>
        </w:rPr>
        <w:t xml:space="preserve">7.1.1 </w:t>
      </w:r>
      <w:r>
        <w:rPr>
          <w:rFonts w:hint="eastAsia" w:ascii="宋体" w:hAnsi="宋体" w:cs="宋体"/>
          <w:b/>
          <w:kern w:val="0"/>
          <w:szCs w:val="21"/>
        </w:rPr>
        <w:t>堆肥处理</w:t>
      </w:r>
    </w:p>
    <w:p>
      <w:pPr>
        <w:autoSpaceDE w:val="0"/>
        <w:autoSpaceDN w:val="0"/>
        <w:adjustRightInd w:val="0"/>
        <w:spacing w:line="360" w:lineRule="auto"/>
        <w:ind w:firstLine="422" w:firstLineChars="200"/>
        <w:jc w:val="left"/>
        <w:rPr>
          <w:rFonts w:ascii="宋体" w:cs="宋体"/>
          <w:kern w:val="0"/>
          <w:szCs w:val="21"/>
        </w:rPr>
      </w:pPr>
      <w:r>
        <w:rPr>
          <w:rFonts w:ascii="宋体" w:hAnsi="宋体" w:cs="宋体"/>
          <w:b/>
          <w:kern w:val="0"/>
          <w:szCs w:val="21"/>
        </w:rPr>
        <w:t xml:space="preserve"> </w:t>
      </w:r>
      <w:r>
        <w:rPr>
          <w:rFonts w:hint="eastAsia" w:ascii="宋体" w:hAnsi="宋体" w:cs="宋体"/>
          <w:kern w:val="0"/>
          <w:szCs w:val="21"/>
        </w:rPr>
        <w:t>粪便等固形物在舍内进行人工收集，用专用推车经污道转运到堆粪场，在堆粪场经过灭蝇蛆、除菌、厌氧、消毒或好氧堆肥进行无害化处理，符合</w:t>
      </w:r>
      <w:r>
        <w:rPr>
          <w:rFonts w:ascii="宋体" w:hAnsi="宋体"/>
          <w:color w:val="000000"/>
          <w:szCs w:val="21"/>
        </w:rPr>
        <w:t>GB 7959</w:t>
      </w:r>
      <w:r>
        <w:rPr>
          <w:rFonts w:hint="eastAsia" w:ascii="宋体" w:hAnsi="宋体"/>
          <w:color w:val="000000"/>
          <w:szCs w:val="21"/>
        </w:rPr>
        <w:t>和</w:t>
      </w:r>
      <w:r>
        <w:rPr>
          <w:rFonts w:ascii="宋体" w:hAnsi="宋体"/>
          <w:color w:val="000000"/>
          <w:szCs w:val="21"/>
        </w:rPr>
        <w:t>NY/T 1168</w:t>
      </w:r>
      <w:r>
        <w:rPr>
          <w:rFonts w:hint="eastAsia" w:ascii="宋体" w:hAnsi="宋体"/>
          <w:color w:val="000000"/>
          <w:szCs w:val="21"/>
        </w:rPr>
        <w:t>的要求</w:t>
      </w:r>
      <w:r>
        <w:rPr>
          <w:rFonts w:hint="eastAsia" w:ascii="宋体" w:hAnsi="宋体" w:cs="宋体"/>
          <w:kern w:val="0"/>
          <w:szCs w:val="21"/>
        </w:rPr>
        <w:t>。</w:t>
      </w:r>
    </w:p>
    <w:p>
      <w:pPr>
        <w:autoSpaceDE w:val="0"/>
        <w:autoSpaceDN w:val="0"/>
        <w:adjustRightInd w:val="0"/>
        <w:spacing w:line="360" w:lineRule="auto"/>
        <w:jc w:val="left"/>
        <w:rPr>
          <w:rFonts w:ascii="宋体"/>
          <w:b/>
          <w:szCs w:val="21"/>
        </w:rPr>
      </w:pPr>
      <w:r>
        <w:rPr>
          <w:rFonts w:ascii="宋体" w:hAnsi="宋体"/>
          <w:b/>
          <w:szCs w:val="21"/>
        </w:rPr>
        <w:t xml:space="preserve">7.1.2 </w:t>
      </w:r>
      <w:r>
        <w:rPr>
          <w:rFonts w:hint="eastAsia" w:ascii="宋体" w:hAnsi="宋体"/>
          <w:b/>
          <w:szCs w:val="21"/>
        </w:rPr>
        <w:t>发酵床处理</w:t>
      </w:r>
    </w:p>
    <w:p>
      <w:pPr>
        <w:autoSpaceDE w:val="0"/>
        <w:autoSpaceDN w:val="0"/>
        <w:adjustRightInd w:val="0"/>
        <w:spacing w:line="360" w:lineRule="auto"/>
        <w:jc w:val="left"/>
        <w:rPr>
          <w:rFonts w:ascii="宋体"/>
          <w:szCs w:val="21"/>
        </w:rPr>
      </w:pPr>
      <w:r>
        <w:rPr>
          <w:rFonts w:ascii="宋体" w:hAnsi="宋体"/>
          <w:szCs w:val="21"/>
        </w:rPr>
        <w:t xml:space="preserve">    </w:t>
      </w:r>
      <w:r>
        <w:rPr>
          <w:rFonts w:hint="eastAsia" w:ascii="宋体" w:hAnsi="宋体"/>
          <w:szCs w:val="21"/>
        </w:rPr>
        <w:t>利用发酵床养殖技术处理。</w:t>
      </w:r>
    </w:p>
    <w:p>
      <w:pPr>
        <w:spacing w:line="360" w:lineRule="auto"/>
        <w:jc w:val="left"/>
        <w:rPr>
          <w:rFonts w:ascii="宋体"/>
          <w:b/>
          <w:szCs w:val="21"/>
        </w:rPr>
      </w:pPr>
      <w:r>
        <w:rPr>
          <w:rFonts w:ascii="宋体" w:hAnsi="宋体"/>
          <w:b/>
          <w:szCs w:val="21"/>
        </w:rPr>
        <w:t xml:space="preserve">7.2 </w:t>
      </w:r>
      <w:r>
        <w:rPr>
          <w:rFonts w:hint="eastAsia" w:ascii="宋体" w:hAnsi="宋体"/>
          <w:b/>
          <w:szCs w:val="21"/>
        </w:rPr>
        <w:t>污水处理</w:t>
      </w:r>
    </w:p>
    <w:p>
      <w:pPr>
        <w:autoSpaceDE w:val="0"/>
        <w:autoSpaceDN w:val="0"/>
        <w:adjustRightInd w:val="0"/>
        <w:spacing w:line="360" w:lineRule="auto"/>
        <w:jc w:val="left"/>
        <w:rPr>
          <w:rFonts w:ascii="宋体" w:cs="宋体"/>
          <w:kern w:val="0"/>
          <w:szCs w:val="21"/>
        </w:rPr>
      </w:pPr>
      <w:r>
        <w:rPr>
          <w:rFonts w:ascii="宋体" w:hAnsi="宋体" w:cs="宋体"/>
          <w:b/>
          <w:kern w:val="0"/>
          <w:szCs w:val="21"/>
        </w:rPr>
        <w:t xml:space="preserve">7.2.1 </w:t>
      </w:r>
      <w:r>
        <w:rPr>
          <w:rFonts w:hint="eastAsia" w:ascii="宋体" w:hAnsi="宋体" w:cs="宋体"/>
          <w:b/>
          <w:kern w:val="0"/>
          <w:szCs w:val="21"/>
        </w:rPr>
        <w:t>沉淀处理</w:t>
      </w:r>
    </w:p>
    <w:p>
      <w:pPr>
        <w:autoSpaceDE w:val="0"/>
        <w:autoSpaceDN w:val="0"/>
        <w:adjustRightInd w:val="0"/>
        <w:ind w:firstLine="420" w:firstLineChars="200"/>
        <w:jc w:val="left"/>
        <w:rPr>
          <w:rFonts w:ascii="宋体"/>
          <w:szCs w:val="21"/>
        </w:rPr>
      </w:pPr>
      <w:r>
        <w:rPr>
          <w:rFonts w:hint="eastAsia" w:ascii="宋体" w:hAnsi="宋体"/>
          <w:szCs w:val="21"/>
        </w:rPr>
        <w:t>污水通过排污管道进入</w:t>
      </w:r>
      <w:r>
        <w:rPr>
          <w:rFonts w:hint="eastAsia" w:ascii="宋体" w:hAnsi="宋体" w:cs="宋体"/>
          <w:kern w:val="0"/>
          <w:szCs w:val="21"/>
        </w:rPr>
        <w:t>沉淀池，进行三级、六级、多级沉淀</w:t>
      </w:r>
      <w:r>
        <w:rPr>
          <w:rFonts w:hint="eastAsia" w:ascii="宋体" w:hAnsi="宋体"/>
          <w:szCs w:val="21"/>
        </w:rPr>
        <w:t>，</w:t>
      </w:r>
      <w:r>
        <w:rPr>
          <w:rFonts w:hint="eastAsia" w:ascii="宋体" w:hAnsi="宋体" w:cs="宋体"/>
          <w:kern w:val="0"/>
          <w:szCs w:val="21"/>
        </w:rPr>
        <w:t>固液分离，</w:t>
      </w:r>
      <w:r>
        <w:rPr>
          <w:rFonts w:hint="eastAsia" w:ascii="宋体" w:hAnsi="宋体"/>
          <w:szCs w:val="21"/>
        </w:rPr>
        <w:t>污水进行净化。</w:t>
      </w:r>
    </w:p>
    <w:p>
      <w:pPr>
        <w:autoSpaceDE w:val="0"/>
        <w:autoSpaceDN w:val="0"/>
        <w:adjustRightInd w:val="0"/>
        <w:spacing w:line="360" w:lineRule="auto"/>
        <w:jc w:val="left"/>
        <w:rPr>
          <w:rFonts w:ascii="宋体" w:cs="宋体"/>
          <w:b/>
          <w:kern w:val="0"/>
          <w:szCs w:val="21"/>
        </w:rPr>
      </w:pPr>
      <w:r>
        <w:rPr>
          <w:rFonts w:ascii="宋体" w:hAnsi="宋体" w:cs="宋体"/>
          <w:b/>
          <w:kern w:val="0"/>
          <w:szCs w:val="21"/>
        </w:rPr>
        <w:t xml:space="preserve">7.2.2  </w:t>
      </w:r>
      <w:r>
        <w:rPr>
          <w:rFonts w:hint="eastAsia" w:ascii="宋体" w:hAnsi="宋体" w:cs="宋体"/>
          <w:b/>
          <w:kern w:val="0"/>
          <w:szCs w:val="21"/>
        </w:rPr>
        <w:t>生物处理</w:t>
      </w:r>
    </w:p>
    <w:p>
      <w:pPr>
        <w:autoSpaceDE w:val="0"/>
        <w:autoSpaceDN w:val="0"/>
        <w:adjustRightInd w:val="0"/>
        <w:spacing w:line="360" w:lineRule="auto"/>
        <w:ind w:firstLine="420"/>
        <w:jc w:val="left"/>
        <w:rPr>
          <w:rFonts w:ascii="宋体" w:cs="宋体"/>
          <w:kern w:val="0"/>
          <w:szCs w:val="21"/>
        </w:rPr>
      </w:pPr>
      <w:r>
        <w:rPr>
          <w:rFonts w:hint="eastAsia" w:ascii="宋体" w:hAnsi="宋体" w:cs="宋体"/>
          <w:kern w:val="0"/>
          <w:szCs w:val="21"/>
        </w:rPr>
        <w:t>通过细菌或生化作用使污水中不稳定的有机物稳定或氧化过程。氧化沟、好氧塘、厌氧塘等生物污水处理形式。</w:t>
      </w:r>
    </w:p>
    <w:p>
      <w:pPr>
        <w:autoSpaceDE w:val="0"/>
        <w:autoSpaceDN w:val="0"/>
        <w:adjustRightInd w:val="0"/>
        <w:spacing w:line="360" w:lineRule="auto"/>
        <w:jc w:val="left"/>
        <w:rPr>
          <w:rFonts w:ascii="宋体" w:cs="宋体"/>
          <w:b/>
          <w:kern w:val="0"/>
          <w:szCs w:val="21"/>
        </w:rPr>
      </w:pPr>
      <w:r>
        <w:rPr>
          <w:rFonts w:ascii="宋体" w:hAnsi="宋体" w:cs="宋体"/>
          <w:b/>
          <w:kern w:val="0"/>
          <w:szCs w:val="21"/>
        </w:rPr>
        <w:t xml:space="preserve">7.3 </w:t>
      </w:r>
      <w:r>
        <w:rPr>
          <w:rFonts w:hint="eastAsia" w:ascii="宋体" w:hAnsi="宋体" w:cs="宋体"/>
          <w:b/>
          <w:kern w:val="0"/>
          <w:szCs w:val="21"/>
        </w:rPr>
        <w:t>病死鸭处理</w:t>
      </w:r>
    </w:p>
    <w:p>
      <w:pPr>
        <w:autoSpaceDE w:val="0"/>
        <w:autoSpaceDN w:val="0"/>
        <w:adjustRightInd w:val="0"/>
        <w:spacing w:line="360" w:lineRule="auto"/>
        <w:ind w:firstLine="420" w:firstLineChars="200"/>
        <w:jc w:val="left"/>
        <w:rPr>
          <w:rFonts w:ascii="宋体" w:cs="宋体"/>
          <w:kern w:val="0"/>
          <w:szCs w:val="21"/>
        </w:rPr>
      </w:pPr>
      <w:r>
        <w:rPr>
          <w:rFonts w:hint="eastAsia" w:ascii="宋体" w:hAnsi="宋体" w:cs="宋体"/>
          <w:kern w:val="0"/>
          <w:szCs w:val="21"/>
        </w:rPr>
        <w:t>病死鸭可在化尸</w:t>
      </w:r>
      <w:r>
        <w:rPr>
          <w:rFonts w:hint="eastAsia" w:ascii="宋体" w:hAnsi="宋体"/>
          <w:szCs w:val="21"/>
        </w:rPr>
        <w:t>池</w:t>
      </w:r>
      <w:r>
        <w:rPr>
          <w:rFonts w:hint="eastAsia" w:ascii="宋体" w:hAnsi="宋体" w:cs="宋体"/>
          <w:kern w:val="0"/>
          <w:szCs w:val="21"/>
        </w:rPr>
        <w:t>或焚尸炉进行无害化处理，发生一类传染病的病鸭、死鸭及其污染物，使用焚尸炉进行处理。</w:t>
      </w:r>
    </w:p>
    <w:p>
      <w:pPr>
        <w:spacing w:line="360" w:lineRule="auto"/>
        <w:rPr>
          <w:rFonts w:ascii="宋体"/>
          <w:b/>
          <w:color w:val="000000"/>
          <w:szCs w:val="21"/>
        </w:rPr>
      </w:pPr>
      <w:r>
        <w:rPr>
          <w:rFonts w:ascii="宋体" w:hAnsi="宋体"/>
          <w:b/>
          <w:szCs w:val="21"/>
        </w:rPr>
        <w:t xml:space="preserve">7.4 </w:t>
      </w:r>
      <w:r>
        <w:rPr>
          <w:rFonts w:hint="eastAsia" w:ascii="宋体" w:hAnsi="宋体"/>
          <w:b/>
          <w:szCs w:val="21"/>
        </w:rPr>
        <w:t>特殊废弃物处理</w:t>
      </w:r>
    </w:p>
    <w:p>
      <w:pPr>
        <w:autoSpaceDE w:val="0"/>
        <w:autoSpaceDN w:val="0"/>
        <w:adjustRightInd w:val="0"/>
        <w:spacing w:line="360" w:lineRule="auto"/>
        <w:ind w:firstLine="420" w:firstLineChars="200"/>
        <w:jc w:val="left"/>
        <w:rPr>
          <w:rFonts w:ascii="宋体" w:cs="宋体"/>
          <w:kern w:val="0"/>
          <w:szCs w:val="21"/>
        </w:rPr>
      </w:pPr>
      <w:r>
        <w:rPr>
          <w:rFonts w:hint="eastAsia" w:ascii="宋体" w:hAnsi="宋体" w:cs="宋体"/>
          <w:kern w:val="0"/>
          <w:szCs w:val="21"/>
        </w:rPr>
        <w:t>应单独收集，有效隔离，按照法律法规的相关规定处理，并作好记录；特殊废弃物运输应进行有效包装，确保不造成污染。</w:t>
      </w:r>
    </w:p>
    <w:p>
      <w:pPr>
        <w:pStyle w:val="2"/>
        <w:spacing w:line="360" w:lineRule="auto"/>
        <w:rPr>
          <w:rFonts w:ascii="宋体"/>
          <w:b w:val="0"/>
          <w:sz w:val="21"/>
          <w:szCs w:val="21"/>
        </w:rPr>
      </w:pPr>
      <w:bookmarkStart w:id="8" w:name="_Toc534671020"/>
      <w:r>
        <w:rPr>
          <w:rFonts w:ascii="宋体" w:hAnsi="宋体"/>
          <w:sz w:val="21"/>
          <w:szCs w:val="21"/>
        </w:rPr>
        <w:t xml:space="preserve">8 </w:t>
      </w:r>
      <w:r>
        <w:rPr>
          <w:rFonts w:hint="eastAsia" w:ascii="宋体" w:hAnsi="宋体"/>
          <w:sz w:val="21"/>
          <w:szCs w:val="21"/>
        </w:rPr>
        <w:t>综合利用</w:t>
      </w:r>
      <w:bookmarkEnd w:id="8"/>
    </w:p>
    <w:p>
      <w:pPr>
        <w:autoSpaceDE w:val="0"/>
        <w:autoSpaceDN w:val="0"/>
        <w:adjustRightInd w:val="0"/>
        <w:spacing w:line="360" w:lineRule="auto"/>
        <w:jc w:val="left"/>
        <w:rPr>
          <w:rFonts w:ascii="宋体"/>
          <w:b/>
          <w:szCs w:val="21"/>
        </w:rPr>
      </w:pPr>
      <w:r>
        <w:rPr>
          <w:rFonts w:ascii="宋体" w:hAnsi="宋体"/>
          <w:b/>
          <w:szCs w:val="21"/>
        </w:rPr>
        <w:t xml:space="preserve">8.1 </w:t>
      </w:r>
      <w:r>
        <w:rPr>
          <w:rFonts w:hint="eastAsia" w:ascii="宋体" w:hAnsi="宋体"/>
          <w:b/>
          <w:szCs w:val="21"/>
        </w:rPr>
        <w:t>固体废弃物还田利用</w:t>
      </w:r>
    </w:p>
    <w:p>
      <w:pPr>
        <w:spacing w:line="360" w:lineRule="auto"/>
        <w:ind w:firstLine="420" w:firstLineChars="200"/>
        <w:rPr>
          <w:rFonts w:ascii="宋体"/>
          <w:szCs w:val="21"/>
        </w:rPr>
      </w:pPr>
      <w:r>
        <w:rPr>
          <w:rFonts w:hint="eastAsia" w:ascii="宋体" w:hAnsi="宋体"/>
          <w:szCs w:val="21"/>
        </w:rPr>
        <w:t>采用干清粪方式收集贮存粪污，将粪便掺配一定比例有机辅料发酵，定期采用铲车翻堆，使粪便自然发酵腐熟，最高堆温达</w:t>
      </w:r>
      <w:r>
        <w:rPr>
          <w:rFonts w:ascii="宋体" w:hAnsi="宋体"/>
          <w:szCs w:val="21"/>
        </w:rPr>
        <w:t>50</w:t>
      </w:r>
      <w:r>
        <w:rPr>
          <w:rFonts w:hint="eastAsia" w:ascii="宋体" w:hAnsi="宋体"/>
          <w:szCs w:val="21"/>
        </w:rPr>
        <w:t>℃～</w:t>
      </w:r>
      <w:r>
        <w:rPr>
          <w:rFonts w:ascii="宋体" w:hAnsi="宋体"/>
          <w:szCs w:val="21"/>
        </w:rPr>
        <w:t>55</w:t>
      </w:r>
      <w:r>
        <w:rPr>
          <w:rFonts w:hint="eastAsia" w:ascii="宋体" w:hAnsi="宋体"/>
          <w:szCs w:val="21"/>
        </w:rPr>
        <w:t>℃，堆肥</w:t>
      </w:r>
      <w:r>
        <w:rPr>
          <w:rFonts w:ascii="宋体" w:hAnsi="宋体"/>
          <w:szCs w:val="21"/>
        </w:rPr>
        <w:t>5</w:t>
      </w:r>
      <w:r>
        <w:rPr>
          <w:rFonts w:hint="eastAsia" w:ascii="宋体" w:hAnsi="宋体"/>
          <w:szCs w:val="21"/>
        </w:rPr>
        <w:t>天</w:t>
      </w:r>
      <w:r>
        <w:rPr>
          <w:rFonts w:ascii="宋体" w:hAnsi="宋体"/>
          <w:szCs w:val="21"/>
        </w:rPr>
        <w:t>-7</w:t>
      </w:r>
      <w:r>
        <w:rPr>
          <w:rFonts w:hint="eastAsia" w:ascii="宋体" w:hAnsi="宋体"/>
          <w:szCs w:val="21"/>
        </w:rPr>
        <w:t>天后就地农田利用，符合</w:t>
      </w:r>
      <w:r>
        <w:rPr>
          <w:rFonts w:ascii="宋体" w:hAnsi="宋体"/>
          <w:szCs w:val="21"/>
        </w:rPr>
        <w:t>HJ/T 81</w:t>
      </w:r>
      <w:r>
        <w:rPr>
          <w:rFonts w:hint="eastAsia" w:ascii="宋体" w:hAnsi="宋体"/>
          <w:szCs w:val="21"/>
        </w:rPr>
        <w:t>的有关规定。</w:t>
      </w:r>
      <w:r>
        <w:rPr>
          <w:rFonts w:hint="eastAsia" w:ascii="宋体" w:hAnsi="宋体" w:cs="仿宋"/>
          <w:color w:val="000000"/>
          <w:szCs w:val="21"/>
        </w:rPr>
        <w:t>经无害化处理直接还田利用的畜禽固体粪渣无害化环境标准应符合</w:t>
      </w:r>
      <w:r>
        <w:rPr>
          <w:rFonts w:ascii="宋体" w:hAnsi="宋体" w:cs="仿宋"/>
          <w:color w:val="000000"/>
          <w:szCs w:val="21"/>
        </w:rPr>
        <w:t>GB 7959</w:t>
      </w:r>
      <w:r>
        <w:rPr>
          <w:rFonts w:hint="eastAsia" w:ascii="宋体" w:hAnsi="宋体" w:cs="仿宋"/>
          <w:color w:val="000000"/>
          <w:szCs w:val="21"/>
        </w:rPr>
        <w:t>的有关要求。</w:t>
      </w:r>
    </w:p>
    <w:p>
      <w:pPr>
        <w:autoSpaceDE w:val="0"/>
        <w:autoSpaceDN w:val="0"/>
        <w:adjustRightInd w:val="0"/>
        <w:spacing w:line="360" w:lineRule="auto"/>
        <w:jc w:val="left"/>
        <w:rPr>
          <w:rFonts w:ascii="宋体" w:cs="宋体"/>
          <w:b/>
          <w:kern w:val="0"/>
          <w:szCs w:val="21"/>
        </w:rPr>
      </w:pPr>
      <w:r>
        <w:rPr>
          <w:rFonts w:ascii="宋体" w:hAnsi="宋体"/>
          <w:b/>
          <w:szCs w:val="21"/>
        </w:rPr>
        <w:t xml:space="preserve">8.2 </w:t>
      </w:r>
      <w:r>
        <w:rPr>
          <w:rFonts w:hint="eastAsia" w:ascii="宋体" w:hAnsi="宋体"/>
          <w:b/>
          <w:szCs w:val="21"/>
        </w:rPr>
        <w:t>固体废弃物发酵生产有机肥</w:t>
      </w:r>
    </w:p>
    <w:p>
      <w:pPr>
        <w:autoSpaceDE w:val="0"/>
        <w:autoSpaceDN w:val="0"/>
        <w:adjustRightInd w:val="0"/>
        <w:spacing w:line="360" w:lineRule="auto"/>
        <w:ind w:firstLine="420" w:firstLineChars="200"/>
        <w:jc w:val="left"/>
        <w:rPr>
          <w:rFonts w:ascii="宋体" w:cs="宋体"/>
          <w:kern w:val="0"/>
          <w:szCs w:val="21"/>
        </w:rPr>
      </w:pPr>
      <w:r>
        <w:rPr>
          <w:rFonts w:hint="eastAsia" w:ascii="宋体" w:hAnsi="宋体"/>
          <w:szCs w:val="21"/>
        </w:rPr>
        <w:t>利用无害化处理后的畜禽粪便生产商品化有机肥和有机</w:t>
      </w:r>
      <w:r>
        <w:rPr>
          <w:rFonts w:ascii="宋体"/>
          <w:szCs w:val="21"/>
        </w:rPr>
        <w:t>-</w:t>
      </w:r>
      <w:r>
        <w:rPr>
          <w:rFonts w:hint="eastAsia" w:ascii="宋体" w:hAnsi="宋体"/>
          <w:szCs w:val="21"/>
        </w:rPr>
        <w:t>无机复混肥，应分别符合</w:t>
      </w:r>
      <w:r>
        <w:rPr>
          <w:rFonts w:ascii="宋体" w:hAnsi="宋体"/>
          <w:szCs w:val="21"/>
        </w:rPr>
        <w:t>NY 525</w:t>
      </w:r>
      <w:r>
        <w:rPr>
          <w:rFonts w:hint="eastAsia" w:ascii="宋体" w:hAnsi="宋体"/>
          <w:szCs w:val="21"/>
        </w:rPr>
        <w:t>和</w:t>
      </w:r>
      <w:r>
        <w:rPr>
          <w:rFonts w:ascii="宋体" w:hAnsi="宋体"/>
          <w:szCs w:val="21"/>
        </w:rPr>
        <w:t>GB/T 18877</w:t>
      </w:r>
      <w:r>
        <w:rPr>
          <w:rFonts w:hint="eastAsia" w:ascii="宋体" w:hAnsi="宋体"/>
          <w:szCs w:val="21"/>
        </w:rPr>
        <w:t>的要求。</w:t>
      </w:r>
    </w:p>
    <w:p>
      <w:pPr>
        <w:autoSpaceDE w:val="0"/>
        <w:autoSpaceDN w:val="0"/>
        <w:adjustRightInd w:val="0"/>
        <w:spacing w:line="360" w:lineRule="auto"/>
        <w:jc w:val="left"/>
        <w:rPr>
          <w:rFonts w:ascii="宋体"/>
          <w:b/>
          <w:szCs w:val="21"/>
        </w:rPr>
      </w:pPr>
      <w:r>
        <w:rPr>
          <w:rFonts w:ascii="宋体" w:hAnsi="宋体"/>
          <w:b/>
          <w:szCs w:val="21"/>
        </w:rPr>
        <w:t xml:space="preserve">8.3 </w:t>
      </w:r>
      <w:r>
        <w:rPr>
          <w:rFonts w:hint="eastAsia" w:ascii="宋体" w:hAnsi="宋体"/>
          <w:b/>
          <w:szCs w:val="21"/>
        </w:rPr>
        <w:t>污水肥料化利用</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污水经过沉淀或生物处理后</w:t>
      </w:r>
      <w:r>
        <w:rPr>
          <w:rFonts w:ascii="宋体"/>
          <w:szCs w:val="21"/>
        </w:rPr>
        <w:t>,</w:t>
      </w:r>
      <w:r>
        <w:rPr>
          <w:rFonts w:hint="eastAsia" w:ascii="宋体" w:hAnsi="宋体"/>
          <w:szCs w:val="21"/>
        </w:rPr>
        <w:t>达到</w:t>
      </w:r>
      <w:r>
        <w:rPr>
          <w:rFonts w:ascii="宋体" w:hAnsi="宋体"/>
          <w:szCs w:val="21"/>
        </w:rPr>
        <w:t>GB 5084</w:t>
      </w:r>
      <w:r>
        <w:rPr>
          <w:rFonts w:hint="eastAsia" w:ascii="宋体" w:hAnsi="宋体"/>
          <w:szCs w:val="21"/>
        </w:rPr>
        <w:t>规定，达标后就近还田利用。</w:t>
      </w:r>
    </w:p>
    <w:p>
      <w:pPr>
        <w:pStyle w:val="2"/>
        <w:spacing w:line="360" w:lineRule="auto"/>
        <w:rPr>
          <w:rFonts w:ascii="宋体" w:cs="宋体"/>
          <w:b w:val="0"/>
          <w:bCs w:val="0"/>
          <w:sz w:val="21"/>
          <w:szCs w:val="21"/>
        </w:rPr>
      </w:pPr>
      <w:bookmarkStart w:id="9" w:name="_Toc534671021"/>
      <w:r>
        <w:rPr>
          <w:rFonts w:ascii="宋体" w:hAnsi="宋体" w:cs="宋体"/>
          <w:sz w:val="21"/>
          <w:szCs w:val="21"/>
        </w:rPr>
        <w:t xml:space="preserve">9 </w:t>
      </w:r>
      <w:r>
        <w:rPr>
          <w:rFonts w:hint="eastAsia" w:ascii="宋体" w:hAnsi="宋体" w:cs="宋体"/>
          <w:sz w:val="21"/>
          <w:szCs w:val="21"/>
        </w:rPr>
        <w:t>运行与维护</w:t>
      </w:r>
      <w:bookmarkEnd w:id="9"/>
    </w:p>
    <w:p>
      <w:pPr>
        <w:autoSpaceDE w:val="0"/>
        <w:autoSpaceDN w:val="0"/>
        <w:adjustRightInd w:val="0"/>
        <w:snapToGrid w:val="0"/>
        <w:spacing w:line="360" w:lineRule="auto"/>
        <w:ind w:left="318" w:leftChars="1" w:hanging="316" w:hangingChars="150"/>
        <w:jc w:val="left"/>
        <w:rPr>
          <w:rFonts w:ascii="宋体"/>
          <w:b/>
          <w:szCs w:val="21"/>
        </w:rPr>
      </w:pPr>
      <w:r>
        <w:rPr>
          <w:rFonts w:ascii="宋体" w:hAnsi="宋体"/>
          <w:b/>
          <w:szCs w:val="21"/>
        </w:rPr>
        <w:t xml:space="preserve">9.1 </w:t>
      </w:r>
      <w:r>
        <w:rPr>
          <w:rFonts w:hint="eastAsia" w:ascii="宋体" w:hAnsi="宋体"/>
          <w:b/>
          <w:szCs w:val="21"/>
        </w:rPr>
        <w:t>运行管理</w:t>
      </w:r>
    </w:p>
    <w:p>
      <w:pPr>
        <w:autoSpaceDE w:val="0"/>
        <w:autoSpaceDN w:val="0"/>
        <w:adjustRightInd w:val="0"/>
        <w:snapToGrid w:val="0"/>
        <w:spacing w:line="360" w:lineRule="auto"/>
        <w:ind w:firstLine="420" w:firstLineChars="200"/>
        <w:jc w:val="left"/>
        <w:rPr>
          <w:rFonts w:ascii="宋体"/>
          <w:szCs w:val="21"/>
        </w:rPr>
      </w:pPr>
      <w:r>
        <w:rPr>
          <w:rFonts w:ascii="宋体" w:hAnsi="宋体"/>
          <w:szCs w:val="21"/>
        </w:rPr>
        <w:t xml:space="preserve">9.1.1 </w:t>
      </w:r>
      <w:r>
        <w:rPr>
          <w:rFonts w:hint="eastAsia" w:ascii="宋体" w:hAnsi="宋体"/>
          <w:szCs w:val="21"/>
        </w:rPr>
        <w:t>设施周围应设置明显的标志以及围栏等防护措施。</w:t>
      </w:r>
    </w:p>
    <w:p>
      <w:pPr>
        <w:autoSpaceDE w:val="0"/>
        <w:autoSpaceDN w:val="0"/>
        <w:adjustRightInd w:val="0"/>
        <w:snapToGrid w:val="0"/>
        <w:spacing w:line="360" w:lineRule="auto"/>
        <w:ind w:firstLine="420" w:firstLineChars="200"/>
        <w:jc w:val="left"/>
        <w:rPr>
          <w:rFonts w:ascii="宋体"/>
          <w:szCs w:val="21"/>
        </w:rPr>
      </w:pPr>
      <w:r>
        <w:rPr>
          <w:rFonts w:ascii="宋体" w:hAnsi="宋体"/>
          <w:szCs w:val="21"/>
        </w:rPr>
        <w:t xml:space="preserve">9.1.2 </w:t>
      </w:r>
      <w:r>
        <w:rPr>
          <w:rFonts w:hint="eastAsia" w:ascii="宋体" w:hAnsi="宋体"/>
          <w:szCs w:val="21"/>
        </w:rPr>
        <w:t>运行管理应符合</w:t>
      </w:r>
      <w:r>
        <w:rPr>
          <w:rFonts w:ascii="宋体" w:hAnsi="宋体"/>
          <w:szCs w:val="21"/>
        </w:rPr>
        <w:t>HJ497</w:t>
      </w:r>
      <w:r>
        <w:rPr>
          <w:rFonts w:hint="eastAsia" w:ascii="宋体" w:hAnsi="宋体"/>
          <w:szCs w:val="21"/>
        </w:rPr>
        <w:t>的要求。</w:t>
      </w:r>
    </w:p>
    <w:p>
      <w:pPr>
        <w:autoSpaceDE w:val="0"/>
        <w:autoSpaceDN w:val="0"/>
        <w:adjustRightInd w:val="0"/>
        <w:snapToGrid w:val="0"/>
        <w:spacing w:line="360" w:lineRule="auto"/>
        <w:ind w:left="318" w:leftChars="1" w:hanging="316" w:hangingChars="150"/>
        <w:jc w:val="left"/>
        <w:rPr>
          <w:rFonts w:ascii="宋体"/>
          <w:b/>
          <w:szCs w:val="21"/>
        </w:rPr>
      </w:pPr>
      <w:r>
        <w:rPr>
          <w:rFonts w:ascii="宋体" w:hAnsi="宋体"/>
          <w:b/>
          <w:szCs w:val="21"/>
        </w:rPr>
        <w:t xml:space="preserve">9.2 </w:t>
      </w:r>
      <w:r>
        <w:rPr>
          <w:rFonts w:hint="eastAsia" w:ascii="宋体" w:hAnsi="宋体"/>
          <w:b/>
          <w:szCs w:val="21"/>
        </w:rPr>
        <w:t>维护保养</w:t>
      </w:r>
    </w:p>
    <w:p>
      <w:pPr>
        <w:autoSpaceDE w:val="0"/>
        <w:autoSpaceDN w:val="0"/>
        <w:adjustRightInd w:val="0"/>
        <w:snapToGrid w:val="0"/>
        <w:spacing w:line="360" w:lineRule="auto"/>
        <w:ind w:firstLine="525" w:firstLineChars="250"/>
        <w:jc w:val="left"/>
        <w:rPr>
          <w:rFonts w:ascii="宋体"/>
          <w:szCs w:val="21"/>
        </w:rPr>
      </w:pPr>
      <w:r>
        <w:rPr>
          <w:rFonts w:hint="eastAsia" w:ascii="宋体" w:hAnsi="宋体"/>
          <w:szCs w:val="21"/>
        </w:rPr>
        <w:t>对管道、护栏和盖板等定期进行检查维护，管道要经常清理，保持畅通，符合</w:t>
      </w:r>
      <w:r>
        <w:rPr>
          <w:rFonts w:ascii="宋体" w:hAnsi="宋体"/>
          <w:szCs w:val="21"/>
        </w:rPr>
        <w:t>NY/T 3023</w:t>
      </w:r>
      <w:r>
        <w:rPr>
          <w:rFonts w:hint="eastAsia" w:ascii="宋体" w:hAnsi="宋体"/>
          <w:szCs w:val="21"/>
        </w:rPr>
        <w:t>要求。</w:t>
      </w:r>
    </w:p>
    <w:p>
      <w:pPr>
        <w:autoSpaceDE w:val="0"/>
        <w:autoSpaceDN w:val="0"/>
        <w:adjustRightInd w:val="0"/>
        <w:snapToGrid w:val="0"/>
        <w:spacing w:line="360" w:lineRule="auto"/>
        <w:ind w:left="318" w:leftChars="1" w:hanging="316" w:hangingChars="150"/>
        <w:jc w:val="left"/>
        <w:rPr>
          <w:rFonts w:ascii="宋体"/>
          <w:b/>
          <w:szCs w:val="21"/>
        </w:rPr>
      </w:pPr>
      <w:r>
        <w:rPr>
          <w:rFonts w:ascii="宋体" w:hAnsi="宋体"/>
          <w:b/>
          <w:szCs w:val="21"/>
        </w:rPr>
        <w:t xml:space="preserve">9.3 </w:t>
      </w:r>
      <w:r>
        <w:rPr>
          <w:rFonts w:hint="eastAsia" w:ascii="宋体" w:hAnsi="宋体"/>
          <w:b/>
          <w:szCs w:val="21"/>
        </w:rPr>
        <w:t>安全操作</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结合生产特点制定相应的安全防护措施和安全操作规程，符合</w:t>
      </w:r>
      <w:r>
        <w:rPr>
          <w:rFonts w:ascii="宋体" w:hAnsi="宋体"/>
          <w:szCs w:val="21"/>
        </w:rPr>
        <w:t>GB 12801</w:t>
      </w:r>
      <w:r>
        <w:rPr>
          <w:rFonts w:hint="eastAsia" w:ascii="宋体" w:hAnsi="宋体"/>
          <w:szCs w:val="21"/>
        </w:rPr>
        <w:t>的规定。</w:t>
      </w:r>
    </w:p>
    <w:p>
      <w:pPr>
        <w:autoSpaceDE w:val="0"/>
        <w:autoSpaceDN w:val="0"/>
        <w:adjustRightInd w:val="0"/>
        <w:snapToGrid w:val="0"/>
        <w:spacing w:line="360" w:lineRule="auto"/>
        <w:ind w:left="317" w:leftChars="151" w:firstLine="105" w:firstLineChars="50"/>
        <w:jc w:val="left"/>
        <w:rPr>
          <w:rFonts w:ascii="宋体"/>
          <w:szCs w:val="21"/>
        </w:rPr>
      </w:pPr>
    </w:p>
    <w:p>
      <w:pPr>
        <w:ind w:firstLine="2100" w:firstLineChars="1000"/>
      </w:pPr>
      <w:r>
        <w:rPr>
          <w:kern w:val="0"/>
          <w:szCs w:val="21"/>
          <w:u w:val="single"/>
        </w:rPr>
        <w:t xml:space="preserve">                                </w:t>
      </w:r>
    </w:p>
    <w:sectPr>
      <w:footerReference r:id="rId10" w:type="default"/>
      <w:pgSz w:w="11906" w:h="16838"/>
      <w:pgMar w:top="1440" w:right="1274"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fldChar w:fldCharType="begin"/>
    </w:r>
    <w:r>
      <w:instrText xml:space="preserve"> PAGE   \* MERGEFORMAT </w:instrText>
    </w:r>
    <w:r>
      <w:fldChar w:fldCharType="separate"/>
    </w:r>
    <w:r>
      <w:rPr>
        <w:lang w:val="zh-CN"/>
      </w:rPr>
      <w:t>II</w:t>
    </w:r>
    <w:r>
      <w:rPr>
        <w:lang w:val="zh-CN"/>
      </w:rPr>
      <w:fldChar w:fldCharType="end"/>
    </w:r>
  </w:p>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fldChar w:fldCharType="begin"/>
    </w:r>
    <w:r>
      <w:instrText xml:space="preserve"> PAGE   \* MERGEFORMAT </w:instrText>
    </w:r>
    <w:r>
      <w:fldChar w:fldCharType="separate"/>
    </w:r>
    <w:r>
      <w:rPr>
        <w:lang w:val="zh-CN"/>
      </w:rPr>
      <w:t>I</w:t>
    </w:r>
    <w:r>
      <w:rPr>
        <w:lang w:val="zh-CN"/>
      </w:rPr>
      <w:fldChar w:fldCharType="end"/>
    </w:r>
  </w:p>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fldChar w:fldCharType="begin"/>
    </w:r>
    <w:r>
      <w:instrText xml:space="preserve"> PAGE   \* MERGEFORMAT </w:instrText>
    </w:r>
    <w:r>
      <w:fldChar w:fldCharType="separate"/>
    </w:r>
    <w:r>
      <w:rPr>
        <w:lang w:val="zh-CN"/>
      </w:rPr>
      <w:t>1</w:t>
    </w:r>
    <w:r>
      <w:rPr>
        <w:lang w:val="zh-CN"/>
      </w:rPr>
      <w:fldChar w:fldCharType="end"/>
    </w:r>
  </w:p>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FDF"/>
    <w:rsid w:val="00010582"/>
    <w:rsid w:val="00012ACC"/>
    <w:rsid w:val="0001390D"/>
    <w:rsid w:val="00015FB9"/>
    <w:rsid w:val="00031B95"/>
    <w:rsid w:val="0003268F"/>
    <w:rsid w:val="00047971"/>
    <w:rsid w:val="000561AB"/>
    <w:rsid w:val="00056C4C"/>
    <w:rsid w:val="000651EF"/>
    <w:rsid w:val="00065815"/>
    <w:rsid w:val="000714F9"/>
    <w:rsid w:val="000751E8"/>
    <w:rsid w:val="00075662"/>
    <w:rsid w:val="00086E49"/>
    <w:rsid w:val="000A0828"/>
    <w:rsid w:val="000A4A4A"/>
    <w:rsid w:val="000B01AE"/>
    <w:rsid w:val="000B3F54"/>
    <w:rsid w:val="000B4FF7"/>
    <w:rsid w:val="000B6312"/>
    <w:rsid w:val="000C3434"/>
    <w:rsid w:val="000C3F0E"/>
    <w:rsid w:val="000C4FEF"/>
    <w:rsid w:val="000D7544"/>
    <w:rsid w:val="000E16E7"/>
    <w:rsid w:val="000F1AD1"/>
    <w:rsid w:val="000F41B8"/>
    <w:rsid w:val="00107893"/>
    <w:rsid w:val="00120CD2"/>
    <w:rsid w:val="0012373D"/>
    <w:rsid w:val="00126845"/>
    <w:rsid w:val="001344D1"/>
    <w:rsid w:val="00145703"/>
    <w:rsid w:val="00150AD1"/>
    <w:rsid w:val="00154603"/>
    <w:rsid w:val="00162607"/>
    <w:rsid w:val="001773C5"/>
    <w:rsid w:val="0018095B"/>
    <w:rsid w:val="00197220"/>
    <w:rsid w:val="001A5ABB"/>
    <w:rsid w:val="001C26E7"/>
    <w:rsid w:val="001C7A87"/>
    <w:rsid w:val="001D10CE"/>
    <w:rsid w:val="001D6B1D"/>
    <w:rsid w:val="001D6E30"/>
    <w:rsid w:val="001E6A95"/>
    <w:rsid w:val="001F5394"/>
    <w:rsid w:val="001F5CFA"/>
    <w:rsid w:val="00200266"/>
    <w:rsid w:val="002044F6"/>
    <w:rsid w:val="00213F4B"/>
    <w:rsid w:val="00217377"/>
    <w:rsid w:val="0022363B"/>
    <w:rsid w:val="00230348"/>
    <w:rsid w:val="00241224"/>
    <w:rsid w:val="0024583F"/>
    <w:rsid w:val="00252DE7"/>
    <w:rsid w:val="00253775"/>
    <w:rsid w:val="002621E0"/>
    <w:rsid w:val="002674F4"/>
    <w:rsid w:val="0026794B"/>
    <w:rsid w:val="002730F8"/>
    <w:rsid w:val="00276E8F"/>
    <w:rsid w:val="002966F9"/>
    <w:rsid w:val="002A2674"/>
    <w:rsid w:val="002B2219"/>
    <w:rsid w:val="002B2AF6"/>
    <w:rsid w:val="002B4243"/>
    <w:rsid w:val="002B6317"/>
    <w:rsid w:val="002C015C"/>
    <w:rsid w:val="002C2769"/>
    <w:rsid w:val="002C2BEB"/>
    <w:rsid w:val="002E1A16"/>
    <w:rsid w:val="002E52B9"/>
    <w:rsid w:val="002F4FC8"/>
    <w:rsid w:val="00303BF8"/>
    <w:rsid w:val="0030447E"/>
    <w:rsid w:val="00304B96"/>
    <w:rsid w:val="00311BE6"/>
    <w:rsid w:val="00315068"/>
    <w:rsid w:val="00325FA6"/>
    <w:rsid w:val="00340C22"/>
    <w:rsid w:val="003416DC"/>
    <w:rsid w:val="00345966"/>
    <w:rsid w:val="00355FB4"/>
    <w:rsid w:val="00367D0B"/>
    <w:rsid w:val="003700A0"/>
    <w:rsid w:val="0037048A"/>
    <w:rsid w:val="003736EA"/>
    <w:rsid w:val="00383B0C"/>
    <w:rsid w:val="00390163"/>
    <w:rsid w:val="00393F9B"/>
    <w:rsid w:val="00395505"/>
    <w:rsid w:val="003A0085"/>
    <w:rsid w:val="003A1542"/>
    <w:rsid w:val="003A5FE2"/>
    <w:rsid w:val="003B0D20"/>
    <w:rsid w:val="003E1458"/>
    <w:rsid w:val="003E153B"/>
    <w:rsid w:val="003E7666"/>
    <w:rsid w:val="003F5B5B"/>
    <w:rsid w:val="004040CD"/>
    <w:rsid w:val="00405946"/>
    <w:rsid w:val="00412A24"/>
    <w:rsid w:val="00416032"/>
    <w:rsid w:val="00421D4E"/>
    <w:rsid w:val="0042524A"/>
    <w:rsid w:val="00425C22"/>
    <w:rsid w:val="004275D5"/>
    <w:rsid w:val="004365FC"/>
    <w:rsid w:val="00444B22"/>
    <w:rsid w:val="00452121"/>
    <w:rsid w:val="00453DEA"/>
    <w:rsid w:val="00455F19"/>
    <w:rsid w:val="00473124"/>
    <w:rsid w:val="004769E0"/>
    <w:rsid w:val="0048151D"/>
    <w:rsid w:val="00483F0B"/>
    <w:rsid w:val="00484A79"/>
    <w:rsid w:val="0049289D"/>
    <w:rsid w:val="004940C9"/>
    <w:rsid w:val="004A3F4D"/>
    <w:rsid w:val="004A44EC"/>
    <w:rsid w:val="004A70E8"/>
    <w:rsid w:val="004B3620"/>
    <w:rsid w:val="004C5D78"/>
    <w:rsid w:val="004D4ABF"/>
    <w:rsid w:val="004D65D5"/>
    <w:rsid w:val="004D7E72"/>
    <w:rsid w:val="004E2BB9"/>
    <w:rsid w:val="005001A7"/>
    <w:rsid w:val="005009C8"/>
    <w:rsid w:val="00502C1A"/>
    <w:rsid w:val="00504D2D"/>
    <w:rsid w:val="00506D37"/>
    <w:rsid w:val="00511A3E"/>
    <w:rsid w:val="005130F6"/>
    <w:rsid w:val="00521C65"/>
    <w:rsid w:val="0053789B"/>
    <w:rsid w:val="00555DD3"/>
    <w:rsid w:val="00582338"/>
    <w:rsid w:val="00586F42"/>
    <w:rsid w:val="00592EEC"/>
    <w:rsid w:val="005A47C4"/>
    <w:rsid w:val="005A6B9F"/>
    <w:rsid w:val="005B4691"/>
    <w:rsid w:val="005B7D3F"/>
    <w:rsid w:val="005C3F61"/>
    <w:rsid w:val="005D6B09"/>
    <w:rsid w:val="006012D7"/>
    <w:rsid w:val="0060326B"/>
    <w:rsid w:val="00606127"/>
    <w:rsid w:val="00606A34"/>
    <w:rsid w:val="00606A90"/>
    <w:rsid w:val="0060715B"/>
    <w:rsid w:val="006112EC"/>
    <w:rsid w:val="0061670F"/>
    <w:rsid w:val="00621512"/>
    <w:rsid w:val="006431F1"/>
    <w:rsid w:val="006436CE"/>
    <w:rsid w:val="00657359"/>
    <w:rsid w:val="0066047A"/>
    <w:rsid w:val="00660B6E"/>
    <w:rsid w:val="00665107"/>
    <w:rsid w:val="00671432"/>
    <w:rsid w:val="006758BE"/>
    <w:rsid w:val="006828B9"/>
    <w:rsid w:val="006A6BCC"/>
    <w:rsid w:val="006B504E"/>
    <w:rsid w:val="006B592C"/>
    <w:rsid w:val="006C47BE"/>
    <w:rsid w:val="006D1C44"/>
    <w:rsid w:val="006E280A"/>
    <w:rsid w:val="006E51A6"/>
    <w:rsid w:val="006E7504"/>
    <w:rsid w:val="006F703C"/>
    <w:rsid w:val="00701191"/>
    <w:rsid w:val="00715156"/>
    <w:rsid w:val="00720111"/>
    <w:rsid w:val="00741FBF"/>
    <w:rsid w:val="007440CB"/>
    <w:rsid w:val="00755B39"/>
    <w:rsid w:val="00765386"/>
    <w:rsid w:val="00767E48"/>
    <w:rsid w:val="00770F58"/>
    <w:rsid w:val="00774B36"/>
    <w:rsid w:val="00775A85"/>
    <w:rsid w:val="00790232"/>
    <w:rsid w:val="007A1F0D"/>
    <w:rsid w:val="007A73EB"/>
    <w:rsid w:val="007B065C"/>
    <w:rsid w:val="007D5721"/>
    <w:rsid w:val="007D5FF3"/>
    <w:rsid w:val="007D6BA3"/>
    <w:rsid w:val="007F3A45"/>
    <w:rsid w:val="00801353"/>
    <w:rsid w:val="00802461"/>
    <w:rsid w:val="00805519"/>
    <w:rsid w:val="00806C59"/>
    <w:rsid w:val="008120F0"/>
    <w:rsid w:val="00812DBB"/>
    <w:rsid w:val="00814400"/>
    <w:rsid w:val="0081571E"/>
    <w:rsid w:val="00820417"/>
    <w:rsid w:val="008219F8"/>
    <w:rsid w:val="008346B9"/>
    <w:rsid w:val="008378E6"/>
    <w:rsid w:val="00841ABE"/>
    <w:rsid w:val="00843135"/>
    <w:rsid w:val="0084421E"/>
    <w:rsid w:val="00847078"/>
    <w:rsid w:val="00850910"/>
    <w:rsid w:val="0085280F"/>
    <w:rsid w:val="00855053"/>
    <w:rsid w:val="008613C2"/>
    <w:rsid w:val="00872967"/>
    <w:rsid w:val="0087403D"/>
    <w:rsid w:val="00874FDD"/>
    <w:rsid w:val="00880784"/>
    <w:rsid w:val="00881114"/>
    <w:rsid w:val="00891D55"/>
    <w:rsid w:val="0089491F"/>
    <w:rsid w:val="0089518A"/>
    <w:rsid w:val="00895921"/>
    <w:rsid w:val="008A0D63"/>
    <w:rsid w:val="008B5A8F"/>
    <w:rsid w:val="008B6FDB"/>
    <w:rsid w:val="008C01DC"/>
    <w:rsid w:val="008C14CF"/>
    <w:rsid w:val="008C68E2"/>
    <w:rsid w:val="008C7E2D"/>
    <w:rsid w:val="008D1103"/>
    <w:rsid w:val="008D65B3"/>
    <w:rsid w:val="008D668A"/>
    <w:rsid w:val="008E1ADA"/>
    <w:rsid w:val="008E2912"/>
    <w:rsid w:val="008E58C5"/>
    <w:rsid w:val="008F0BCA"/>
    <w:rsid w:val="008F1A74"/>
    <w:rsid w:val="00902B9A"/>
    <w:rsid w:val="00920891"/>
    <w:rsid w:val="00933DBB"/>
    <w:rsid w:val="00942879"/>
    <w:rsid w:val="00945956"/>
    <w:rsid w:val="00956E8C"/>
    <w:rsid w:val="009704B9"/>
    <w:rsid w:val="009717E2"/>
    <w:rsid w:val="00976DE7"/>
    <w:rsid w:val="00981CD4"/>
    <w:rsid w:val="00983FD2"/>
    <w:rsid w:val="009907FC"/>
    <w:rsid w:val="00992654"/>
    <w:rsid w:val="009A4207"/>
    <w:rsid w:val="009A52A8"/>
    <w:rsid w:val="009B2058"/>
    <w:rsid w:val="009B217F"/>
    <w:rsid w:val="009B3F47"/>
    <w:rsid w:val="009C29D2"/>
    <w:rsid w:val="009C6AF5"/>
    <w:rsid w:val="009C79AB"/>
    <w:rsid w:val="009F225C"/>
    <w:rsid w:val="009F7CA8"/>
    <w:rsid w:val="009F7FA8"/>
    <w:rsid w:val="00A0739F"/>
    <w:rsid w:val="00A124DC"/>
    <w:rsid w:val="00A15D2A"/>
    <w:rsid w:val="00A26951"/>
    <w:rsid w:val="00A32774"/>
    <w:rsid w:val="00A33C61"/>
    <w:rsid w:val="00A376F7"/>
    <w:rsid w:val="00A41DC5"/>
    <w:rsid w:val="00A472B1"/>
    <w:rsid w:val="00A501A9"/>
    <w:rsid w:val="00A5592C"/>
    <w:rsid w:val="00A6717B"/>
    <w:rsid w:val="00A7092A"/>
    <w:rsid w:val="00A70FEA"/>
    <w:rsid w:val="00A74D8B"/>
    <w:rsid w:val="00A838CD"/>
    <w:rsid w:val="00A87327"/>
    <w:rsid w:val="00A95ED9"/>
    <w:rsid w:val="00AA2E82"/>
    <w:rsid w:val="00AA308D"/>
    <w:rsid w:val="00AA32DF"/>
    <w:rsid w:val="00AA3D37"/>
    <w:rsid w:val="00AA7B0C"/>
    <w:rsid w:val="00AB0E8F"/>
    <w:rsid w:val="00AC39B9"/>
    <w:rsid w:val="00AF37DE"/>
    <w:rsid w:val="00B02E8F"/>
    <w:rsid w:val="00B05E9C"/>
    <w:rsid w:val="00B1394D"/>
    <w:rsid w:val="00B21D24"/>
    <w:rsid w:val="00B25EF3"/>
    <w:rsid w:val="00B269D7"/>
    <w:rsid w:val="00B37166"/>
    <w:rsid w:val="00B4195B"/>
    <w:rsid w:val="00B43BA5"/>
    <w:rsid w:val="00B45FCE"/>
    <w:rsid w:val="00B565B1"/>
    <w:rsid w:val="00B60857"/>
    <w:rsid w:val="00B65603"/>
    <w:rsid w:val="00B70648"/>
    <w:rsid w:val="00B822C8"/>
    <w:rsid w:val="00B85564"/>
    <w:rsid w:val="00B860F6"/>
    <w:rsid w:val="00B91485"/>
    <w:rsid w:val="00B92E3C"/>
    <w:rsid w:val="00B93A9C"/>
    <w:rsid w:val="00B9421B"/>
    <w:rsid w:val="00BA2CE5"/>
    <w:rsid w:val="00BC133D"/>
    <w:rsid w:val="00BC336E"/>
    <w:rsid w:val="00BC51CA"/>
    <w:rsid w:val="00BC7D71"/>
    <w:rsid w:val="00BD72FC"/>
    <w:rsid w:val="00BF00A4"/>
    <w:rsid w:val="00C024A5"/>
    <w:rsid w:val="00C041BB"/>
    <w:rsid w:val="00C07B7B"/>
    <w:rsid w:val="00C172D6"/>
    <w:rsid w:val="00C25C8C"/>
    <w:rsid w:val="00C3417A"/>
    <w:rsid w:val="00C443F6"/>
    <w:rsid w:val="00C46B16"/>
    <w:rsid w:val="00C50AC3"/>
    <w:rsid w:val="00C61DFF"/>
    <w:rsid w:val="00C61FDF"/>
    <w:rsid w:val="00C64A88"/>
    <w:rsid w:val="00C760BE"/>
    <w:rsid w:val="00C77337"/>
    <w:rsid w:val="00C87DA6"/>
    <w:rsid w:val="00C93345"/>
    <w:rsid w:val="00C951B7"/>
    <w:rsid w:val="00CA63C6"/>
    <w:rsid w:val="00CC6F42"/>
    <w:rsid w:val="00CD3231"/>
    <w:rsid w:val="00CD35B2"/>
    <w:rsid w:val="00CE0DBE"/>
    <w:rsid w:val="00CE1F46"/>
    <w:rsid w:val="00CE30C1"/>
    <w:rsid w:val="00CE59FF"/>
    <w:rsid w:val="00CE753F"/>
    <w:rsid w:val="00CE78D3"/>
    <w:rsid w:val="00CF6D0A"/>
    <w:rsid w:val="00D02EFB"/>
    <w:rsid w:val="00D1505A"/>
    <w:rsid w:val="00D25238"/>
    <w:rsid w:val="00D35FBB"/>
    <w:rsid w:val="00D41338"/>
    <w:rsid w:val="00D4529B"/>
    <w:rsid w:val="00D54604"/>
    <w:rsid w:val="00D60222"/>
    <w:rsid w:val="00D6233D"/>
    <w:rsid w:val="00D705E0"/>
    <w:rsid w:val="00D70C5E"/>
    <w:rsid w:val="00D87A80"/>
    <w:rsid w:val="00D91D0A"/>
    <w:rsid w:val="00D92CFA"/>
    <w:rsid w:val="00DA314F"/>
    <w:rsid w:val="00DB7745"/>
    <w:rsid w:val="00DC0DF2"/>
    <w:rsid w:val="00DC188E"/>
    <w:rsid w:val="00DC23E8"/>
    <w:rsid w:val="00DC48C6"/>
    <w:rsid w:val="00DE4C70"/>
    <w:rsid w:val="00DE7706"/>
    <w:rsid w:val="00DF26E9"/>
    <w:rsid w:val="00DF673B"/>
    <w:rsid w:val="00E00A3A"/>
    <w:rsid w:val="00E128C5"/>
    <w:rsid w:val="00E160C5"/>
    <w:rsid w:val="00E27F6B"/>
    <w:rsid w:val="00E409EE"/>
    <w:rsid w:val="00E4784E"/>
    <w:rsid w:val="00E6405B"/>
    <w:rsid w:val="00E72086"/>
    <w:rsid w:val="00E72AB8"/>
    <w:rsid w:val="00E74463"/>
    <w:rsid w:val="00E82880"/>
    <w:rsid w:val="00E937A6"/>
    <w:rsid w:val="00EA2DBA"/>
    <w:rsid w:val="00EB0DC9"/>
    <w:rsid w:val="00EB6C7C"/>
    <w:rsid w:val="00EC05A4"/>
    <w:rsid w:val="00EC1F99"/>
    <w:rsid w:val="00EC4B64"/>
    <w:rsid w:val="00ED3BE4"/>
    <w:rsid w:val="00EE2A10"/>
    <w:rsid w:val="00EF18BC"/>
    <w:rsid w:val="00EF5151"/>
    <w:rsid w:val="00EF63EE"/>
    <w:rsid w:val="00F01ACB"/>
    <w:rsid w:val="00F01E96"/>
    <w:rsid w:val="00F03F9B"/>
    <w:rsid w:val="00F07F9E"/>
    <w:rsid w:val="00F13304"/>
    <w:rsid w:val="00F13B06"/>
    <w:rsid w:val="00F1608D"/>
    <w:rsid w:val="00F24250"/>
    <w:rsid w:val="00F27719"/>
    <w:rsid w:val="00F30587"/>
    <w:rsid w:val="00F40DB6"/>
    <w:rsid w:val="00F416DE"/>
    <w:rsid w:val="00F539C5"/>
    <w:rsid w:val="00F55018"/>
    <w:rsid w:val="00F55B80"/>
    <w:rsid w:val="00F569FC"/>
    <w:rsid w:val="00F6622B"/>
    <w:rsid w:val="00F66D00"/>
    <w:rsid w:val="00F67BF1"/>
    <w:rsid w:val="00F71DDC"/>
    <w:rsid w:val="00F81BAF"/>
    <w:rsid w:val="00FA3DBF"/>
    <w:rsid w:val="00FC0AE3"/>
    <w:rsid w:val="00FC22C9"/>
    <w:rsid w:val="00FC399B"/>
    <w:rsid w:val="00FD05F3"/>
    <w:rsid w:val="00FD1744"/>
    <w:rsid w:val="00FD43BA"/>
    <w:rsid w:val="00FD49B6"/>
    <w:rsid w:val="00FE2580"/>
    <w:rsid w:val="00FE50C1"/>
    <w:rsid w:val="00FE53A6"/>
    <w:rsid w:val="00FF4A4B"/>
    <w:rsid w:val="562C4DA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unhideWhenUsed="0" w:uiPriority="99"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4"/>
    <w:qFormat/>
    <w:uiPriority w:val="99"/>
    <w:pPr>
      <w:keepNext/>
      <w:keepLines/>
      <w:spacing w:before="340" w:after="330" w:line="578" w:lineRule="auto"/>
      <w:outlineLvl w:val="0"/>
    </w:pPr>
    <w:rPr>
      <w:b/>
      <w:bCs/>
      <w:kern w:val="44"/>
      <w:sz w:val="44"/>
      <w:szCs w:val="44"/>
    </w:rPr>
  </w:style>
  <w:style w:type="character" w:default="1" w:styleId="12">
    <w:name w:val="Default Paragraph Font"/>
    <w:semiHidden/>
    <w:uiPriority w:val="99"/>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toc 3"/>
    <w:basedOn w:val="1"/>
    <w:next w:val="1"/>
    <w:semiHidden/>
    <w:uiPriority w:val="99"/>
    <w:pPr>
      <w:widowControl/>
      <w:spacing w:after="100" w:line="276" w:lineRule="auto"/>
      <w:ind w:left="440"/>
      <w:jc w:val="left"/>
    </w:pPr>
    <w:rPr>
      <w:rFonts w:ascii="Calibri" w:hAnsi="Calibri"/>
      <w:kern w:val="0"/>
      <w:sz w:val="22"/>
      <w:szCs w:val="22"/>
    </w:rPr>
  </w:style>
  <w:style w:type="paragraph" w:styleId="4">
    <w:name w:val="Date"/>
    <w:basedOn w:val="1"/>
    <w:next w:val="1"/>
    <w:link w:val="21"/>
    <w:semiHidden/>
    <w:uiPriority w:val="99"/>
    <w:pPr>
      <w:ind w:left="100" w:leftChars="2500"/>
    </w:pPr>
  </w:style>
  <w:style w:type="paragraph" w:styleId="5">
    <w:name w:val="Balloon Text"/>
    <w:basedOn w:val="1"/>
    <w:link w:val="18"/>
    <w:semiHidden/>
    <w:uiPriority w:val="99"/>
    <w:rPr>
      <w:sz w:val="18"/>
      <w:szCs w:val="18"/>
    </w:rPr>
  </w:style>
  <w:style w:type="paragraph" w:styleId="6">
    <w:name w:val="footer"/>
    <w:basedOn w:val="1"/>
    <w:link w:val="16"/>
    <w:uiPriority w:val="99"/>
    <w:pPr>
      <w:tabs>
        <w:tab w:val="center" w:pos="4153"/>
        <w:tab w:val="right" w:pos="8306"/>
      </w:tabs>
      <w:snapToGrid w:val="0"/>
      <w:jc w:val="left"/>
    </w:pPr>
    <w:rPr>
      <w:sz w:val="18"/>
      <w:szCs w:val="18"/>
    </w:rPr>
  </w:style>
  <w:style w:type="paragraph" w:styleId="7">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iPriority w:val="99"/>
  </w:style>
  <w:style w:type="paragraph" w:styleId="9">
    <w:name w:val="toc 2"/>
    <w:basedOn w:val="1"/>
    <w:next w:val="1"/>
    <w:uiPriority w:val="99"/>
    <w:pPr>
      <w:ind w:left="420" w:leftChars="200"/>
    </w:pPr>
  </w:style>
  <w:style w:type="paragraph" w:styleId="10">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13">
    <w:name w:val="Hyperlink"/>
    <w:basedOn w:val="12"/>
    <w:uiPriority w:val="99"/>
    <w:rPr>
      <w:rFonts w:cs="Times New Roman"/>
      <w:color w:val="0000FF"/>
      <w:u w:val="single"/>
    </w:rPr>
  </w:style>
  <w:style w:type="character" w:customStyle="1" w:styleId="14">
    <w:name w:val="Heading 1 Char"/>
    <w:basedOn w:val="12"/>
    <w:link w:val="2"/>
    <w:locked/>
    <w:uiPriority w:val="99"/>
    <w:rPr>
      <w:rFonts w:ascii="Times New Roman" w:hAnsi="Times New Roman" w:eastAsia="宋体" w:cs="Times New Roman"/>
      <w:b/>
      <w:bCs/>
      <w:kern w:val="44"/>
      <w:sz w:val="44"/>
      <w:szCs w:val="44"/>
    </w:rPr>
  </w:style>
  <w:style w:type="character" w:customStyle="1" w:styleId="15">
    <w:name w:val="Header Char"/>
    <w:basedOn w:val="12"/>
    <w:link w:val="7"/>
    <w:locked/>
    <w:uiPriority w:val="99"/>
    <w:rPr>
      <w:rFonts w:ascii="Times New Roman" w:hAnsi="Times New Roman" w:eastAsia="宋体" w:cs="Times New Roman"/>
      <w:sz w:val="18"/>
      <w:szCs w:val="18"/>
    </w:rPr>
  </w:style>
  <w:style w:type="character" w:customStyle="1" w:styleId="16">
    <w:name w:val="Footer Char"/>
    <w:basedOn w:val="12"/>
    <w:link w:val="6"/>
    <w:locked/>
    <w:uiPriority w:val="99"/>
    <w:rPr>
      <w:rFonts w:ascii="Times New Roman" w:hAnsi="Times New Roman" w:eastAsia="宋体" w:cs="Times New Roman"/>
      <w:sz w:val="18"/>
      <w:szCs w:val="18"/>
    </w:rPr>
  </w:style>
  <w:style w:type="paragraph" w:customStyle="1" w:styleId="17">
    <w:name w:val="Default"/>
    <w:uiPriority w:val="99"/>
    <w:pPr>
      <w:widowControl w:val="0"/>
      <w:autoSpaceDE w:val="0"/>
      <w:autoSpaceDN w:val="0"/>
      <w:adjustRightInd w:val="0"/>
    </w:pPr>
    <w:rPr>
      <w:rFonts w:ascii="Arial" w:hAnsi="Arial" w:eastAsia="宋体" w:cs="Arial"/>
      <w:color w:val="000000"/>
      <w:kern w:val="0"/>
      <w:sz w:val="24"/>
      <w:szCs w:val="24"/>
      <w:lang w:val="en-US" w:eastAsia="zh-CN" w:bidi="ar-SA"/>
    </w:rPr>
  </w:style>
  <w:style w:type="character" w:customStyle="1" w:styleId="18">
    <w:name w:val="Balloon Text Char"/>
    <w:basedOn w:val="12"/>
    <w:link w:val="5"/>
    <w:semiHidden/>
    <w:locked/>
    <w:uiPriority w:val="99"/>
    <w:rPr>
      <w:rFonts w:ascii="Times New Roman" w:hAnsi="Times New Roman" w:eastAsia="宋体" w:cs="Times New Roman"/>
      <w:sz w:val="18"/>
      <w:szCs w:val="18"/>
    </w:rPr>
  </w:style>
  <w:style w:type="paragraph" w:customStyle="1" w:styleId="19">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0">
    <w:name w:val="apple-converted-space"/>
    <w:basedOn w:val="12"/>
    <w:uiPriority w:val="99"/>
    <w:rPr>
      <w:rFonts w:cs="Times New Roman"/>
    </w:rPr>
  </w:style>
  <w:style w:type="character" w:customStyle="1" w:styleId="21">
    <w:name w:val="Date Char"/>
    <w:basedOn w:val="12"/>
    <w:link w:val="4"/>
    <w:semiHidden/>
    <w:locked/>
    <w:uiPriority w:val="99"/>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贵州省畜牧兽医研究所</Company>
  <Pages>7</Pages>
  <Words>549</Words>
  <Characters>3130</Characters>
  <Lines>0</Lines>
  <Paragraphs>0</Paragraphs>
  <TotalTime>303</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2019-04-15T02:24:00Z</dcterms:created>
  <dc:creator>FH</dc:creator>
  <cp:lastModifiedBy>Administrator</cp:lastModifiedBy>
  <dcterms:modified xsi:type="dcterms:W3CDTF">2019-06-10T07:43:20Z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