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r>
        <w:pict>
          <v:shape id="_x0000_s1066" o:spid="_x0000_s1066" o:spt="202" type="#_x0000_t202" style="position:absolute;left:0pt;margin-left:70.9pt;margin-top:28.35pt;height:58.25pt;width:121.5pt;mso-position-horizontal-relative:page;mso-position-vertical-relative:page;z-index:251664384;mso-width-relative:page;mso-height-relative:page;" filled="f" stroked="f" coordsize="21600,21600">
            <v:path/>
            <v:fill on="f" focussize="0,0"/>
            <v:stroke on="f" joinstyle="miter"/>
            <v:imagedata o:title=""/>
            <o:lock v:ext="edit"/>
            <v:textbox>
              <w:txbxContent>
                <w:p>
                  <w:pPr>
                    <w:pStyle w:val="77"/>
                  </w:pPr>
                  <w:r>
                    <w:rPr>
                      <w:rFonts w:hint="eastAsia"/>
                    </w:rPr>
                    <w:t>ICS XX.XXX</w:t>
                  </w:r>
                </w:p>
                <w:p>
                  <w:pPr>
                    <w:pStyle w:val="77"/>
                  </w:pPr>
                  <w:r>
                    <w:rPr>
                      <w:rFonts w:hint="eastAsia"/>
                    </w:rPr>
                    <w:t>X XX</w:t>
                  </w:r>
                </w:p>
              </w:txbxContent>
            </v:textbox>
          </v:shape>
        </w:pict>
      </w:r>
    </w:p>
    <w:p>
      <w:pPr>
        <w:ind w:firstLine="420"/>
      </w:pPr>
      <w:r>
        <w:pict>
          <v:shape id="_x0000_s1068" o:spid="_x0000_s1068" o:spt="202" type="#_x0000_t202" style="position:absolute;left:0pt;margin-left:-19.6pt;margin-top:23.45pt;height:44.3pt;width:481.9pt;z-index:251666432;mso-width-relative:page;mso-height-relative:page;" filled="f" stroked="f" coordsize="21600,21600">
            <v:path/>
            <v:fill on="f" focussize="0,0"/>
            <v:stroke on="f" joinstyle="miter"/>
            <v:imagedata o:title=""/>
            <o:lock v:ext="edit"/>
            <v:textbox>
              <w:txbxContent>
                <w:p>
                  <w:pPr>
                    <w:spacing w:line="240" w:lineRule="auto"/>
                    <w:ind w:firstLine="0" w:firstLineChars="0"/>
                    <w:jc w:val="center"/>
                    <w:rPr>
                      <w:rFonts w:ascii="黑体" w:hAnsi="黑体" w:eastAsia="黑体"/>
                      <w:sz w:val="52"/>
                      <w:szCs w:val="52"/>
                    </w:rPr>
                  </w:pPr>
                  <w:r>
                    <w:rPr>
                      <w:rFonts w:hint="eastAsia" w:ascii="黑体" w:hAnsi="黑体" w:eastAsia="黑体"/>
                      <w:spacing w:val="433"/>
                      <w:sz w:val="52"/>
                      <w:szCs w:val="52"/>
                      <w:fitText w:val="8840" w:id="0"/>
                    </w:rPr>
                    <w:t>贵州省地方标</w:t>
                  </w:r>
                  <w:r>
                    <w:rPr>
                      <w:rFonts w:hint="eastAsia" w:ascii="黑体" w:hAnsi="黑体" w:eastAsia="黑体"/>
                      <w:spacing w:val="2"/>
                      <w:sz w:val="52"/>
                      <w:szCs w:val="52"/>
                      <w:fitText w:val="8840" w:id="0"/>
                    </w:rPr>
                    <w:t>准</w:t>
                  </w:r>
                </w:p>
              </w:txbxContent>
            </v:textbox>
          </v:shape>
        </w:pict>
      </w:r>
    </w:p>
    <w:p>
      <w:pPr>
        <w:ind w:firstLine="420"/>
      </w:pPr>
    </w:p>
    <w:p>
      <w:pPr>
        <w:ind w:firstLine="420"/>
      </w:pPr>
      <w:r>
        <w:pict>
          <v:shape id="_x0000_s1070" o:spid="_x0000_s1070" o:spt="202" type="#_x0000_t202" style="position:absolute;left:0pt;margin-left:270pt;margin-top:21.3pt;height:38.75pt;width:174.1pt;z-index:251668480;mso-width-relative:page;mso-height-relative:page;" filled="f" stroked="f" coordsize="21600,21600">
            <v:path/>
            <v:fill on="f" focussize="0,0"/>
            <v:stroke on="f" joinstyle="miter"/>
            <v:imagedata o:title=""/>
            <o:lock v:ext="edit"/>
            <v:textbox>
              <w:txbxContent>
                <w:p>
                  <w:pPr>
                    <w:pStyle w:val="79"/>
                    <w:rPr>
                      <w:b w:val="0"/>
                    </w:rPr>
                  </w:pPr>
                  <w:r>
                    <w:rPr>
                      <w:b w:val="0"/>
                    </w:rPr>
                    <w:t>DB</w:t>
                  </w:r>
                  <w:r>
                    <w:rPr>
                      <w:rFonts w:hint="eastAsia"/>
                      <w:b w:val="0"/>
                    </w:rPr>
                    <w:t xml:space="preserve"> </w:t>
                  </w:r>
                  <w:r>
                    <w:rPr>
                      <w:b w:val="0"/>
                    </w:rPr>
                    <w:t>52/T</w:t>
                  </w:r>
                  <w:r>
                    <w:rPr>
                      <w:rFonts w:hint="eastAsia"/>
                      <w:b w:val="0"/>
                    </w:rPr>
                    <w:t xml:space="preserve"> XXXX</w:t>
                  </w:r>
                  <w:r>
                    <w:rPr>
                      <w:b w:val="0"/>
                    </w:rPr>
                    <w:t>.</w:t>
                  </w:r>
                  <w:r>
                    <w:rPr>
                      <w:rFonts w:hint="eastAsia"/>
                      <w:b w:val="0"/>
                    </w:rPr>
                    <w:t>X-XXXX</w:t>
                  </w:r>
                  <w:r>
                    <w:rPr>
                      <w:b w:val="0"/>
                    </w:rPr>
                    <w:t>T</w:t>
                  </w:r>
                </w:p>
              </w:txbxContent>
            </v:textbox>
          </v:shape>
        </w:pict>
      </w:r>
    </w:p>
    <w:p>
      <w:pPr>
        <w:ind w:firstLine="420"/>
      </w:pPr>
    </w:p>
    <w:p>
      <w:pPr>
        <w:ind w:firstLine="420"/>
      </w:pPr>
      <w:r>
        <w:pict>
          <v:shape id="_x0000_s1081" o:spid="_x0000_s1081" o:spt="32" type="#_x0000_t32" style="position:absolute;left:0pt;margin-left:-7.6pt;margin-top:3.05pt;height:0pt;width:482.65pt;z-index:251673600;mso-width-relative:page;mso-height-relative:page;" o:connectortype="straight" filled="f" coordsize="21600,21600">
            <v:path arrowok="t"/>
            <v:fill on="f" focussize="0,0"/>
            <v:stroke/>
            <v:imagedata o:title=""/>
            <o:lock v:ext="edit"/>
          </v:shape>
        </w:pict>
      </w:r>
    </w:p>
    <w:p>
      <w:pPr>
        <w:ind w:firstLine="420"/>
      </w:pPr>
    </w:p>
    <w:p>
      <w:pPr>
        <w:ind w:firstLine="420"/>
      </w:pPr>
      <w:r>
        <w:pict>
          <v:shape id="_x0000_s1067" o:spid="_x0000_s1067" o:spt="202" type="#_x0000_t202" style="position:absolute;left:0pt;margin-left:65.35pt;margin-top:339.75pt;height:168.35pt;width:481.9pt;mso-position-horizontal-relative:page;mso-position-vertical-relative:page;z-index:251665408;mso-width-relative:page;mso-height-relative:page;" filled="f" stroked="f" coordsize="21600,21600">
            <v:path/>
            <v:fill on="f" focussize="0,0"/>
            <v:stroke on="f" joinstyle="miter"/>
            <v:imagedata o:title=""/>
            <o:lock v:ext="edit"/>
            <v:textbox>
              <w:txbxContent>
                <w:p>
                  <w:pPr>
                    <w:spacing w:line="240" w:lineRule="auto"/>
                    <w:ind w:firstLine="0" w:firstLineChars="0"/>
                    <w:jc w:val="center"/>
                    <w:rPr>
                      <w:rFonts w:eastAsia="黑体"/>
                      <w:sz w:val="48"/>
                      <w:szCs w:val="48"/>
                    </w:rPr>
                  </w:pPr>
                  <w:r>
                    <w:rPr>
                      <w:rFonts w:hint="eastAsia" w:eastAsia="黑体"/>
                      <w:sz w:val="52"/>
                      <w:szCs w:val="52"/>
                    </w:rPr>
                    <w:t>大数据开放共享交易安全管理规范</w:t>
                  </w:r>
                </w:p>
                <w:p>
                  <w:pPr>
                    <w:spacing w:line="240" w:lineRule="auto"/>
                    <w:ind w:firstLine="0" w:firstLineChars="0"/>
                    <w:jc w:val="center"/>
                    <w:rPr>
                      <w:rFonts w:ascii="黑体" w:hAnsi="黑体" w:eastAsia="黑体"/>
                      <w:sz w:val="28"/>
                      <w:szCs w:val="28"/>
                    </w:rPr>
                  </w:pPr>
                  <w:r>
                    <w:rPr>
                      <w:rFonts w:hint="eastAsia" w:ascii="黑体" w:hAnsi="黑体" w:eastAsia="黑体"/>
                      <w:sz w:val="28"/>
                      <w:szCs w:val="28"/>
                    </w:rPr>
                    <w:t>Security management specification for open sharing and</w:t>
                  </w:r>
                </w:p>
                <w:p>
                  <w:pPr>
                    <w:spacing w:line="240" w:lineRule="auto"/>
                    <w:ind w:firstLine="0" w:firstLineChars="0"/>
                    <w:jc w:val="center"/>
                    <w:rPr>
                      <w:rFonts w:hint="eastAsia" w:ascii="黑体" w:hAnsi="黑体" w:eastAsia="黑体"/>
                      <w:sz w:val="28"/>
                      <w:szCs w:val="28"/>
                    </w:rPr>
                  </w:pPr>
                  <w:r>
                    <w:rPr>
                      <w:rFonts w:hint="eastAsia" w:ascii="黑体" w:hAnsi="黑体" w:eastAsia="黑体"/>
                      <w:sz w:val="28"/>
                      <w:szCs w:val="28"/>
                    </w:rPr>
                    <w:t xml:space="preserve"> transaction of big data</w:t>
                  </w:r>
                </w:p>
                <w:p>
                  <w:pPr>
                    <w:spacing w:line="240" w:lineRule="auto"/>
                    <w:ind w:firstLine="0" w:firstLineChars="0"/>
                    <w:jc w:val="center"/>
                    <w:rPr>
                      <w:rFonts w:hint="default" w:ascii="黑体" w:hAnsi="黑体" w:eastAsia="黑体"/>
                      <w:sz w:val="28"/>
                      <w:szCs w:val="28"/>
                      <w:lang w:val="en-US" w:eastAsia="zh-CN"/>
                    </w:rPr>
                  </w:pPr>
                  <w:r>
                    <w:rPr>
                      <w:rFonts w:hint="eastAsia" w:ascii="黑体" w:hAnsi="黑体" w:eastAsia="黑体"/>
                      <w:sz w:val="28"/>
                      <w:szCs w:val="28"/>
                      <w:lang w:eastAsia="zh-CN"/>
                    </w:rPr>
                    <w:t>（征求意见稿）</w:t>
                  </w:r>
                </w:p>
              </w:txbxContent>
            </v:textbox>
          </v:shape>
        </w:pict>
      </w:r>
      <w:r>
        <w:pict>
          <v:shape id="fmFrame8" o:spid="_x0000_s1069" o:spt="202" type="#_x0000_t202" style="position:absolute;left:0pt;margin-left:227.1pt;margin-top:93.55pt;height:56.7pt;width:250pt;mso-position-horizontal-relative:page;mso-position-vertical-relative:page;z-index:251667456;mso-width-relative:page;mso-height-relative:page;" stroked="f" coordsize="21600,21600">
            <v:path/>
            <v:fill focussize="0,0"/>
            <v:stroke on="f" joinstyle="miter"/>
            <v:imagedata o:title=""/>
            <o:lock v:ext="edit"/>
            <v:textbox inset="0mm,0mm,0mm,0mm">
              <w:txbxContent>
                <w:p>
                  <w:pPr>
                    <w:pStyle w:val="70"/>
                    <w:rPr>
                      <w:rFonts w:ascii="Impact" w:hAnsi="Impact" w:eastAsia="黑体" w:cs="FrankRuehl"/>
                      <w:sz w:val="112"/>
                      <w:szCs w:val="112"/>
                    </w:rPr>
                  </w:pPr>
                  <w:r>
                    <w:rPr>
                      <w:rFonts w:ascii="Impact" w:hAnsi="Impact" w:eastAsia="黑体" w:cs="FrankRuehl"/>
                      <w:sz w:val="112"/>
                      <w:szCs w:val="112"/>
                    </w:rPr>
                    <w:t>DB 52</w:t>
                  </w:r>
                </w:p>
              </w:txbxContent>
            </v:textbox>
            <w10:anchorlock/>
          </v:shape>
        </w:pic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r>
        <w:pict>
          <v:shape id="_x0000_s1073" o:spid="_x0000_s1073" o:spt="202" type="#_x0000_t202" style="position:absolute;left:0pt;margin-left:70.9pt;margin-top:627.15pt;height:30.45pt;width:481.9pt;mso-position-horizontal-relative:page;mso-position-vertical-relative:page;z-index:251669504;v-text-anchor:middle;mso-width-relative:page;mso-height-relative:page;" filled="f" stroked="f" coordsize="21600,21600">
            <v:path/>
            <v:fill on="f" focussize="0,0"/>
            <v:stroke on="f" joinstyle="miter"/>
            <v:imagedata o:title=""/>
            <o:lock v:ext="edit"/>
            <v:textbox inset="2.54mm,0mm,2.54mm,0mm">
              <w:txbxContent>
                <w:p>
                  <w:pPr>
                    <w:pStyle w:val="75"/>
                  </w:pPr>
                  <w:r>
                    <w:rPr>
                      <w:rFonts w:hint="eastAsia"/>
                    </w:rPr>
                    <w:t>201X-XX-XX发布                                     201X-XX-XX实施</w:t>
                  </w:r>
                </w:p>
              </w:txbxContent>
            </v:textbox>
          </v:shape>
        </w:pict>
      </w:r>
    </w:p>
    <w:p>
      <w:pPr>
        <w:ind w:firstLine="420"/>
      </w:pPr>
    </w:p>
    <w:p>
      <w:pPr>
        <w:ind w:firstLine="420"/>
      </w:pPr>
    </w:p>
    <w:p>
      <w:pPr>
        <w:ind w:firstLine="420"/>
      </w:pPr>
    </w:p>
    <w:p>
      <w:pPr>
        <w:ind w:firstLine="420"/>
      </w:pPr>
    </w:p>
    <w:p>
      <w:pPr>
        <w:ind w:firstLine="420"/>
      </w:pPr>
    </w:p>
    <w:p>
      <w:pPr>
        <w:ind w:firstLine="420"/>
      </w:pPr>
      <w:r>
        <w:pict>
          <v:shape id="_x0000_s1076" o:spid="_x0000_s1076" o:spt="202" type="#_x0000_t202" style="position:absolute;left:0pt;margin-left:70.15pt;margin-top:663.3pt;height:51pt;width:445.05pt;mso-position-horizontal-relative:page;mso-position-vertical-relative:page;z-index:251671552;v-text-anchor:middle;mso-width-relative:page;mso-height-relative:page;" filled="f" stroked="f" coordsize="21600,21600">
            <v:path/>
            <v:fill on="f" focussize="0,0"/>
            <v:stroke on="f" joinstyle="miter"/>
            <v:imagedata o:title=""/>
            <o:lock v:ext="edit"/>
            <v:textbox inset="2.54mm,0mm,2.54mm,0mm">
              <w:txbxContent>
                <w:p>
                  <w:pPr>
                    <w:pStyle w:val="72"/>
                    <w:ind w:firstLine="0" w:firstLineChars="0"/>
                    <w:rPr>
                      <w:rFonts w:hAnsi="黑体"/>
                      <w:sz w:val="28"/>
                      <w:szCs w:val="28"/>
                    </w:rPr>
                  </w:pPr>
                  <w:r>
                    <w:rPr>
                      <w:rFonts w:hint="eastAsia"/>
                    </w:rPr>
                    <w:t>贵州省市场监督管理局</w:t>
                  </w:r>
                </w:p>
              </w:txbxContent>
            </v:textbox>
          </v:shape>
        </w:pict>
      </w:r>
      <w:r>
        <w:pict>
          <v:shape id="_x0000_s1077" o:spid="_x0000_s1077" o:spt="202" type="#_x0000_t202" style="position:absolute;left:0pt;margin-left:480.8pt;margin-top:668pt;height:39.95pt;width:66.45pt;mso-position-horizontal-relative:page;mso-position-vertical-relative:page;z-index:251672576;v-text-anchor:middle;mso-width-relative:page;mso-height-relative:page;" filled="f" stroked="f" coordsize="21600,21600">
            <v:path/>
            <v:fill on="f" focussize="0,0"/>
            <v:stroke on="f" joinstyle="miter"/>
            <v:imagedata o:title=""/>
            <o:lock v:ext="edit"/>
            <v:textbox inset="2.54mm,0mm,2.54mm,0mm">
              <w:txbxContent>
                <w:p>
                  <w:pPr>
                    <w:pStyle w:val="72"/>
                    <w:ind w:firstLine="0" w:firstLineChars="0"/>
                    <w:rPr>
                      <w:rFonts w:hAnsi="黑体"/>
                      <w:sz w:val="28"/>
                      <w:szCs w:val="28"/>
                    </w:rPr>
                  </w:pPr>
                  <w:r>
                    <w:rPr>
                      <w:rStyle w:val="71"/>
                      <w:rFonts w:hint="eastAsia"/>
                    </w:rPr>
                    <w:t>发 布</w:t>
                  </w:r>
                </w:p>
              </w:txbxContent>
            </v:textbox>
          </v:shape>
        </w:pict>
      </w:r>
    </w:p>
    <w:p>
      <w:pPr>
        <w:ind w:firstLine="420"/>
      </w:pPr>
      <w:r>
        <w:pict>
          <v:shape id="_x0000_s1074" o:spid="_x0000_s1074" o:spt="32" type="#_x0000_t32" style="position:absolute;left:0pt;margin-left:-7.6pt;margin-top:22.55pt;height:0pt;width:482.65pt;z-index:251670528;mso-width-relative:page;mso-height-relative:page;" o:connectortype="straight" filled="f" coordsize="21600,21600">
            <v:path arrowok="t"/>
            <v:fill on="f" focussize="0,0"/>
            <v:stroke/>
            <v:imagedata o:title=""/>
            <o:lock v:ext="edit"/>
          </v:shape>
        </w:pict>
      </w:r>
    </w:p>
    <w:p>
      <w:pPr>
        <w:ind w:firstLine="420"/>
      </w:pPr>
    </w:p>
    <w:p>
      <w:pPr>
        <w:ind w:firstLine="420"/>
      </w:pPr>
    </w:p>
    <w:p>
      <w:pPr>
        <w:ind w:firstLine="420"/>
      </w:pPr>
    </w:p>
    <w:p>
      <w:pPr>
        <w:ind w:firstLine="420"/>
        <w:rPr>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2268" w:right="1134" w:bottom="1418" w:left="1418" w:header="851" w:footer="992" w:gutter="0"/>
          <w:pgNumType w:fmt="upperRoman" w:start="1"/>
          <w:cols w:space="425" w:num="1"/>
          <w:titlePg/>
          <w:docGrid w:type="lines" w:linePitch="312" w:charSpace="0"/>
        </w:sectPr>
      </w:pPr>
      <w:r>
        <w:rPr>
          <w:rFonts w:hint="eastAsia"/>
        </w:rPr>
        <w:t xml:space="preserve">                            </w:t>
      </w:r>
    </w:p>
    <w:sdt>
      <w:sdtPr>
        <w:rPr>
          <w:rFonts w:eastAsia="宋体" w:asciiTheme="majorHAnsi" w:hAnsiTheme="majorHAnsi" w:cstheme="majorBidi"/>
          <w:b w:val="0"/>
          <w:smallCaps w:val="0"/>
          <w:spacing w:val="0"/>
          <w:sz w:val="22"/>
          <w:szCs w:val="22"/>
          <w:lang w:val="en-US" w:bidi="ar-SA"/>
        </w:rPr>
        <w:id w:val="53057619"/>
        <w:docPartObj>
          <w:docPartGallery w:val="Table of Contents"/>
          <w:docPartUnique/>
        </w:docPartObj>
      </w:sdtPr>
      <w:sdtEndPr>
        <w:rPr>
          <w:rFonts w:ascii="Cambria" w:hAnsi="Cambria" w:eastAsiaTheme="minorEastAsia" w:cstheme="majorBidi"/>
          <w:b w:val="0"/>
          <w:bCs/>
          <w:smallCaps w:val="0"/>
          <w:spacing w:val="0"/>
          <w:sz w:val="21"/>
          <w:szCs w:val="22"/>
          <w:lang w:val="en-US" w:bidi="ar-SA"/>
        </w:rPr>
      </w:sdtEndPr>
      <w:sdtContent>
        <w:p>
          <w:pPr>
            <w:pStyle w:val="73"/>
          </w:pPr>
          <w:r>
            <w:t>目</w:t>
          </w:r>
          <w:r>
            <w:rPr>
              <w:rFonts w:hint="eastAsia"/>
            </w:rPr>
            <w:t xml:space="preserve">  </w:t>
          </w:r>
          <w:r>
            <w:t>录</w:t>
          </w:r>
        </w:p>
        <w:p>
          <w:pPr>
            <w:pStyle w:val="22"/>
            <w:rPr>
              <w:rFonts w:ascii="Times New Roman" w:hAnsi="Times New Roman" w:cs="Times New Roman"/>
              <w:kern w:val="2"/>
            </w:rPr>
          </w:pPr>
          <w:r>
            <w:rPr>
              <w:rFonts w:ascii="Times New Roman" w:hAnsi="Times New Roman" w:cs="Times New Roman"/>
            </w:rPr>
            <w:fldChar w:fldCharType="begin"/>
          </w:r>
          <w:r>
            <w:rPr>
              <w:rFonts w:ascii="Times New Roman" w:hAnsi="Times New Roman" w:cs="Times New Roman"/>
            </w:rPr>
            <w:instrText xml:space="preserve"> TOC \o "1-1" \h \z \u </w:instrText>
          </w:r>
          <w:r>
            <w:rPr>
              <w:rFonts w:ascii="Times New Roman" w:hAnsi="Times New Roman" w:cs="Times New Roman"/>
            </w:rPr>
            <w:fldChar w:fldCharType="separate"/>
          </w:r>
          <w:r>
            <w:fldChar w:fldCharType="begin"/>
          </w:r>
          <w:r>
            <w:instrText xml:space="preserve"> HYPERLINK \l "_Toc4698096" </w:instrText>
          </w:r>
          <w:r>
            <w:fldChar w:fldCharType="separate"/>
          </w:r>
          <w:r>
            <w:rPr>
              <w:rStyle w:val="34"/>
              <w:rFonts w:ascii="Times New Roman" w:hAnsi="Times New Roman" w:cs="Times New Roman"/>
            </w:rPr>
            <w:t>前   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_Toc4698096 \h </w:instrText>
          </w:r>
          <w:r>
            <w:rPr>
              <w:rFonts w:ascii="Times New Roman" w:hAnsi="Times New Roman" w:cs="Times New Roman"/>
            </w:rPr>
            <w:fldChar w:fldCharType="separate"/>
          </w:r>
          <w:r>
            <w:rPr>
              <w:rFonts w:ascii="Times New Roman" w:hAnsi="Times New Roman" w:cs="Times New Roman"/>
            </w:rPr>
            <w:t>II</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"_Toc4698097" </w:instrText>
          </w:r>
          <w:r>
            <w:fldChar w:fldCharType="separate"/>
          </w:r>
          <w:r>
            <w:rPr>
              <w:rStyle w:val="34"/>
              <w:rFonts w:ascii="Times New Roman" w:hAnsi="Times New Roman" w:cs="Times New Roman"/>
            </w:rPr>
            <w:t>1  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_Toc4698097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"_Toc4698098" </w:instrText>
          </w:r>
          <w:r>
            <w:fldChar w:fldCharType="separate"/>
          </w:r>
          <w:r>
            <w:rPr>
              <w:rStyle w:val="34"/>
              <w:rFonts w:ascii="Times New Roman" w:hAnsi="Times New Roman" w:cs="Times New Roman"/>
            </w:rPr>
            <w:t>2  规范性引用文件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_Toc4698098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"_Toc4698099" </w:instrText>
          </w:r>
          <w:r>
            <w:fldChar w:fldCharType="separate"/>
          </w:r>
          <w:r>
            <w:rPr>
              <w:rStyle w:val="34"/>
              <w:rFonts w:ascii="Times New Roman" w:hAnsi="Times New Roman" w:cs="Times New Roman"/>
            </w:rPr>
            <w:t>3  术语和定义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_Toc4698099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"_Toc4698100" </w:instrText>
          </w:r>
          <w:r>
            <w:fldChar w:fldCharType="separate"/>
          </w:r>
          <w:r>
            <w:rPr>
              <w:rStyle w:val="34"/>
              <w:rFonts w:ascii="Times New Roman" w:hAnsi="Times New Roman" w:cs="Times New Roman"/>
            </w:rPr>
            <w:t>4  原则和基本管理要求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_Toc4698100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"_Toc4698101" </w:instrText>
          </w:r>
          <w:r>
            <w:fldChar w:fldCharType="separate"/>
          </w:r>
          <w:r>
            <w:rPr>
              <w:rStyle w:val="34"/>
              <w:rFonts w:ascii="Times New Roman" w:hAnsi="Times New Roman" w:cs="Times New Roman"/>
            </w:rPr>
            <w:t>5  数据流通过程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_Toc4698101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"_Toc4698102" </w:instrText>
          </w:r>
          <w:r>
            <w:fldChar w:fldCharType="separate"/>
          </w:r>
          <w:r>
            <w:rPr>
              <w:rStyle w:val="34"/>
              <w:rFonts w:ascii="Times New Roman" w:hAnsi="Times New Roman" w:cs="Times New Roman"/>
            </w:rPr>
            <w:t>6  数据开放安全管理要求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_Toc4698102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22"/>
            <w:rPr>
              <w:rFonts w:ascii="Times New Roman" w:hAnsi="Times New Roman" w:cs="Times New Roman"/>
              <w:kern w:val="2"/>
            </w:rPr>
          </w:pPr>
          <w:r>
            <w:fldChar w:fldCharType="begin"/>
          </w:r>
          <w:r>
            <w:instrText xml:space="preserve"> HYPERLINK \l "_Toc4698103" </w:instrText>
          </w:r>
          <w:r>
            <w:fldChar w:fldCharType="separate"/>
          </w:r>
          <w:r>
            <w:rPr>
              <w:rStyle w:val="34"/>
              <w:rFonts w:ascii="Times New Roman" w:hAnsi="Times New Roman" w:cs="Times New Roman"/>
            </w:rPr>
            <w:t>7  数据共享安全管理要求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_Toc4698103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pPr>
            <w:ind w:firstLine="420"/>
            <w:rPr>
              <w:rFonts w:ascii="Cambria" w:hAnsi="Cambria" w:eastAsiaTheme="minorEastAsia"/>
            </w:rPr>
          </w:pPr>
          <w:r>
            <w:rPr>
              <w:rFonts w:ascii="Times New Roman" w:hAnsi="Times New Roman" w:cs="Times New Roman" w:eastAsiaTheme="minorEastAsia"/>
            </w:rPr>
            <w:fldChar w:fldCharType="end"/>
          </w:r>
        </w:p>
      </w:sdtContent>
    </w:sdt>
    <w:p>
      <w:pPr>
        <w:ind w:firstLine="420"/>
        <w:sectPr>
          <w:pgSz w:w="11906" w:h="16838"/>
          <w:pgMar w:top="2268" w:right="1134" w:bottom="1418" w:left="1418" w:header="1417" w:footer="992" w:gutter="0"/>
          <w:pgNumType w:fmt="upperRoman" w:start="1"/>
          <w:cols w:space="425" w:num="1"/>
          <w:docGrid w:type="lines" w:linePitch="312" w:charSpace="0"/>
        </w:sectPr>
      </w:pPr>
    </w:p>
    <w:p>
      <w:pPr>
        <w:pStyle w:val="81"/>
        <w:spacing w:before="156" w:after="156"/>
      </w:pPr>
      <w:bookmarkStart w:id="0" w:name="_Toc4698096"/>
      <w:bookmarkStart w:id="1" w:name="_Toc454055178"/>
      <w:bookmarkStart w:id="2" w:name="_Toc443485969"/>
      <w:r>
        <w:rPr>
          <w:rFonts w:hint="eastAsia"/>
        </w:rPr>
        <w:t>前   言</w:t>
      </w:r>
      <w:bookmarkEnd w:id="0"/>
      <w:bookmarkEnd w:id="1"/>
      <w:bookmarkEnd w:id="2"/>
    </w:p>
    <w:p>
      <w:pPr>
        <w:ind w:firstLine="420"/>
      </w:pPr>
      <w:r>
        <w:rPr>
          <w:rFonts w:hint="eastAsia"/>
        </w:rPr>
        <w:t>本标准按照</w:t>
      </w:r>
      <w:r>
        <w:t>GB/T 1.1-2009</w:t>
      </w:r>
      <w:r>
        <w:rPr>
          <w:rFonts w:hint="eastAsia"/>
        </w:rPr>
        <w:t>《标准化工作导则</w:t>
      </w:r>
      <w:r>
        <w:t xml:space="preserve"> </w:t>
      </w:r>
      <w:r>
        <w:rPr>
          <w:rFonts w:hint="eastAsia"/>
        </w:rPr>
        <w:t>第</w:t>
      </w:r>
      <w:r>
        <w:t>1</w:t>
      </w:r>
      <w:r>
        <w:rPr>
          <w:rFonts w:hint="eastAsia"/>
        </w:rPr>
        <w:t>部分：标准的结构和编写》给出的规则起草。</w:t>
      </w:r>
    </w:p>
    <w:p>
      <w:pPr>
        <w:ind w:firstLine="422"/>
        <w:rPr>
          <w:b/>
        </w:rPr>
      </w:pPr>
      <w:r>
        <w:rPr>
          <w:rFonts w:hint="eastAsia"/>
          <w:b/>
        </w:rPr>
        <w:t>请注意：本文件的某些内容可能涉及专利内容。本文件的发布机构不承担识别这些专利的责任。</w:t>
      </w:r>
    </w:p>
    <w:p>
      <w:pPr>
        <w:ind w:firstLine="420"/>
      </w:pPr>
      <w:r>
        <w:rPr>
          <w:rFonts w:hint="eastAsia"/>
        </w:rPr>
        <w:t>本标准由贵州航天计量测试技术研究所提出。</w:t>
      </w:r>
    </w:p>
    <w:p>
      <w:pPr>
        <w:ind w:firstLine="420"/>
      </w:pPr>
      <w:r>
        <w:rPr>
          <w:rFonts w:hint="eastAsia"/>
        </w:rPr>
        <w:t>本标准由贵州省大数据标准化技术委员会归口。</w:t>
      </w:r>
    </w:p>
    <w:p>
      <w:pPr>
        <w:ind w:firstLine="420"/>
      </w:pPr>
      <w:r>
        <w:rPr>
          <w:rFonts w:hint="eastAsia"/>
        </w:rPr>
        <w:t>本标准起草单位：贵州航天计量测试技术研究所、贵州大学、贵州省机械电子产品质量监督检验院、贵州财经大学、贵州医科大学附属医院。</w:t>
      </w:r>
    </w:p>
    <w:p>
      <w:pPr>
        <w:ind w:firstLine="420"/>
      </w:pPr>
      <w:r>
        <w:rPr>
          <w:rFonts w:hint="eastAsia"/>
        </w:rPr>
        <w:t>本标准主要起草人：潘积文、陈永久、杨玉龙、彭长根、丁红发、李明贵、禹忠、郑少波、杨大刚、朱义杰、李帅、冯迪、梁登辉。</w:t>
      </w:r>
    </w:p>
    <w:p>
      <w:pPr>
        <w:ind w:firstLine="420"/>
        <w:sectPr>
          <w:pgSz w:w="11906" w:h="16838"/>
          <w:pgMar w:top="1440" w:right="1800" w:bottom="1440" w:left="1800" w:header="851" w:footer="992" w:gutter="0"/>
          <w:pgNumType w:fmt="upperRoman"/>
          <w:cols w:space="425" w:num="1"/>
          <w:docGrid w:type="lines" w:linePitch="312" w:charSpace="0"/>
        </w:sectPr>
      </w:pPr>
      <w:r>
        <w:rPr>
          <w:rFonts w:hint="eastAsia"/>
        </w:rPr>
        <w:t xml:space="preserve"> </w:t>
      </w:r>
    </w:p>
    <w:p>
      <w:pPr>
        <w:pStyle w:val="62"/>
        <w:spacing w:line="360" w:lineRule="auto"/>
        <w:ind w:firstLine="0" w:firstLineChars="0"/>
        <w:jc w:val="center"/>
        <w:rPr>
          <w:rFonts w:eastAsia="黑体"/>
          <w:sz w:val="32"/>
          <w:szCs w:val="32"/>
        </w:rPr>
      </w:pPr>
      <w:bookmarkStart w:id="3" w:name="_Toc443498620"/>
      <w:bookmarkStart w:id="4" w:name="_Toc433726186"/>
      <w:r>
        <w:rPr>
          <w:rFonts w:hint="eastAsia" w:eastAsia="黑体"/>
          <w:sz w:val="32"/>
          <w:szCs w:val="32"/>
        </w:rPr>
        <w:t>大数据开放共享交易安全管理规范</w:t>
      </w:r>
    </w:p>
    <w:p>
      <w:pPr>
        <w:pStyle w:val="2"/>
      </w:pPr>
      <w:bookmarkStart w:id="5" w:name="_Toc4698097"/>
      <w:bookmarkStart w:id="6" w:name="_Toc454055179"/>
      <w:r>
        <w:t>1  范围</w:t>
      </w:r>
      <w:bookmarkEnd w:id="3"/>
      <w:bookmarkEnd w:id="4"/>
      <w:bookmarkEnd w:id="5"/>
      <w:bookmarkEnd w:id="6"/>
    </w:p>
    <w:p>
      <w:pPr>
        <w:ind w:firstLine="420"/>
        <w:jc w:val="both"/>
      </w:pPr>
      <w:r>
        <w:rPr>
          <w:rFonts w:hint="eastAsia"/>
        </w:rPr>
        <w:t>本标准规定了大数据开放共享的数据流通过程、安全管理原则和要求。</w:t>
      </w:r>
    </w:p>
    <w:p>
      <w:pPr>
        <w:ind w:firstLine="420"/>
        <w:jc w:val="both"/>
      </w:pPr>
      <w:r>
        <w:rPr>
          <w:rFonts w:hint="eastAsia"/>
        </w:rPr>
        <w:t>本标准适用于贵州省全省范围内政府、企事业单位、个人数据的开放共享安全管理。</w:t>
      </w:r>
    </w:p>
    <w:p>
      <w:pPr>
        <w:pStyle w:val="2"/>
        <w:rPr>
          <w:caps/>
        </w:rPr>
      </w:pPr>
      <w:bookmarkStart w:id="7" w:name="_Toc4698098"/>
      <w:bookmarkStart w:id="8" w:name="_Toc454055180"/>
      <w:bookmarkStart w:id="9" w:name="_Toc443498621"/>
      <w:bookmarkStart w:id="10" w:name="_Toc433726187"/>
      <w:bookmarkStart w:id="11" w:name="_Toc331668019"/>
      <w:r>
        <w:rPr>
          <w:rFonts w:hint="eastAsia"/>
        </w:rPr>
        <w:t>2  规范性引用文件</w:t>
      </w:r>
      <w:bookmarkEnd w:id="7"/>
      <w:bookmarkEnd w:id="8"/>
      <w:bookmarkEnd w:id="9"/>
      <w:bookmarkEnd w:id="10"/>
      <w:bookmarkEnd w:id="11"/>
    </w:p>
    <w:p>
      <w:pPr>
        <w:ind w:firstLine="420"/>
        <w:jc w:val="both"/>
        <w:rPr>
          <w:szCs w:val="21"/>
        </w:rPr>
      </w:pPr>
      <w:r>
        <w:rPr>
          <w:rFonts w:hint="eastAsia"/>
          <w:szCs w:val="21"/>
        </w:rPr>
        <w:t>下列文件对于本文件的应用是必不可少的。凡是注日期的引用文件，仅所注日期的版本适用于本文件。凡是不注日期的引用文件，其最新版本（包括所有的修改单）适用于本文件。</w:t>
      </w:r>
    </w:p>
    <w:p>
      <w:pPr>
        <w:ind w:firstLine="420"/>
        <w:jc w:val="both"/>
        <w:rPr>
          <w:rFonts w:asciiTheme="minorEastAsia" w:hAnsiTheme="minorEastAsia" w:eastAsiaTheme="minorEastAsia"/>
          <w:color w:val="000000" w:themeColor="text1"/>
          <w:kern w:val="2"/>
          <w:szCs w:val="21"/>
        </w:rPr>
      </w:pPr>
      <w:r>
        <w:rPr>
          <w:rFonts w:hint="eastAsia"/>
          <w:szCs w:val="21"/>
        </w:rPr>
        <w:t xml:space="preserve">GB/T 35274-2017   </w:t>
      </w:r>
      <w:r>
        <w:rPr>
          <w:rFonts w:hint="eastAsia" w:asciiTheme="minorEastAsia" w:hAnsiTheme="minorEastAsia" w:eastAsiaTheme="minorEastAsia"/>
          <w:color w:val="000000" w:themeColor="text1"/>
          <w:kern w:val="2"/>
          <w:szCs w:val="21"/>
        </w:rPr>
        <w:t>信息安全技术</w:t>
      </w:r>
      <w:r>
        <w:rPr>
          <w:rFonts w:hint="eastAsia"/>
          <w:szCs w:val="21"/>
        </w:rPr>
        <w:t xml:space="preserve"> </w:t>
      </w:r>
      <w:r>
        <w:rPr>
          <w:rFonts w:hint="eastAsia" w:asciiTheme="minorEastAsia" w:hAnsiTheme="minorEastAsia" w:eastAsiaTheme="minorEastAsia"/>
          <w:color w:val="000000" w:themeColor="text1"/>
          <w:kern w:val="2"/>
          <w:szCs w:val="21"/>
        </w:rPr>
        <w:t>大数据服务安全能力要求</w:t>
      </w:r>
    </w:p>
    <w:p>
      <w:pPr>
        <w:ind w:firstLine="420"/>
        <w:jc w:val="both"/>
        <w:rPr>
          <w:rFonts w:cs="Times New Roman"/>
          <w:szCs w:val="21"/>
        </w:rPr>
      </w:pPr>
      <w:r>
        <w:rPr>
          <w:rFonts w:cs="Times New Roman"/>
          <w:szCs w:val="21"/>
        </w:rPr>
        <w:t>GB/T 35295-2017</w:t>
      </w:r>
      <w:r>
        <w:rPr>
          <w:rFonts w:hint="eastAsia" w:cs="Times New Roman"/>
          <w:szCs w:val="21"/>
        </w:rPr>
        <w:t xml:space="preserve">   信息技术 大数据 术语</w:t>
      </w:r>
    </w:p>
    <w:p>
      <w:pPr>
        <w:ind w:firstLine="420"/>
        <w:jc w:val="both"/>
        <w:rPr>
          <w:rFonts w:cs="Times New Roman"/>
          <w:szCs w:val="21"/>
        </w:rPr>
      </w:pPr>
      <w:r>
        <w:rPr>
          <w:rFonts w:cs="Times New Roman"/>
          <w:szCs w:val="21"/>
        </w:rPr>
        <w:t>GB/T 22239</w:t>
      </w:r>
      <w:r>
        <w:rPr>
          <w:rFonts w:hint="eastAsia" w:cs="Times New Roman"/>
          <w:szCs w:val="21"/>
        </w:rPr>
        <w:t>-2008</w:t>
      </w:r>
      <w:r>
        <w:rPr>
          <w:rFonts w:cs="Times New Roman"/>
          <w:szCs w:val="21"/>
        </w:rPr>
        <w:t xml:space="preserve">   信息安全技术 信息系统安全等级保护基本要求</w:t>
      </w:r>
    </w:p>
    <w:p>
      <w:pPr>
        <w:ind w:firstLine="420"/>
        <w:jc w:val="both"/>
        <w:rPr>
          <w:rFonts w:cs="Times New Roman"/>
          <w:szCs w:val="21"/>
        </w:rPr>
      </w:pPr>
      <w:r>
        <w:rPr>
          <w:rFonts w:cs="Times New Roman"/>
          <w:szCs w:val="21"/>
        </w:rPr>
        <w:t>GB/T 25070</w:t>
      </w:r>
      <w:r>
        <w:rPr>
          <w:rFonts w:hint="eastAsia" w:cs="Times New Roman"/>
          <w:szCs w:val="21"/>
        </w:rPr>
        <w:t>-2010</w:t>
      </w:r>
      <w:r>
        <w:rPr>
          <w:rFonts w:cs="Times New Roman"/>
          <w:szCs w:val="21"/>
        </w:rPr>
        <w:t xml:space="preserve">   信息安全技术 信息系统等级保护安全设计技术要求</w:t>
      </w:r>
    </w:p>
    <w:p>
      <w:pPr>
        <w:ind w:firstLine="420"/>
        <w:jc w:val="both"/>
        <w:rPr>
          <w:rFonts w:cs="Times New Roman"/>
          <w:szCs w:val="21"/>
        </w:rPr>
      </w:pPr>
      <w:r>
        <w:rPr>
          <w:rFonts w:hint="eastAsia" w:cs="Times New Roman"/>
          <w:szCs w:val="21"/>
        </w:rPr>
        <w:t>DB</w:t>
      </w:r>
      <w:r>
        <w:rPr>
          <w:rFonts w:cs="Times New Roman"/>
          <w:szCs w:val="21"/>
        </w:rPr>
        <w:t>52</w:t>
      </w:r>
      <w:r>
        <w:rPr>
          <w:rFonts w:hint="eastAsia" w:cs="Times New Roman"/>
          <w:szCs w:val="21"/>
        </w:rPr>
        <w:t>/T</w:t>
      </w:r>
      <w:r>
        <w:rPr>
          <w:rFonts w:cs="Times New Roman"/>
          <w:szCs w:val="21"/>
        </w:rPr>
        <w:t xml:space="preserve"> 1123</w:t>
      </w:r>
      <w:r>
        <w:rPr>
          <w:rFonts w:hint="eastAsia" w:cs="Times New Roman"/>
          <w:szCs w:val="21"/>
        </w:rPr>
        <w:t>-</w:t>
      </w:r>
      <w:r>
        <w:rPr>
          <w:rFonts w:cs="Times New Roman"/>
          <w:szCs w:val="21"/>
        </w:rPr>
        <w:t xml:space="preserve">2016 </w:t>
      </w:r>
      <w:r>
        <w:rPr>
          <w:rFonts w:hint="eastAsia" w:cs="Times New Roman"/>
          <w:szCs w:val="21"/>
        </w:rPr>
        <w:t xml:space="preserve"> 政府数据 数据分类分级指南 </w:t>
      </w:r>
    </w:p>
    <w:p>
      <w:pPr>
        <w:pStyle w:val="2"/>
      </w:pPr>
      <w:bookmarkStart w:id="12" w:name="_Toc4698099"/>
      <w:bookmarkStart w:id="13" w:name="_Toc443498622"/>
      <w:bookmarkStart w:id="14" w:name="_Toc454055181"/>
      <w:bookmarkStart w:id="15" w:name="_Toc433726188"/>
      <w:r>
        <w:rPr>
          <w:rFonts w:hint="eastAsia"/>
        </w:rPr>
        <w:t>3  术语和</w:t>
      </w:r>
      <w:r>
        <w:t>定义</w:t>
      </w:r>
      <w:bookmarkEnd w:id="12"/>
      <w:bookmarkEnd w:id="13"/>
      <w:bookmarkEnd w:id="14"/>
      <w:bookmarkEnd w:id="15"/>
    </w:p>
    <w:p>
      <w:pPr>
        <w:ind w:firstLine="420"/>
        <w:jc w:val="both"/>
      </w:pPr>
      <w:r>
        <w:rPr>
          <w:rFonts w:hint="eastAsia"/>
        </w:rPr>
        <w:t>GB/T 35274-2017、GB/T 35295-2017界定的以及下列术语和定义适用于本文件。</w:t>
      </w:r>
    </w:p>
    <w:p>
      <w:pPr>
        <w:spacing w:before="156" w:beforeLines="50" w:after="156" w:afterLines="50"/>
        <w:ind w:firstLine="0" w:firstLineChars="0"/>
        <w:jc w:val="both"/>
        <w:rPr>
          <w:rFonts w:ascii="黑体" w:hAnsi="黑体" w:eastAsia="黑体"/>
        </w:rPr>
      </w:pPr>
      <w:bookmarkStart w:id="16" w:name="_Toc454055182"/>
      <w:r>
        <w:rPr>
          <w:rFonts w:hint="eastAsia" w:ascii="黑体" w:hAnsi="黑体" w:eastAsia="黑体"/>
        </w:rPr>
        <w:t>3.1</w:t>
      </w:r>
    </w:p>
    <w:bookmarkEnd w:id="16"/>
    <w:p>
      <w:pPr>
        <w:spacing w:before="156" w:beforeLines="50" w:after="156" w:afterLines="50"/>
        <w:ind w:firstLine="420"/>
        <w:jc w:val="both"/>
        <w:rPr>
          <w:rFonts w:ascii="黑体" w:hAnsi="黑体" w:eastAsia="黑体"/>
        </w:rPr>
      </w:pPr>
      <w:r>
        <w:rPr>
          <w:rFonts w:hint="eastAsia" w:ascii="黑体" w:hAnsi="黑体" w:eastAsia="黑体"/>
        </w:rPr>
        <w:t>数据开放 data open</w:t>
      </w:r>
    </w:p>
    <w:p>
      <w:pPr>
        <w:ind w:firstLine="420"/>
        <w:jc w:val="both"/>
      </w:pPr>
      <w:r>
        <w:rPr>
          <w:rFonts w:hint="eastAsia"/>
        </w:rPr>
        <w:t>由承担公共社会管理和服务职责的政府机构、企事业单位等公共机构产生、收集的所有信息，包括政务数据、交通数据、医疗数据等，仅承担社会责任的主体在授权范围内访问、咨询数据或用于科研、技术服务等。</w:t>
      </w:r>
    </w:p>
    <w:p>
      <w:pPr>
        <w:spacing w:before="156" w:beforeLines="50" w:after="156" w:afterLines="50"/>
        <w:ind w:firstLine="0" w:firstLineChars="0"/>
        <w:jc w:val="both"/>
        <w:rPr>
          <w:rFonts w:ascii="黑体" w:hAnsi="黑体" w:eastAsia="黑体"/>
        </w:rPr>
      </w:pPr>
      <w:bookmarkStart w:id="17" w:name="_Toc454055183"/>
      <w:r>
        <w:rPr>
          <w:rFonts w:hint="eastAsia" w:ascii="黑体" w:hAnsi="黑体" w:eastAsia="黑体"/>
        </w:rPr>
        <w:t>3</w:t>
      </w:r>
      <w:r>
        <w:rPr>
          <w:rFonts w:ascii="黑体" w:hAnsi="黑体" w:eastAsia="黑体"/>
        </w:rPr>
        <w:t>.</w:t>
      </w:r>
      <w:r>
        <w:rPr>
          <w:rFonts w:hint="eastAsia" w:ascii="黑体" w:hAnsi="黑体" w:eastAsia="黑体"/>
        </w:rPr>
        <w:t>2</w:t>
      </w:r>
    </w:p>
    <w:bookmarkEnd w:id="17"/>
    <w:p>
      <w:pPr>
        <w:spacing w:before="156" w:beforeLines="50" w:after="156" w:afterLines="50"/>
        <w:ind w:firstLine="420"/>
        <w:jc w:val="both"/>
        <w:rPr>
          <w:rFonts w:ascii="黑体" w:hAnsi="黑体" w:eastAsia="黑体"/>
        </w:rPr>
      </w:pPr>
      <w:r>
        <w:rPr>
          <w:rFonts w:hint="eastAsia" w:ascii="黑体" w:hAnsi="黑体" w:eastAsia="黑体"/>
        </w:rPr>
        <w:t>数据共享 data share</w:t>
      </w:r>
    </w:p>
    <w:p>
      <w:pPr>
        <w:ind w:firstLine="420"/>
        <w:jc w:val="both"/>
      </w:pPr>
      <w:r>
        <w:rPr>
          <w:rFonts w:hint="eastAsia"/>
        </w:rPr>
        <w:t>承担社会责任的主体将自己掌控的数据在一定条件下与指定的第三方共享使用。</w:t>
      </w:r>
    </w:p>
    <w:p>
      <w:pPr>
        <w:spacing w:before="156" w:beforeLines="50" w:after="156" w:afterLines="50"/>
        <w:ind w:firstLine="0" w:firstLineChars="0"/>
        <w:jc w:val="both"/>
        <w:rPr>
          <w:rFonts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3</w:t>
      </w:r>
    </w:p>
    <w:p>
      <w:pPr>
        <w:spacing w:before="156" w:beforeLines="50" w:after="156" w:afterLines="50"/>
        <w:ind w:firstLine="420"/>
        <w:jc w:val="both"/>
        <w:rPr>
          <w:rFonts w:ascii="黑体" w:hAnsi="黑体" w:eastAsia="黑体"/>
        </w:rPr>
      </w:pPr>
      <w:r>
        <w:rPr>
          <w:rFonts w:hint="eastAsia" w:ascii="黑体" w:hAnsi="黑体" w:eastAsia="黑体"/>
        </w:rPr>
        <w:t xml:space="preserve">数据提供方 </w:t>
      </w:r>
      <w:r>
        <w:rPr>
          <w:rFonts w:ascii="黑体" w:hAnsi="黑体" w:eastAsia="黑体"/>
        </w:rPr>
        <w:t>data provider</w:t>
      </w:r>
    </w:p>
    <w:p>
      <w:pPr>
        <w:ind w:firstLine="420"/>
        <w:jc w:val="both"/>
      </w:pPr>
      <w:r>
        <w:rPr>
          <w:rFonts w:hint="eastAsia"/>
        </w:rPr>
        <w:t>数据的拥有者，一般包括公共机构、企业、科学家、调研人员、从事数据搜索的工程师、网络运营商和末端用户，它将新的数据或信息引入数据流通平台。</w:t>
      </w:r>
    </w:p>
    <w:p>
      <w:pPr>
        <w:spacing w:before="156" w:beforeLines="50" w:after="156" w:afterLines="50"/>
        <w:ind w:firstLine="0" w:firstLineChars="0"/>
        <w:jc w:val="both"/>
        <w:rPr>
          <w:rFonts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4</w:t>
      </w:r>
    </w:p>
    <w:p>
      <w:pPr>
        <w:spacing w:before="156" w:beforeLines="50" w:after="156" w:afterLines="50"/>
        <w:ind w:firstLine="420"/>
        <w:jc w:val="both"/>
        <w:rPr>
          <w:rFonts w:ascii="黑体" w:hAnsi="黑体" w:eastAsia="黑体"/>
        </w:rPr>
      </w:pPr>
      <w:r>
        <w:rPr>
          <w:rFonts w:hint="eastAsia" w:ascii="黑体" w:hAnsi="黑体" w:eastAsia="黑体"/>
        </w:rPr>
        <w:t>数据接收方 d</w:t>
      </w:r>
      <w:r>
        <w:rPr>
          <w:rFonts w:ascii="黑体" w:hAnsi="黑体" w:eastAsia="黑体"/>
        </w:rPr>
        <w:t xml:space="preserve">ata </w:t>
      </w:r>
      <w:r>
        <w:rPr>
          <w:rFonts w:hint="eastAsia" w:ascii="黑体" w:hAnsi="黑体" w:eastAsia="黑体"/>
        </w:rPr>
        <w:t>r</w:t>
      </w:r>
      <w:r>
        <w:rPr>
          <w:rFonts w:ascii="黑体" w:hAnsi="黑体" w:eastAsia="黑体"/>
        </w:rPr>
        <w:t>eceiver</w:t>
      </w:r>
    </w:p>
    <w:p>
      <w:pPr>
        <w:ind w:firstLine="420"/>
        <w:jc w:val="both"/>
      </w:pPr>
      <w:r>
        <w:rPr>
          <w:rFonts w:hint="eastAsia"/>
        </w:rPr>
        <w:t>数据的使用者，一般包括末端用户、调研人员、应用和系统。</w:t>
      </w:r>
    </w:p>
    <w:p>
      <w:pPr>
        <w:spacing w:before="156" w:beforeLines="50" w:after="156" w:afterLines="50"/>
        <w:ind w:firstLine="0" w:firstLineChars="0"/>
        <w:jc w:val="both"/>
        <w:rPr>
          <w:rFonts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5</w:t>
      </w:r>
    </w:p>
    <w:p>
      <w:pPr>
        <w:spacing w:before="156" w:beforeLines="50" w:after="156" w:afterLines="50"/>
        <w:ind w:firstLine="420"/>
        <w:jc w:val="both"/>
        <w:rPr>
          <w:rFonts w:ascii="黑体" w:hAnsi="黑体" w:eastAsia="黑体"/>
        </w:rPr>
      </w:pPr>
      <w:r>
        <w:rPr>
          <w:rFonts w:hint="eastAsia" w:ascii="黑体" w:hAnsi="黑体" w:eastAsia="黑体"/>
        </w:rPr>
        <w:t>数据流通 data flow</w:t>
      </w:r>
    </w:p>
    <w:p>
      <w:pPr>
        <w:ind w:firstLine="420"/>
        <w:jc w:val="both"/>
        <w:rPr>
          <w:color w:val="FF0000"/>
        </w:rPr>
      </w:pPr>
      <w:r>
        <w:rPr>
          <w:rFonts w:hint="eastAsia"/>
        </w:rPr>
        <w:t>数据流通主要是指数据开放、数据共享。</w:t>
      </w:r>
    </w:p>
    <w:p>
      <w:pPr>
        <w:spacing w:before="156" w:beforeLines="50" w:after="156" w:afterLines="50"/>
        <w:ind w:firstLine="0" w:firstLineChars="0"/>
        <w:jc w:val="both"/>
        <w:rPr>
          <w:rFonts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6</w:t>
      </w:r>
    </w:p>
    <w:p>
      <w:pPr>
        <w:spacing w:before="156" w:beforeLines="50" w:after="156" w:afterLines="50"/>
        <w:ind w:firstLine="420"/>
        <w:jc w:val="both"/>
        <w:rPr>
          <w:rFonts w:ascii="黑体" w:hAnsi="黑体" w:eastAsia="黑体"/>
        </w:rPr>
      </w:pPr>
      <w:r>
        <w:rPr>
          <w:rFonts w:hint="eastAsia" w:ascii="黑体" w:hAnsi="黑体" w:eastAsia="黑体"/>
        </w:rPr>
        <w:t>数据流通平台 d</w:t>
      </w:r>
      <w:r>
        <w:rPr>
          <w:rFonts w:ascii="黑体" w:hAnsi="黑体" w:eastAsia="黑体"/>
        </w:rPr>
        <w:t xml:space="preserve">ata </w:t>
      </w:r>
      <w:r>
        <w:rPr>
          <w:rFonts w:hint="eastAsia" w:ascii="黑体" w:hAnsi="黑体" w:eastAsia="黑体"/>
        </w:rPr>
        <w:t>f</w:t>
      </w:r>
      <w:r>
        <w:rPr>
          <w:rFonts w:ascii="黑体" w:hAnsi="黑体" w:eastAsia="黑体"/>
        </w:rPr>
        <w:t xml:space="preserve">low </w:t>
      </w:r>
      <w:r>
        <w:rPr>
          <w:rFonts w:hint="eastAsia" w:ascii="黑体" w:hAnsi="黑体" w:eastAsia="黑体"/>
        </w:rPr>
        <w:t>p</w:t>
      </w:r>
      <w:r>
        <w:rPr>
          <w:rFonts w:ascii="黑体" w:hAnsi="黑体" w:eastAsia="黑体"/>
        </w:rPr>
        <w:t>latform</w:t>
      </w:r>
    </w:p>
    <w:p>
      <w:pPr>
        <w:ind w:firstLine="420"/>
        <w:jc w:val="both"/>
      </w:pPr>
      <w:r>
        <w:rPr>
          <w:rFonts w:hint="eastAsia"/>
        </w:rPr>
        <w:t>用于数据流通的信息管理服务平台，包含承载数据的各业务系统。</w:t>
      </w:r>
    </w:p>
    <w:p>
      <w:pPr>
        <w:spacing w:before="156" w:beforeLines="50" w:after="156" w:afterLines="50"/>
        <w:ind w:firstLine="0" w:firstLineChars="0"/>
        <w:jc w:val="both"/>
        <w:rPr>
          <w:rFonts w:ascii="黑体" w:hAnsi="黑体" w:eastAsia="黑体"/>
        </w:rPr>
      </w:pPr>
      <w:r>
        <w:rPr>
          <w:rFonts w:hint="eastAsia" w:ascii="黑体" w:hAnsi="黑体" w:eastAsia="黑体"/>
        </w:rPr>
        <w:t>3.7</w:t>
      </w:r>
    </w:p>
    <w:p>
      <w:pPr>
        <w:spacing w:before="156" w:beforeLines="50" w:after="156" w:afterLines="50"/>
        <w:ind w:firstLine="420"/>
        <w:jc w:val="both"/>
        <w:rPr>
          <w:rFonts w:ascii="黑体" w:hAnsi="黑体" w:eastAsia="黑体"/>
        </w:rPr>
      </w:pPr>
      <w:r>
        <w:rPr>
          <w:rFonts w:hint="eastAsia" w:ascii="黑体" w:hAnsi="黑体" w:eastAsia="黑体"/>
        </w:rPr>
        <w:t>数据流通服务机构 d</w:t>
      </w:r>
      <w:r>
        <w:rPr>
          <w:rFonts w:ascii="黑体" w:hAnsi="黑体" w:eastAsia="黑体"/>
        </w:rPr>
        <w:t xml:space="preserve">ata </w:t>
      </w:r>
      <w:r>
        <w:rPr>
          <w:rFonts w:hint="eastAsia" w:ascii="黑体" w:hAnsi="黑体" w:eastAsia="黑体"/>
        </w:rPr>
        <w:t>c</w:t>
      </w:r>
      <w:r>
        <w:rPr>
          <w:rFonts w:ascii="黑体" w:hAnsi="黑体" w:eastAsia="黑体"/>
        </w:rPr>
        <w:t xml:space="preserve">irculation </w:t>
      </w:r>
      <w:r>
        <w:rPr>
          <w:rFonts w:hint="eastAsia" w:ascii="黑体" w:hAnsi="黑体" w:eastAsia="黑体"/>
        </w:rPr>
        <w:t>s</w:t>
      </w:r>
      <w:r>
        <w:rPr>
          <w:rFonts w:ascii="黑体" w:hAnsi="黑体" w:eastAsia="黑体"/>
        </w:rPr>
        <w:t xml:space="preserve">ervice </w:t>
      </w:r>
      <w:r>
        <w:rPr>
          <w:rFonts w:hint="eastAsia" w:ascii="黑体" w:hAnsi="黑体" w:eastAsia="黑体"/>
        </w:rPr>
        <w:t>i</w:t>
      </w:r>
      <w:r>
        <w:rPr>
          <w:rFonts w:ascii="黑体" w:hAnsi="黑体" w:eastAsia="黑体"/>
        </w:rPr>
        <w:t>nstitution</w:t>
      </w:r>
    </w:p>
    <w:p>
      <w:pPr>
        <w:ind w:firstLine="420"/>
        <w:jc w:val="both"/>
        <w:rPr>
          <w:rFonts w:hint="eastAsia"/>
        </w:rPr>
      </w:pPr>
      <w:r>
        <w:rPr>
          <w:rFonts w:hint="eastAsia"/>
        </w:rPr>
        <w:t>负责数据流通平台的日常管理、业务流转、运行维护等经营活动的组织机构，全权负责数据流通平台的管理。</w:t>
      </w:r>
    </w:p>
    <w:p>
      <w:pPr>
        <w:spacing w:before="156" w:beforeLines="50" w:after="156" w:afterLines="50"/>
        <w:ind w:firstLine="0" w:firstLineChars="0"/>
        <w:jc w:val="both"/>
        <w:rPr>
          <w:rFonts w:ascii="黑体" w:hAnsi="黑体" w:eastAsia="黑体"/>
        </w:rPr>
      </w:pPr>
      <w:r>
        <w:rPr>
          <w:rFonts w:hint="eastAsia" w:ascii="黑体" w:hAnsi="黑体" w:eastAsia="黑体"/>
        </w:rPr>
        <w:t>3.8</w:t>
      </w:r>
    </w:p>
    <w:p>
      <w:pPr>
        <w:spacing w:before="156" w:beforeLines="50" w:after="156" w:afterLines="50"/>
        <w:ind w:firstLine="420"/>
        <w:jc w:val="both"/>
        <w:rPr>
          <w:rFonts w:ascii="黑体" w:hAnsi="黑体" w:eastAsia="黑体"/>
        </w:rPr>
      </w:pPr>
      <w:r>
        <w:rPr>
          <w:rFonts w:hint="eastAsia" w:ascii="黑体" w:hAnsi="黑体" w:eastAsia="黑体"/>
        </w:rPr>
        <w:t>数据流通安全管理机构 d</w:t>
      </w:r>
      <w:r>
        <w:rPr>
          <w:rFonts w:ascii="黑体" w:hAnsi="黑体" w:eastAsia="黑体"/>
        </w:rPr>
        <w:t xml:space="preserve">ata </w:t>
      </w:r>
      <w:r>
        <w:rPr>
          <w:rFonts w:hint="eastAsia" w:ascii="黑体" w:hAnsi="黑体" w:eastAsia="黑体"/>
        </w:rPr>
        <w:t>c</w:t>
      </w:r>
      <w:r>
        <w:rPr>
          <w:rFonts w:ascii="黑体" w:hAnsi="黑体" w:eastAsia="黑体"/>
        </w:rPr>
        <w:t xml:space="preserve">irculation security management </w:t>
      </w:r>
      <w:r>
        <w:rPr>
          <w:rFonts w:hint="eastAsia" w:ascii="黑体" w:hAnsi="黑体" w:eastAsia="黑体"/>
        </w:rPr>
        <w:t>i</w:t>
      </w:r>
      <w:r>
        <w:rPr>
          <w:rFonts w:ascii="黑体" w:hAnsi="黑体" w:eastAsia="黑体"/>
        </w:rPr>
        <w:t>nstitution</w:t>
      </w:r>
    </w:p>
    <w:p>
      <w:pPr>
        <w:ind w:firstLine="420"/>
        <w:jc w:val="both"/>
      </w:pPr>
      <w:r>
        <w:rPr>
          <w:rFonts w:hint="eastAsia"/>
        </w:rPr>
        <w:t>负责数据流通服务机构的安全运营、数据流通平台及业务的安全管理等安全保障工作的组织机构，隶属于数据流通服务机构，全权负责数据流通服务机构的安全管理。</w:t>
      </w:r>
    </w:p>
    <w:p>
      <w:pPr>
        <w:pStyle w:val="2"/>
      </w:pPr>
      <w:bookmarkStart w:id="18" w:name="_Toc4698100"/>
      <w:r>
        <w:rPr>
          <w:rFonts w:hint="eastAsia"/>
        </w:rPr>
        <w:t>4  原则和基本管理要求</w:t>
      </w:r>
      <w:bookmarkEnd w:id="18"/>
    </w:p>
    <w:p>
      <w:pPr>
        <w:spacing w:before="156" w:beforeLines="50" w:after="156" w:afterLines="50"/>
        <w:ind w:firstLine="0" w:firstLineChars="0"/>
        <w:jc w:val="both"/>
        <w:outlineLvl w:val="1"/>
        <w:rPr>
          <w:rFonts w:ascii="黑体" w:hAnsi="黑体" w:eastAsia="黑体"/>
        </w:rPr>
      </w:pPr>
      <w:r>
        <w:rPr>
          <w:rFonts w:hint="eastAsia" w:ascii="黑体" w:hAnsi="黑体" w:eastAsia="黑体"/>
        </w:rPr>
        <w:t>4.1  原则</w:t>
      </w:r>
    </w:p>
    <w:p>
      <w:pPr>
        <w:spacing w:before="156" w:beforeLines="50" w:after="156" w:afterLines="50"/>
        <w:ind w:firstLine="0" w:firstLineChars="0"/>
        <w:jc w:val="both"/>
        <w:outlineLvl w:val="2"/>
      </w:pPr>
      <w:r>
        <w:rPr>
          <w:rFonts w:hint="eastAsia"/>
        </w:rPr>
        <w:t>4.1.1  职责明确</w:t>
      </w:r>
    </w:p>
    <w:p>
      <w:pPr>
        <w:pStyle w:val="62"/>
        <w:numPr>
          <w:ilvl w:val="0"/>
          <w:numId w:val="0"/>
        </w:numPr>
        <w:tabs>
          <w:tab w:val="center" w:pos="4201"/>
          <w:tab w:val="right" w:leader="dot" w:pos="9298"/>
        </w:tabs>
        <w:spacing w:line="360" w:lineRule="auto"/>
        <w:ind w:left="420" w:leftChars="0"/>
        <w:rPr>
          <w:rFonts w:hint="eastAsia" w:eastAsia="宋体"/>
          <w:color w:val="auto"/>
          <w:lang w:eastAsia="zh-CN"/>
        </w:rPr>
      </w:pPr>
      <w:bookmarkStart w:id="30" w:name="_GoBack"/>
      <w:r>
        <w:rPr>
          <w:rFonts w:hint="eastAsia"/>
          <w:color w:val="auto"/>
          <w:lang w:val="en-US" w:eastAsia="zh-CN"/>
        </w:rPr>
        <w:t xml:space="preserve">4.1.1.1  </w:t>
      </w:r>
      <w:r>
        <w:rPr>
          <w:rFonts w:hint="eastAsia"/>
          <w:color w:val="auto"/>
        </w:rPr>
        <w:t>根据数据规模、数据重要性、组织规模等因素，组织应成立安全管理团队，安全管理团队为组织数据及使用安全负责</w:t>
      </w:r>
      <w:r>
        <w:rPr>
          <w:rFonts w:hint="eastAsia"/>
          <w:color w:val="auto"/>
          <w:lang w:val="en-US" w:eastAsia="zh-CN"/>
        </w:rPr>
        <w:t>。</w:t>
      </w:r>
    </w:p>
    <w:p>
      <w:pPr>
        <w:pStyle w:val="62"/>
        <w:numPr>
          <w:ilvl w:val="0"/>
          <w:numId w:val="0"/>
        </w:numPr>
        <w:tabs>
          <w:tab w:val="center" w:pos="4201"/>
          <w:tab w:val="right" w:leader="dot" w:pos="9298"/>
        </w:tabs>
        <w:spacing w:line="360" w:lineRule="auto"/>
        <w:ind w:left="420" w:leftChars="0"/>
        <w:rPr>
          <w:rFonts w:hint="eastAsia" w:eastAsia="宋体"/>
          <w:color w:val="auto"/>
          <w:lang w:eastAsia="zh-CN"/>
        </w:rPr>
      </w:pPr>
      <w:r>
        <w:rPr>
          <w:rFonts w:hint="eastAsia"/>
          <w:color w:val="auto"/>
          <w:lang w:val="en-US" w:eastAsia="zh-CN"/>
        </w:rPr>
        <w:t xml:space="preserve">4.1.1.2  </w:t>
      </w:r>
      <w:r>
        <w:rPr>
          <w:rFonts w:hint="eastAsia"/>
          <w:color w:val="auto"/>
        </w:rPr>
        <w:t>组织应明确内部不同角色的数据安全管理职责</w:t>
      </w:r>
      <w:r>
        <w:rPr>
          <w:rFonts w:hint="eastAsia"/>
          <w:color w:val="auto"/>
          <w:lang w:eastAsia="zh-CN"/>
        </w:rPr>
        <w:t>。</w:t>
      </w:r>
    </w:p>
    <w:p>
      <w:pPr>
        <w:pStyle w:val="62"/>
        <w:numPr>
          <w:ilvl w:val="0"/>
          <w:numId w:val="0"/>
        </w:numPr>
        <w:tabs>
          <w:tab w:val="center" w:pos="4201"/>
          <w:tab w:val="right" w:leader="dot" w:pos="9298"/>
        </w:tabs>
        <w:spacing w:line="360" w:lineRule="auto"/>
        <w:ind w:left="420" w:leftChars="0"/>
        <w:rPr>
          <w:color w:val="auto"/>
        </w:rPr>
      </w:pPr>
      <w:r>
        <w:rPr>
          <w:rFonts w:hint="eastAsia"/>
          <w:color w:val="auto"/>
          <w:lang w:val="en-US" w:eastAsia="zh-CN"/>
        </w:rPr>
        <w:t xml:space="preserve">4.1.1.3  </w:t>
      </w:r>
      <w:r>
        <w:rPr>
          <w:rFonts w:hint="eastAsia"/>
          <w:color w:val="auto"/>
        </w:rPr>
        <w:t>组织应明确大数据生命周期中各项活动的实施主体及安全责任。</w:t>
      </w:r>
    </w:p>
    <w:p>
      <w:pPr>
        <w:spacing w:before="156" w:beforeLines="50" w:after="156" w:afterLines="50"/>
        <w:ind w:firstLine="0" w:firstLineChars="0"/>
        <w:jc w:val="both"/>
        <w:outlineLvl w:val="2"/>
        <w:rPr>
          <w:color w:val="auto"/>
        </w:rPr>
      </w:pPr>
      <w:r>
        <w:rPr>
          <w:rFonts w:hint="eastAsia"/>
          <w:color w:val="auto"/>
        </w:rPr>
        <w:t>4.1.2  合法合规</w:t>
      </w:r>
    </w:p>
    <w:bookmarkEnd w:id="30"/>
    <w:p>
      <w:pPr>
        <w:pStyle w:val="62"/>
        <w:numPr>
          <w:ilvl w:val="0"/>
          <w:numId w:val="0"/>
        </w:numPr>
        <w:tabs>
          <w:tab w:val="center" w:pos="851"/>
          <w:tab w:val="right" w:leader="dot" w:pos="9298"/>
        </w:tabs>
        <w:spacing w:line="360" w:lineRule="auto"/>
        <w:ind w:left="420" w:leftChars="0"/>
        <w:rPr>
          <w:rFonts w:hint="eastAsia" w:eastAsia="宋体"/>
          <w:lang w:eastAsia="zh-CN"/>
        </w:rPr>
      </w:pPr>
      <w:r>
        <w:rPr>
          <w:rFonts w:hint="eastAsia"/>
          <w:lang w:val="en-US" w:eastAsia="zh-CN"/>
        </w:rPr>
        <w:t xml:space="preserve">4.1.2.1 </w:t>
      </w:r>
      <w:r>
        <w:rPr>
          <w:rFonts w:hint="eastAsia"/>
        </w:rPr>
        <w:t>组织应确保所有数据集和数据流的安全</w:t>
      </w:r>
      <w:r>
        <w:rPr>
          <w:rFonts w:hint="eastAsia"/>
          <w:lang w:eastAsia="zh-CN"/>
        </w:rPr>
        <w:t>。</w:t>
      </w:r>
    </w:p>
    <w:p>
      <w:pPr>
        <w:pStyle w:val="62"/>
        <w:numPr>
          <w:ilvl w:val="0"/>
          <w:numId w:val="0"/>
        </w:numPr>
        <w:tabs>
          <w:tab w:val="center" w:pos="851"/>
          <w:tab w:val="right" w:leader="dot" w:pos="9298"/>
        </w:tabs>
        <w:spacing w:line="360" w:lineRule="auto"/>
        <w:ind w:left="420" w:leftChars="0"/>
        <w:rPr>
          <w:rFonts w:hint="eastAsia" w:eastAsia="宋体"/>
          <w:lang w:eastAsia="zh-CN"/>
        </w:rPr>
      </w:pPr>
      <w:r>
        <w:rPr>
          <w:rFonts w:hint="eastAsia"/>
          <w:lang w:val="en-US" w:eastAsia="zh-CN"/>
        </w:rPr>
        <w:t xml:space="preserve">4.1.2.2 </w:t>
      </w:r>
      <w:r>
        <w:rPr>
          <w:rFonts w:hint="eastAsia"/>
        </w:rPr>
        <w:t>组织应正确处理个人信息、重要信息</w:t>
      </w:r>
      <w:r>
        <w:rPr>
          <w:rFonts w:hint="eastAsia"/>
          <w:lang w:eastAsia="zh-CN"/>
        </w:rPr>
        <w:t>。</w:t>
      </w:r>
    </w:p>
    <w:p>
      <w:pPr>
        <w:pStyle w:val="62"/>
        <w:numPr>
          <w:ilvl w:val="0"/>
          <w:numId w:val="0"/>
        </w:numPr>
        <w:tabs>
          <w:tab w:val="center" w:pos="851"/>
          <w:tab w:val="right" w:leader="dot" w:pos="9298"/>
        </w:tabs>
        <w:spacing w:line="360" w:lineRule="auto"/>
        <w:ind w:left="420" w:leftChars="0"/>
        <w:rPr>
          <w:rFonts w:hint="eastAsia" w:eastAsia="宋体"/>
          <w:lang w:eastAsia="zh-CN"/>
        </w:rPr>
      </w:pPr>
      <w:r>
        <w:rPr>
          <w:rFonts w:hint="eastAsia"/>
          <w:lang w:val="en-US" w:eastAsia="zh-CN"/>
        </w:rPr>
        <w:t xml:space="preserve">4.1.2.3 </w:t>
      </w:r>
      <w:r>
        <w:rPr>
          <w:rFonts w:hint="eastAsia"/>
        </w:rPr>
        <w:t>组织应实施合理的跨组织数据保留的策略和实践</w:t>
      </w:r>
      <w:r>
        <w:rPr>
          <w:rFonts w:hint="eastAsia"/>
          <w:lang w:eastAsia="zh-CN"/>
        </w:rPr>
        <w:t>。</w:t>
      </w:r>
    </w:p>
    <w:p>
      <w:pPr>
        <w:pStyle w:val="62"/>
        <w:numPr>
          <w:ilvl w:val="0"/>
          <w:numId w:val="0"/>
        </w:numPr>
        <w:tabs>
          <w:tab w:val="center" w:pos="851"/>
          <w:tab w:val="right" w:leader="dot" w:pos="9298"/>
        </w:tabs>
        <w:spacing w:line="360" w:lineRule="auto"/>
        <w:ind w:left="420" w:leftChars="0"/>
        <w:rPr>
          <w:color w:val="000000"/>
        </w:rPr>
      </w:pPr>
      <w:r>
        <w:rPr>
          <w:rFonts w:hint="eastAsia"/>
          <w:lang w:val="en-US" w:eastAsia="zh-CN"/>
        </w:rPr>
        <w:t xml:space="preserve">4.1.2.4 </w:t>
      </w:r>
      <w:r>
        <w:rPr>
          <w:rFonts w:hint="eastAsia"/>
        </w:rPr>
        <w:t>组织应理解数据相关的法律义务，并履行这些义务。</w:t>
      </w:r>
    </w:p>
    <w:p>
      <w:pPr>
        <w:spacing w:before="156" w:beforeLines="50" w:after="156" w:afterLines="50"/>
        <w:ind w:firstLine="0" w:firstLineChars="0"/>
        <w:jc w:val="both"/>
        <w:outlineLvl w:val="2"/>
      </w:pPr>
      <w:r>
        <w:rPr>
          <w:rFonts w:hint="eastAsia"/>
        </w:rPr>
        <w:t>4.1.3  责任权属</w:t>
      </w:r>
    </w:p>
    <w:p>
      <w:pPr>
        <w:pStyle w:val="62"/>
        <w:numPr>
          <w:ilvl w:val="0"/>
          <w:numId w:val="0"/>
        </w:numPr>
        <w:tabs>
          <w:tab w:val="center" w:pos="851"/>
          <w:tab w:val="right" w:leader="dot" w:pos="9298"/>
        </w:tabs>
        <w:spacing w:line="360" w:lineRule="auto"/>
        <w:ind w:left="420" w:leftChars="0"/>
      </w:pPr>
      <w:r>
        <w:rPr>
          <w:rFonts w:hint="eastAsia"/>
          <w:lang w:val="en-US" w:eastAsia="zh-CN"/>
        </w:rPr>
        <w:t xml:space="preserve">4.1.3.1 </w:t>
      </w:r>
      <w:r>
        <w:rPr>
          <w:rFonts w:hint="eastAsia"/>
        </w:rPr>
        <w:tab/>
      </w:r>
      <w:r>
        <w:rPr>
          <w:rFonts w:hint="eastAsia"/>
        </w:rPr>
        <w:t>当前控制数据的组织应对数据负责，当数据转移给其他组织时，责任不随数据转移而转移。</w:t>
      </w:r>
    </w:p>
    <w:p>
      <w:pPr>
        <w:pStyle w:val="62"/>
        <w:numPr>
          <w:ilvl w:val="0"/>
          <w:numId w:val="0"/>
        </w:numPr>
        <w:tabs>
          <w:tab w:val="center" w:pos="851"/>
          <w:tab w:val="right" w:leader="dot" w:pos="9298"/>
        </w:tabs>
        <w:spacing w:line="360" w:lineRule="auto"/>
        <w:ind w:left="420" w:leftChars="0"/>
      </w:pPr>
      <w:r>
        <w:rPr>
          <w:rFonts w:hint="eastAsia"/>
          <w:lang w:val="en-US" w:eastAsia="zh-CN"/>
        </w:rPr>
        <w:t xml:space="preserve">4.1.3.2 </w:t>
      </w:r>
      <w:r>
        <w:rPr>
          <w:rFonts w:hint="eastAsia"/>
        </w:rPr>
        <w:t>组织在数据转移前，应对数据进行风险评估，确保数据转移后的风险可承受，方可转移数据，并对数据转移给其他组织所造成的数据安全事件承担安全责任。</w:t>
      </w:r>
    </w:p>
    <w:p>
      <w:pPr>
        <w:pStyle w:val="62"/>
        <w:numPr>
          <w:ilvl w:val="0"/>
          <w:numId w:val="0"/>
        </w:numPr>
        <w:tabs>
          <w:tab w:val="center" w:pos="851"/>
          <w:tab w:val="right" w:leader="dot" w:pos="9298"/>
        </w:tabs>
        <w:spacing w:line="360" w:lineRule="auto"/>
        <w:ind w:left="420" w:leftChars="0"/>
        <w:rPr>
          <w:rFonts w:ascii="黑体" w:hAnsi="黑体" w:eastAsia="黑体"/>
        </w:rPr>
      </w:pPr>
      <w:r>
        <w:rPr>
          <w:rFonts w:hint="eastAsia"/>
          <w:lang w:val="en-US" w:eastAsia="zh-CN"/>
        </w:rPr>
        <w:t xml:space="preserve">4.1.3.2 </w:t>
      </w:r>
      <w:r>
        <w:rPr>
          <w:rFonts w:hint="eastAsia"/>
        </w:rPr>
        <w:t>组织在数据转移前，应确保通过合同或其他诸如强制的内部策略等明确界定了接收方接收的数据范围和要求，确保其提供同等或更高的数据保护水平。</w:t>
      </w:r>
    </w:p>
    <w:p>
      <w:pPr>
        <w:spacing w:before="156" w:beforeLines="50" w:after="156" w:afterLines="50"/>
        <w:ind w:firstLine="0" w:firstLineChars="0"/>
        <w:jc w:val="both"/>
        <w:outlineLvl w:val="2"/>
      </w:pPr>
      <w:r>
        <w:rPr>
          <w:rFonts w:hint="eastAsia"/>
        </w:rPr>
        <w:t>4.1.4  最小授权</w:t>
      </w:r>
    </w:p>
    <w:p>
      <w:pPr>
        <w:pStyle w:val="62"/>
        <w:numPr>
          <w:ilvl w:val="0"/>
          <w:numId w:val="0"/>
        </w:numPr>
        <w:tabs>
          <w:tab w:val="center" w:pos="851"/>
          <w:tab w:val="right" w:leader="dot" w:pos="9298"/>
        </w:tabs>
        <w:spacing w:line="360" w:lineRule="auto"/>
        <w:ind w:left="420" w:leftChars="0"/>
      </w:pPr>
      <w:r>
        <w:rPr>
          <w:rFonts w:hint="eastAsia"/>
          <w:lang w:val="en-US" w:eastAsia="zh-CN"/>
        </w:rPr>
        <w:t xml:space="preserve">4.1.4.1  </w:t>
      </w:r>
      <w:r>
        <w:rPr>
          <w:rFonts w:hint="eastAsia"/>
        </w:rPr>
        <w:t>在保证组织业务功能完整实现的基础上应赋予数据活动中各角色最小的操作权限，确保非法用户或异常操作所造成的损失最小。</w:t>
      </w:r>
    </w:p>
    <w:p>
      <w:pPr>
        <w:pStyle w:val="62"/>
        <w:numPr>
          <w:ilvl w:val="0"/>
          <w:numId w:val="0"/>
        </w:numPr>
        <w:tabs>
          <w:tab w:val="center" w:pos="851"/>
          <w:tab w:val="right" w:leader="dot" w:pos="9298"/>
        </w:tabs>
        <w:spacing w:line="360" w:lineRule="auto"/>
        <w:ind w:left="420" w:leftChars="0"/>
      </w:pPr>
      <w:r>
        <w:rPr>
          <w:rFonts w:hint="eastAsia"/>
          <w:lang w:val="en-US" w:eastAsia="zh-CN"/>
        </w:rPr>
        <w:t xml:space="preserve">4.1.4.2  </w:t>
      </w:r>
      <w:r>
        <w:rPr>
          <w:rFonts w:hint="eastAsia"/>
        </w:rPr>
        <w:t>所有角色应使用所授权范围内的数据，非授权范围内的数据使用应进行授权审批。</w:t>
      </w:r>
    </w:p>
    <w:p>
      <w:pPr>
        <w:spacing w:before="156" w:beforeLines="50" w:after="156" w:afterLines="50"/>
        <w:ind w:firstLine="0" w:firstLineChars="0"/>
        <w:jc w:val="both"/>
        <w:outlineLvl w:val="2"/>
      </w:pPr>
      <w:r>
        <w:rPr>
          <w:rFonts w:hint="eastAsia"/>
        </w:rPr>
        <w:t>4.1.5  数据保护</w:t>
      </w:r>
    </w:p>
    <w:p>
      <w:pPr>
        <w:ind w:firstLine="420"/>
        <w:jc w:val="both"/>
      </w:pPr>
      <w:r>
        <w:rPr>
          <w:rFonts w:hint="eastAsia"/>
        </w:rPr>
        <w:t>涉及国家安全、公共利益、商业秘密和个人隐私的重要数据应得到充分保护。数据流通活动不应损害国家安全、公共利益和他人合法权益。数据清洗、加工、脱敏等流程应合规。数据流通中包含用户隐私数据的，应取得用户的同意。</w:t>
      </w:r>
    </w:p>
    <w:p>
      <w:pPr>
        <w:spacing w:before="156" w:beforeLines="50" w:after="156" w:afterLines="50"/>
        <w:ind w:firstLine="0" w:firstLineChars="0"/>
        <w:jc w:val="both"/>
        <w:outlineLvl w:val="2"/>
      </w:pPr>
      <w:r>
        <w:rPr>
          <w:rFonts w:hint="eastAsia"/>
        </w:rPr>
        <w:t>4.1.6  安全审计</w:t>
      </w:r>
    </w:p>
    <w:p>
      <w:pPr>
        <w:ind w:firstLine="420"/>
        <w:jc w:val="both"/>
      </w:pPr>
      <w:r>
        <w:rPr>
          <w:rFonts w:hint="eastAsia"/>
        </w:rPr>
        <w:t>对数据进行修改、查询、导出、删除等操作时，组织应记录相应的操作，记录应可追溯可审查。</w:t>
      </w:r>
    </w:p>
    <w:p>
      <w:pPr>
        <w:spacing w:before="156" w:beforeLines="50" w:after="156" w:afterLines="50"/>
        <w:ind w:firstLine="0" w:firstLineChars="0"/>
        <w:jc w:val="both"/>
        <w:outlineLvl w:val="1"/>
        <w:rPr>
          <w:rFonts w:ascii="黑体" w:hAnsi="黑体" w:eastAsia="黑体"/>
        </w:rPr>
      </w:pPr>
      <w:r>
        <w:rPr>
          <w:rFonts w:hint="eastAsia" w:ascii="黑体" w:hAnsi="黑体" w:eastAsia="黑体"/>
        </w:rPr>
        <w:t>4.2  基本管理要求</w:t>
      </w:r>
    </w:p>
    <w:p>
      <w:pPr>
        <w:spacing w:before="156" w:beforeLines="50" w:after="156" w:afterLines="50"/>
        <w:ind w:firstLine="0" w:firstLineChars="0"/>
        <w:jc w:val="both"/>
        <w:outlineLvl w:val="2"/>
      </w:pPr>
      <w:r>
        <w:rPr>
          <w:rFonts w:hint="eastAsia"/>
        </w:rPr>
        <w:t>4.2.1</w:t>
      </w:r>
      <w:r>
        <w:t xml:space="preserve">  </w:t>
      </w:r>
      <w:r>
        <w:rPr>
          <w:rFonts w:hint="eastAsia"/>
        </w:rPr>
        <w:t>安全管理策略</w:t>
      </w:r>
    </w:p>
    <w:p>
      <w:pPr>
        <w:ind w:firstLine="0" w:firstLineChars="0"/>
        <w:jc w:val="both"/>
        <w:outlineLvl w:val="3"/>
      </w:pPr>
      <w:r>
        <w:rPr>
          <w:rFonts w:hint="eastAsia"/>
        </w:rPr>
        <w:t>4.2.1.1  策略制定</w:t>
      </w:r>
    </w:p>
    <w:p>
      <w:pPr>
        <w:ind w:firstLine="420"/>
        <w:jc w:val="both"/>
      </w:pPr>
      <w:r>
        <w:rPr>
          <w:rFonts w:hint="eastAsia"/>
        </w:rPr>
        <w:t>数据流通服务机构应根据数据流通的安全需求和安全目标，结合自身的实际情况，制定明确的数据流通安全管理策略。</w:t>
      </w:r>
    </w:p>
    <w:p>
      <w:pPr>
        <w:ind w:firstLine="0" w:firstLineChars="0"/>
        <w:jc w:val="both"/>
        <w:outlineLvl w:val="3"/>
      </w:pPr>
      <w:r>
        <w:rPr>
          <w:rFonts w:hint="eastAsia"/>
        </w:rPr>
        <w:t>4.2.1.2  策略更新</w:t>
      </w:r>
    </w:p>
    <w:p>
      <w:pPr>
        <w:ind w:firstLine="420"/>
        <w:jc w:val="both"/>
      </w:pPr>
      <w:r>
        <w:rPr>
          <w:rFonts w:hint="eastAsia"/>
        </w:rPr>
        <w:t>数据流通服务机构应根据环境、平台和威胁的变化情况，及时调整现有的安全管理策略，制定新的防护计划，实施必要的防护措施，动态保障平台的安全性。</w:t>
      </w:r>
    </w:p>
    <w:p>
      <w:pPr>
        <w:spacing w:before="156" w:beforeLines="50" w:after="156" w:afterLines="50"/>
        <w:ind w:firstLine="0" w:firstLineChars="0"/>
        <w:jc w:val="both"/>
        <w:outlineLvl w:val="2"/>
      </w:pPr>
      <w:r>
        <w:rPr>
          <w:rFonts w:hint="eastAsia"/>
        </w:rPr>
        <w:t>4.2.2  安全管理机构</w:t>
      </w:r>
    </w:p>
    <w:p>
      <w:pPr>
        <w:ind w:firstLine="0" w:firstLineChars="0"/>
        <w:jc w:val="both"/>
        <w:outlineLvl w:val="3"/>
      </w:pPr>
      <w:r>
        <w:rPr>
          <w:rFonts w:hint="eastAsia"/>
        </w:rPr>
        <w:t>4.2.2.1  数据流通服务机构基本要求</w:t>
      </w:r>
    </w:p>
    <w:p>
      <w:pPr>
        <w:ind w:firstLine="420"/>
        <w:jc w:val="both"/>
      </w:pPr>
      <w:r>
        <w:rPr>
          <w:rFonts w:hint="eastAsia"/>
        </w:rPr>
        <w:t>数据流通服务机构应满足以下要求：</w:t>
      </w:r>
    </w:p>
    <w:p>
      <w:pPr>
        <w:pStyle w:val="50"/>
        <w:numPr>
          <w:ilvl w:val="0"/>
          <w:numId w:val="3"/>
        </w:numPr>
        <w:ind w:firstLineChars="0"/>
        <w:jc w:val="both"/>
      </w:pPr>
      <w:r>
        <w:rPr>
          <w:rFonts w:hint="eastAsia"/>
        </w:rPr>
        <w:t>应为无违法违规记录的境内合法组织；</w:t>
      </w:r>
    </w:p>
    <w:p>
      <w:pPr>
        <w:pStyle w:val="50"/>
        <w:numPr>
          <w:ilvl w:val="0"/>
          <w:numId w:val="3"/>
        </w:numPr>
        <w:ind w:firstLineChars="0"/>
        <w:jc w:val="both"/>
      </w:pPr>
      <w:r>
        <w:rPr>
          <w:rFonts w:hint="eastAsia"/>
        </w:rPr>
        <w:t>应得到我国行政或主管部门的授权或许可；</w:t>
      </w:r>
    </w:p>
    <w:p>
      <w:pPr>
        <w:pStyle w:val="50"/>
        <w:numPr>
          <w:ilvl w:val="0"/>
          <w:numId w:val="3"/>
        </w:numPr>
        <w:ind w:firstLineChars="0"/>
        <w:jc w:val="both"/>
      </w:pPr>
      <w:r>
        <w:rPr>
          <w:rFonts w:hint="eastAsia"/>
        </w:rPr>
        <w:t>应具备承担数据流通服务相对应的安全保障能力；</w:t>
      </w:r>
    </w:p>
    <w:p>
      <w:pPr>
        <w:pStyle w:val="50"/>
        <w:numPr>
          <w:ilvl w:val="0"/>
          <w:numId w:val="3"/>
        </w:numPr>
        <w:ind w:firstLineChars="0"/>
        <w:jc w:val="both"/>
      </w:pPr>
      <w:r>
        <w:rPr>
          <w:rFonts w:hint="eastAsia"/>
        </w:rPr>
        <w:t>应将从事境内数据流通服务的数据流通平台部署在我国境内。</w:t>
      </w:r>
    </w:p>
    <w:p>
      <w:pPr>
        <w:ind w:firstLine="0" w:firstLineChars="0"/>
        <w:jc w:val="both"/>
        <w:outlineLvl w:val="3"/>
      </w:pPr>
      <w:r>
        <w:rPr>
          <w:rFonts w:hint="eastAsia"/>
        </w:rPr>
        <w:t>4.2.2.2  数据流通安全管理机构成立要求</w:t>
      </w:r>
    </w:p>
    <w:p>
      <w:pPr>
        <w:ind w:firstLine="420"/>
        <w:jc w:val="both"/>
      </w:pPr>
      <w:r>
        <w:rPr>
          <w:rFonts w:hint="eastAsia"/>
        </w:rPr>
        <w:t>数据流通安全管理机构成立应满足以下要求：</w:t>
      </w:r>
    </w:p>
    <w:p>
      <w:pPr>
        <w:pStyle w:val="50"/>
        <w:numPr>
          <w:ilvl w:val="0"/>
          <w:numId w:val="4"/>
        </w:numPr>
        <w:ind w:firstLineChars="0"/>
        <w:jc w:val="both"/>
      </w:pPr>
      <w:r>
        <w:rPr>
          <w:rFonts w:hint="eastAsia"/>
        </w:rPr>
        <w:t>应由数据流通服务机构主导成立；</w:t>
      </w:r>
    </w:p>
    <w:p>
      <w:pPr>
        <w:pStyle w:val="50"/>
        <w:numPr>
          <w:ilvl w:val="0"/>
          <w:numId w:val="4"/>
        </w:numPr>
        <w:ind w:firstLineChars="0"/>
        <w:jc w:val="both"/>
      </w:pPr>
      <w:r>
        <w:rPr>
          <w:rFonts w:hint="eastAsia"/>
        </w:rPr>
        <w:t>应由数据流通服务机构主管领导任责任人；</w:t>
      </w:r>
    </w:p>
    <w:p>
      <w:pPr>
        <w:pStyle w:val="50"/>
        <w:numPr>
          <w:ilvl w:val="0"/>
          <w:numId w:val="4"/>
        </w:numPr>
        <w:ind w:firstLineChars="0"/>
        <w:jc w:val="both"/>
      </w:pPr>
      <w:r>
        <w:rPr>
          <w:rFonts w:hint="eastAsia"/>
        </w:rPr>
        <w:t>应由信息化、业务工作、保卫和人事等有关部门人员共同组成，以组织协调整个机构的安全管理工作。</w:t>
      </w:r>
    </w:p>
    <w:p>
      <w:pPr>
        <w:ind w:firstLine="0" w:firstLineChars="0"/>
        <w:jc w:val="both"/>
        <w:outlineLvl w:val="3"/>
      </w:pPr>
      <w:r>
        <w:rPr>
          <w:rFonts w:hint="eastAsia"/>
        </w:rPr>
        <w:t>4.2.2.3  数据流通安全管理机构职责</w:t>
      </w:r>
    </w:p>
    <w:p>
      <w:pPr>
        <w:ind w:firstLine="420"/>
        <w:jc w:val="both"/>
      </w:pPr>
      <w:r>
        <w:rPr>
          <w:rFonts w:hint="eastAsia"/>
        </w:rPr>
        <w:t>数据流通安全管理机构应履行以下职责：</w:t>
      </w:r>
    </w:p>
    <w:p>
      <w:pPr>
        <w:pStyle w:val="50"/>
        <w:numPr>
          <w:ilvl w:val="0"/>
          <w:numId w:val="5"/>
        </w:numPr>
        <w:ind w:firstLineChars="0"/>
        <w:jc w:val="both"/>
      </w:pPr>
      <w:r>
        <w:rPr>
          <w:rFonts w:hint="eastAsia"/>
        </w:rPr>
        <w:t>组织、协调和指导数据流通服务机构的数据流通平台的建设、使用和维护开发工作；</w:t>
      </w:r>
    </w:p>
    <w:p>
      <w:pPr>
        <w:pStyle w:val="50"/>
        <w:numPr>
          <w:ilvl w:val="0"/>
          <w:numId w:val="5"/>
        </w:numPr>
        <w:ind w:firstLineChars="0"/>
        <w:jc w:val="both"/>
      </w:pPr>
      <w:r>
        <w:rPr>
          <w:rFonts w:hint="eastAsia"/>
        </w:rPr>
        <w:t>组织制定数据流通安全管理策略、工作流程和各种规章制度；</w:t>
      </w:r>
    </w:p>
    <w:p>
      <w:pPr>
        <w:pStyle w:val="50"/>
        <w:numPr>
          <w:ilvl w:val="0"/>
          <w:numId w:val="5"/>
        </w:numPr>
        <w:ind w:firstLineChars="0"/>
        <w:jc w:val="both"/>
      </w:pPr>
      <w:r>
        <w:rPr>
          <w:rFonts w:hint="eastAsia"/>
        </w:rPr>
        <w:t>组织对数据流通平台的安全检查和风险评估；</w:t>
      </w:r>
    </w:p>
    <w:p>
      <w:pPr>
        <w:pStyle w:val="50"/>
        <w:numPr>
          <w:ilvl w:val="0"/>
          <w:numId w:val="5"/>
        </w:numPr>
        <w:ind w:firstLineChars="0"/>
        <w:jc w:val="both"/>
      </w:pPr>
      <w:r>
        <w:rPr>
          <w:rFonts w:hint="eastAsia"/>
        </w:rPr>
        <w:t>审查和确定数据流通平台用户的职责和权限。</w:t>
      </w:r>
    </w:p>
    <w:p>
      <w:pPr>
        <w:spacing w:before="156" w:beforeLines="50" w:after="156" w:afterLines="50"/>
        <w:ind w:firstLine="0" w:firstLineChars="0"/>
        <w:jc w:val="both"/>
        <w:outlineLvl w:val="2"/>
      </w:pPr>
      <w:r>
        <w:rPr>
          <w:rFonts w:hint="eastAsia"/>
        </w:rPr>
        <w:t>4.2.3  安全管理制度</w:t>
      </w:r>
    </w:p>
    <w:p>
      <w:pPr>
        <w:ind w:firstLine="0" w:firstLineChars="0"/>
        <w:jc w:val="both"/>
        <w:outlineLvl w:val="3"/>
      </w:pPr>
      <w:r>
        <w:rPr>
          <w:rFonts w:hint="eastAsia"/>
        </w:rPr>
        <w:t>4.2.3.1  安全责任制度</w:t>
      </w:r>
    </w:p>
    <w:p>
      <w:pPr>
        <w:ind w:firstLine="420"/>
        <w:jc w:val="both"/>
      </w:pPr>
      <w:r>
        <w:rPr>
          <w:rFonts w:hint="eastAsia"/>
        </w:rPr>
        <w:t>数据流通安全管理机构应建立相应的安全责任制度，明确岗位职责，实行领导责任制，层层落实，责任到人，使平台的每个工作人员都明确应承担的责任和义务。</w:t>
      </w:r>
    </w:p>
    <w:p>
      <w:pPr>
        <w:ind w:firstLine="0" w:firstLineChars="0"/>
        <w:jc w:val="both"/>
        <w:outlineLvl w:val="3"/>
      </w:pPr>
      <w:r>
        <w:rPr>
          <w:rFonts w:hint="eastAsia"/>
        </w:rPr>
        <w:t>4.2.3.2  安全工作制度</w:t>
      </w:r>
    </w:p>
    <w:p>
      <w:pPr>
        <w:ind w:firstLine="420"/>
        <w:jc w:val="both"/>
      </w:pPr>
      <w:r>
        <w:rPr>
          <w:rFonts w:hint="eastAsia"/>
        </w:rPr>
        <w:t>数据流通安全管理机构应在数据准备、流通磋商、流通实施、流通结束的全过程中，从人员、物理设施与环境、运行与开发、数据安全和个人信息安全保护等方面制定相应的安全工作制度。</w:t>
      </w:r>
    </w:p>
    <w:p>
      <w:pPr>
        <w:pStyle w:val="2"/>
      </w:pPr>
      <w:bookmarkStart w:id="19" w:name="_Toc4698101"/>
      <w:r>
        <w:rPr>
          <w:rFonts w:hint="eastAsia"/>
        </w:rPr>
        <w:t>5  数据流通过程</w:t>
      </w:r>
      <w:bookmarkEnd w:id="19"/>
    </w:p>
    <w:p>
      <w:pPr>
        <w:spacing w:before="156" w:beforeLines="50" w:after="156" w:afterLines="50"/>
        <w:ind w:firstLine="0" w:firstLineChars="0"/>
        <w:jc w:val="both"/>
        <w:outlineLvl w:val="1"/>
        <w:rPr>
          <w:rFonts w:ascii="黑体" w:hAnsi="黑体" w:eastAsia="黑体"/>
        </w:rPr>
      </w:pPr>
      <w:r>
        <w:rPr>
          <w:rFonts w:hint="eastAsia" w:ascii="黑体" w:hAnsi="黑体" w:eastAsia="黑体"/>
        </w:rPr>
        <w:t>5.1  数据开放过程</w:t>
      </w:r>
    </w:p>
    <w:p>
      <w:pPr>
        <w:pStyle w:val="96"/>
        <w:numPr>
          <w:ilvl w:val="0"/>
          <w:numId w:val="0"/>
        </w:numPr>
        <w:spacing w:before="156" w:after="156" w:line="360" w:lineRule="auto"/>
        <w:ind w:firstLine="420" w:firstLineChars="200"/>
        <w:jc w:val="both"/>
        <w:outlineLvl w:val="9"/>
        <w:rPr>
          <w:color w:val="000000" w:themeColor="text1"/>
        </w:rPr>
      </w:pPr>
      <w:bookmarkStart w:id="20" w:name="_Toc486338483"/>
      <w:r>
        <w:rPr>
          <w:rFonts w:hint="eastAsia" w:asciiTheme="minorEastAsia" w:hAnsiTheme="minorEastAsia" w:eastAsiaTheme="minorEastAsia"/>
          <w:color w:val="000000" w:themeColor="text1"/>
          <w:kern w:val="2"/>
        </w:rPr>
        <w:t>数据开放是数据提供方、数据接收方对原始数据或加工处理后的数据依照既定开放过程进行的活动，数据开放服务参考框架如图1</w:t>
      </w:r>
      <w:bookmarkStart w:id="21" w:name="_Toc485300305"/>
      <w:bookmarkStart w:id="22" w:name="_Toc485049732"/>
      <w:bookmarkStart w:id="23" w:name="_Toc485227536"/>
      <w:bookmarkStart w:id="24" w:name="_Toc485134907"/>
      <w:bookmarkStart w:id="25" w:name="_Toc485298268"/>
      <w:bookmarkStart w:id="26" w:name="_Toc485128876"/>
      <w:bookmarkStart w:id="27" w:name="_Toc485134944"/>
      <w:r>
        <w:rPr>
          <w:rFonts w:hint="eastAsia" w:asciiTheme="minorEastAsia" w:hAnsiTheme="minorEastAsia" w:eastAsiaTheme="minorEastAsia"/>
          <w:color w:val="000000" w:themeColor="text1"/>
          <w:kern w:val="2"/>
        </w:rPr>
        <w:t>所示。数据开放涉及到数据提供方、数据接收方和数据流通服务机构。数据流通服务机构依托数据流通平台，为数据提供方、数据接收方提供数据开放服务。数据开放过程一般包括数据准备、数据发布和开放结束三个环节。</w:t>
      </w:r>
      <w:bookmarkEnd w:id="20"/>
      <w:bookmarkEnd w:id="21"/>
      <w:bookmarkEnd w:id="22"/>
      <w:bookmarkEnd w:id="23"/>
      <w:bookmarkEnd w:id="24"/>
      <w:bookmarkEnd w:id="25"/>
      <w:bookmarkEnd w:id="26"/>
      <w:bookmarkEnd w:id="27"/>
    </w:p>
    <w:p>
      <w:pPr>
        <w:ind w:firstLine="0" w:firstLineChars="0"/>
        <w:jc w:val="center"/>
      </w:pPr>
      <w:r>
        <w:object>
          <v:shape id="_x0000_i1025" o:spt="75" type="#_x0000_t75" style="height:129pt;width:393pt;" o:ole="t" filled="f" o:preferrelative="t" stroked="f" coordsize="21600,21600">
            <v:path/>
            <v:fill on="f" focussize="0,0"/>
            <v:stroke on="f" joinstyle="miter"/>
            <v:imagedata r:id="rId11" o:title=""/>
            <o:lock v:ext="edit" aspectratio="t"/>
            <w10:wrap type="none"/>
            <w10:anchorlock/>
          </v:shape>
          <o:OLEObject Type="Embed" ProgID="Visio.Drawing.11" ShapeID="_x0000_i1025" DrawAspect="Content" ObjectID="_1468075725" r:id="rId10">
            <o:LockedField>false</o:LockedField>
          </o:OLEObject>
        </w:object>
      </w:r>
    </w:p>
    <w:p>
      <w:pPr>
        <w:ind w:firstLine="0" w:firstLineChars="0"/>
        <w:jc w:val="center"/>
        <w:rPr>
          <w:rFonts w:ascii="Times New Roman" w:hAnsi="Times New Roman" w:cs="Times New Roman"/>
          <w:color w:val="FF0000"/>
          <w:szCs w:val="21"/>
        </w:rPr>
      </w:pPr>
      <w:r>
        <w:rPr>
          <w:rFonts w:ascii="Times New Roman" w:hAnsi="Times New Roman" w:cs="Times New Roman"/>
        </w:rPr>
        <w:t>图</w:t>
      </w:r>
      <w:r>
        <w:rPr>
          <w:rFonts w:hint="eastAsia" w:ascii="Times New Roman" w:hAnsi="Times New Roman" w:cs="Times New Roman"/>
        </w:rPr>
        <w:t xml:space="preserve"> </w:t>
      </w:r>
      <w:r>
        <w:rPr>
          <w:rFonts w:ascii="Times New Roman" w:hAnsi="Times New Roman" w:cs="Times New Roman"/>
        </w:rPr>
        <w:t>1 数据开放服务参考框架</w:t>
      </w:r>
    </w:p>
    <w:p>
      <w:pPr>
        <w:spacing w:before="156" w:beforeLines="50" w:after="156" w:afterLines="50"/>
        <w:ind w:firstLine="0" w:firstLineChars="0"/>
        <w:jc w:val="both"/>
        <w:outlineLvl w:val="1"/>
        <w:rPr>
          <w:rFonts w:ascii="黑体" w:hAnsi="黑体" w:eastAsia="黑体"/>
        </w:rPr>
      </w:pPr>
      <w:r>
        <w:rPr>
          <w:rFonts w:hint="eastAsia" w:ascii="黑体" w:hAnsi="黑体" w:eastAsia="黑体"/>
        </w:rPr>
        <w:t>5.2  数据共享过程</w:t>
      </w:r>
    </w:p>
    <w:p>
      <w:pPr>
        <w:pStyle w:val="96"/>
        <w:numPr>
          <w:ilvl w:val="0"/>
          <w:numId w:val="0"/>
        </w:numPr>
        <w:spacing w:before="156" w:after="156" w:line="360" w:lineRule="auto"/>
        <w:ind w:firstLine="420" w:firstLineChars="200"/>
        <w:jc w:val="both"/>
        <w:outlineLvl w:val="9"/>
        <w:rPr>
          <w:color w:val="000000" w:themeColor="text1"/>
        </w:rPr>
      </w:pPr>
      <w:r>
        <w:rPr>
          <w:rFonts w:hint="eastAsia" w:asciiTheme="minorEastAsia" w:hAnsiTheme="minorEastAsia" w:eastAsiaTheme="minorEastAsia"/>
          <w:color w:val="000000" w:themeColor="text1"/>
          <w:kern w:val="2"/>
        </w:rPr>
        <w:t>数据共享是数据提供方、数据接收方对原始数据或加工处理后的数据依照既定共享过程进行的活动。数据共享服务参考框架如图2所示。数据共享涉及到数据提供方、数据接收方和数据流通服务机构。数据流通服务机构依托数据流通平台，为数据提供方、数据接收方提供数据共享服务。数据共享过程一般包括数据准备、共享磋商、共享实施和共享结束四个环节。</w:t>
      </w:r>
    </w:p>
    <w:p>
      <w:pPr>
        <w:ind w:firstLine="0" w:firstLineChars="0"/>
        <w:jc w:val="center"/>
      </w:pPr>
      <w:r>
        <w:object>
          <v:shape id="_x0000_i1026" o:spt="75" type="#_x0000_t75" style="height:135.75pt;width:457.5pt;" o:ole="t" filled="f" o:preferrelative="t" stroked="f" coordsize="21600,21600">
            <v:path/>
            <v:fill on="f" focussize="0,0"/>
            <v:stroke on="f" joinstyle="miter"/>
            <v:imagedata r:id="rId13" o:title=""/>
            <o:lock v:ext="edit" aspectratio="t"/>
            <w10:wrap type="none"/>
            <w10:anchorlock/>
          </v:shape>
          <o:OLEObject Type="Embed" ProgID="Visio.Drawing.11" ShapeID="_x0000_i1026" DrawAspect="Content" ObjectID="_1468075726" r:id="rId12">
            <o:LockedField>false</o:LockedField>
          </o:OLEObject>
        </w:object>
      </w:r>
    </w:p>
    <w:p>
      <w:pPr>
        <w:ind w:firstLine="0" w:firstLineChars="0"/>
        <w:jc w:val="center"/>
        <w:rPr>
          <w:rFonts w:ascii="Times New Roman" w:hAnsi="Times New Roman" w:cs="Times New Roman"/>
          <w:color w:val="FF0000"/>
          <w:szCs w:val="21"/>
        </w:rPr>
      </w:pPr>
      <w:r>
        <w:rPr>
          <w:rFonts w:ascii="Times New Roman" w:hAnsi="Times New Roman" w:cs="Times New Roman"/>
        </w:rPr>
        <w:t>图</w:t>
      </w:r>
      <w:r>
        <w:rPr>
          <w:rFonts w:hint="eastAsia" w:ascii="Times New Roman" w:hAnsi="Times New Roman" w:cs="Times New Roman"/>
        </w:rPr>
        <w:t xml:space="preserve"> 2</w:t>
      </w:r>
      <w:r>
        <w:rPr>
          <w:rFonts w:ascii="Times New Roman" w:hAnsi="Times New Roman" w:cs="Times New Roman"/>
        </w:rPr>
        <w:t xml:space="preserve"> 数据</w:t>
      </w:r>
      <w:r>
        <w:rPr>
          <w:rFonts w:hint="eastAsia" w:ascii="Times New Roman" w:hAnsi="Times New Roman" w:cs="Times New Roman"/>
        </w:rPr>
        <w:t>共享</w:t>
      </w:r>
      <w:r>
        <w:rPr>
          <w:rFonts w:ascii="Times New Roman" w:hAnsi="Times New Roman" w:cs="Times New Roman"/>
        </w:rPr>
        <w:t>服务参考框架</w:t>
      </w:r>
    </w:p>
    <w:p>
      <w:pPr>
        <w:pStyle w:val="2"/>
      </w:pPr>
      <w:bookmarkStart w:id="28" w:name="_Toc4698102"/>
      <w:r>
        <w:rPr>
          <w:rFonts w:hint="eastAsia"/>
        </w:rPr>
        <w:t>6</w:t>
      </w:r>
      <w:r>
        <w:t xml:space="preserve">  </w:t>
      </w:r>
      <w:r>
        <w:rPr>
          <w:rFonts w:hint="eastAsia"/>
        </w:rPr>
        <w:t>数据开放安全管理要求</w:t>
      </w:r>
      <w:bookmarkEnd w:id="28"/>
    </w:p>
    <w:p>
      <w:pPr>
        <w:spacing w:before="156" w:beforeLines="50" w:after="156" w:afterLines="50"/>
        <w:ind w:firstLine="0" w:firstLineChars="0"/>
        <w:jc w:val="both"/>
        <w:outlineLvl w:val="1"/>
      </w:pPr>
      <w:r>
        <w:rPr>
          <w:rFonts w:hint="eastAsia"/>
        </w:rPr>
        <w:t>6</w:t>
      </w:r>
      <w:r>
        <w:t xml:space="preserve">.1 </w:t>
      </w:r>
      <w:r>
        <w:rPr>
          <w:rFonts w:hint="eastAsia"/>
        </w:rPr>
        <w:t>数据准备</w:t>
      </w:r>
    </w:p>
    <w:p>
      <w:pPr>
        <w:spacing w:before="156" w:beforeLines="50" w:after="156" w:afterLines="50"/>
        <w:ind w:firstLine="0" w:firstLineChars="0"/>
        <w:jc w:val="both"/>
        <w:outlineLvl w:val="2"/>
        <w:rPr>
          <w:rFonts w:hint="eastAsia"/>
        </w:rPr>
      </w:pPr>
      <w:r>
        <w:rPr>
          <w:rFonts w:hint="eastAsia"/>
        </w:rPr>
        <w:t>6.1.1  数据提供方要求</w:t>
      </w:r>
    </w:p>
    <w:p>
      <w:pPr>
        <w:ind w:firstLine="420"/>
        <w:jc w:val="both"/>
      </w:pPr>
      <w:r>
        <w:rPr>
          <w:rFonts w:hint="eastAsia"/>
        </w:rPr>
        <w:t>数据提供方应满足以下要求：</w:t>
      </w:r>
    </w:p>
    <w:p>
      <w:pPr>
        <w:pStyle w:val="50"/>
        <w:numPr>
          <w:ilvl w:val="0"/>
          <w:numId w:val="6"/>
        </w:numPr>
        <w:ind w:firstLineChars="0"/>
        <w:jc w:val="both"/>
      </w:pPr>
      <w:r>
        <w:rPr>
          <w:rFonts w:hint="eastAsia"/>
        </w:rPr>
        <w:t>应为无违法违规记录的境内合法组织或自然人；</w:t>
      </w:r>
    </w:p>
    <w:p>
      <w:pPr>
        <w:pStyle w:val="50"/>
        <w:numPr>
          <w:ilvl w:val="0"/>
          <w:numId w:val="6"/>
        </w:numPr>
        <w:ind w:firstLineChars="0"/>
        <w:jc w:val="both"/>
      </w:pPr>
      <w:r>
        <w:rPr>
          <w:rFonts w:hint="eastAsia"/>
        </w:rPr>
        <w:t>应完成在数据流通服务机构的注册，并经数据流通服务机构审核通过。</w:t>
      </w:r>
    </w:p>
    <w:p>
      <w:pPr>
        <w:spacing w:before="156" w:beforeLines="50" w:after="156" w:afterLines="50"/>
        <w:ind w:firstLine="0" w:firstLineChars="0"/>
        <w:jc w:val="both"/>
        <w:outlineLvl w:val="2"/>
      </w:pPr>
      <w:r>
        <w:rPr>
          <w:rFonts w:hint="eastAsia"/>
        </w:rPr>
        <w:t>6.1.2  数据源安全</w:t>
      </w:r>
    </w:p>
    <w:p>
      <w:pPr>
        <w:ind w:firstLine="0" w:firstLineChars="0"/>
        <w:jc w:val="both"/>
        <w:outlineLvl w:val="3"/>
        <w:rPr>
          <w:rFonts w:hint="eastAsia"/>
        </w:rPr>
      </w:pPr>
      <w:r>
        <w:rPr>
          <w:rFonts w:hint="eastAsia"/>
        </w:rPr>
        <w:t>6.1.2.1  数据安全要求</w:t>
      </w:r>
    </w:p>
    <w:p>
      <w:pPr>
        <w:ind w:firstLine="420"/>
        <w:jc w:val="both"/>
      </w:pPr>
      <w:r>
        <w:rPr>
          <w:rFonts w:hint="eastAsia"/>
        </w:rPr>
        <w:t>数据流通安全管理机构应确保数据满足以下安全要求：</w:t>
      </w:r>
    </w:p>
    <w:p>
      <w:pPr>
        <w:pStyle w:val="50"/>
        <w:numPr>
          <w:ilvl w:val="0"/>
          <w:numId w:val="7"/>
        </w:numPr>
        <w:ind w:firstLineChars="0"/>
        <w:jc w:val="both"/>
      </w:pPr>
      <w:r>
        <w:rPr>
          <w:rFonts w:hint="eastAsia"/>
        </w:rPr>
        <w:t>应采用防计算机病毒系统对数据进行安全性扫描，确保数据的安全可靠；</w:t>
      </w:r>
    </w:p>
    <w:p>
      <w:pPr>
        <w:pStyle w:val="50"/>
        <w:numPr>
          <w:ilvl w:val="0"/>
          <w:numId w:val="7"/>
        </w:numPr>
        <w:ind w:firstLineChars="0"/>
        <w:jc w:val="both"/>
      </w:pPr>
      <w:r>
        <w:rPr>
          <w:rFonts w:hint="eastAsia"/>
        </w:rPr>
        <w:t>参与开放的数据应是真实可靠的数据，不应有蓄意伪造、篡改等造成数据污染行为；</w:t>
      </w:r>
    </w:p>
    <w:p>
      <w:pPr>
        <w:pStyle w:val="50"/>
        <w:numPr>
          <w:ilvl w:val="0"/>
          <w:numId w:val="7"/>
        </w:numPr>
        <w:ind w:firstLineChars="0"/>
        <w:jc w:val="both"/>
      </w:pPr>
      <w:r>
        <w:rPr>
          <w:rFonts w:hint="eastAsia"/>
        </w:rPr>
        <w:t>参与开放的数据不应携带涉密、商业秘密、隐私等敏感信息和谣言、反动言论等违法信息。</w:t>
      </w:r>
    </w:p>
    <w:p>
      <w:pPr>
        <w:ind w:firstLine="0" w:firstLineChars="0"/>
        <w:jc w:val="both"/>
        <w:outlineLvl w:val="3"/>
        <w:rPr>
          <w:rFonts w:hint="eastAsia"/>
        </w:rPr>
      </w:pPr>
      <w:r>
        <w:rPr>
          <w:rFonts w:hint="eastAsia"/>
        </w:rPr>
        <w:t>6.1.2.2  数据源平台安全</w:t>
      </w:r>
    </w:p>
    <w:p>
      <w:pPr>
        <w:ind w:firstLine="420"/>
        <w:jc w:val="both"/>
      </w:pPr>
      <w:r>
        <w:rPr>
          <w:rFonts w:hint="eastAsia"/>
        </w:rPr>
        <w:t>数据流通安全管理机构应确保数据源平台满足以下安全要求：</w:t>
      </w:r>
    </w:p>
    <w:p>
      <w:pPr>
        <w:pStyle w:val="50"/>
        <w:numPr>
          <w:ilvl w:val="0"/>
          <w:numId w:val="8"/>
        </w:numPr>
        <w:ind w:firstLineChars="0"/>
        <w:jc w:val="both"/>
      </w:pPr>
      <w:r>
        <w:rPr>
          <w:rFonts w:hint="eastAsia"/>
        </w:rPr>
        <w:t>应制定文档化的明确的平台安全性能检测策略；</w:t>
      </w:r>
    </w:p>
    <w:p>
      <w:pPr>
        <w:pStyle w:val="50"/>
        <w:numPr>
          <w:ilvl w:val="0"/>
          <w:numId w:val="8"/>
        </w:numPr>
        <w:ind w:firstLineChars="0"/>
        <w:jc w:val="both"/>
      </w:pPr>
      <w:r>
        <w:rPr>
          <w:rFonts w:hint="eastAsia"/>
        </w:rPr>
        <w:t>应采用国家相关主管部门批准使用的检测工具对平台进行安全性能检测，检测工具版本应及时更新；</w:t>
      </w:r>
    </w:p>
    <w:p>
      <w:pPr>
        <w:pStyle w:val="50"/>
        <w:numPr>
          <w:ilvl w:val="0"/>
          <w:numId w:val="8"/>
        </w:numPr>
        <w:ind w:firstLineChars="0"/>
        <w:jc w:val="both"/>
      </w:pPr>
      <w:r>
        <w:rPr>
          <w:rFonts w:hint="eastAsia"/>
        </w:rPr>
        <w:t>应对平台安全性能检测数据进行详细记录和分析，并对发现的漏洞和脆弱点及时修补。</w:t>
      </w:r>
    </w:p>
    <w:p>
      <w:pPr>
        <w:ind w:firstLine="0" w:firstLineChars="0"/>
        <w:jc w:val="both"/>
        <w:outlineLvl w:val="3"/>
      </w:pPr>
      <w:r>
        <w:rPr>
          <w:rFonts w:hint="eastAsia"/>
        </w:rPr>
        <w:t>6.1.2.3  数据分类要求</w:t>
      </w:r>
    </w:p>
    <w:p>
      <w:pPr>
        <w:ind w:firstLine="420"/>
        <w:jc w:val="both"/>
      </w:pPr>
      <w:r>
        <w:rPr>
          <w:rFonts w:hint="eastAsia"/>
        </w:rPr>
        <w:t>应依据</w:t>
      </w:r>
      <w:r>
        <w:t>DB52/T 1123-2016</w:t>
      </w:r>
      <w:r>
        <w:rPr>
          <w:rFonts w:hint="eastAsia"/>
        </w:rPr>
        <w:t>等相关文件对开放的数据进行分类，数据分类应满足以下要求：</w:t>
      </w:r>
    </w:p>
    <w:p>
      <w:pPr>
        <w:ind w:firstLine="420"/>
        <w:jc w:val="both"/>
      </w:pPr>
      <w:r>
        <w:rPr>
          <w:rFonts w:hint="eastAsia"/>
        </w:rPr>
        <w:t>a)</w:t>
      </w:r>
      <w:r>
        <w:rPr>
          <w:rFonts w:hint="eastAsia"/>
        </w:rPr>
        <w:tab/>
      </w:r>
      <w:r>
        <w:rPr>
          <w:rFonts w:hint="eastAsia"/>
        </w:rPr>
        <w:t>数据分类应易于理解；</w:t>
      </w:r>
    </w:p>
    <w:p>
      <w:pPr>
        <w:ind w:firstLine="420"/>
        <w:jc w:val="both"/>
      </w:pPr>
      <w:r>
        <w:rPr>
          <w:rFonts w:hint="eastAsia"/>
        </w:rPr>
        <w:t>b)</w:t>
      </w:r>
      <w:r>
        <w:rPr>
          <w:rFonts w:hint="eastAsia"/>
        </w:rPr>
        <w:tab/>
      </w:r>
      <w:r>
        <w:rPr>
          <w:rFonts w:hint="eastAsia"/>
        </w:rPr>
        <w:t>应形成文档化的数据分类条目，便于查询。</w:t>
      </w:r>
    </w:p>
    <w:p>
      <w:pPr>
        <w:spacing w:before="156" w:beforeLines="50" w:after="156" w:afterLines="50"/>
        <w:ind w:firstLine="0" w:firstLineChars="0"/>
        <w:jc w:val="both"/>
        <w:outlineLvl w:val="2"/>
      </w:pPr>
      <w:r>
        <w:rPr>
          <w:rFonts w:hint="eastAsia"/>
        </w:rPr>
        <w:t>6.1.3  访问控制策略</w:t>
      </w:r>
    </w:p>
    <w:p>
      <w:pPr>
        <w:ind w:firstLine="0" w:firstLineChars="0"/>
        <w:jc w:val="both"/>
        <w:outlineLvl w:val="3"/>
      </w:pPr>
      <w:r>
        <w:rPr>
          <w:rFonts w:hint="eastAsia"/>
        </w:rPr>
        <w:t>6.1.3.1  策略制定</w:t>
      </w:r>
    </w:p>
    <w:p>
      <w:pPr>
        <w:ind w:firstLine="420"/>
        <w:jc w:val="both"/>
      </w:pPr>
      <w:r>
        <w:rPr>
          <w:rFonts w:hint="eastAsia"/>
        </w:rPr>
        <w:t>数据流通服务机构应根据数据提供方数据开放的需求和目标，结合数据接收方的实际需求，按照最小授权原则，制定明确的数据开放访问控制策略。</w:t>
      </w:r>
    </w:p>
    <w:p>
      <w:pPr>
        <w:ind w:firstLine="0" w:firstLineChars="0"/>
        <w:jc w:val="both"/>
        <w:outlineLvl w:val="3"/>
      </w:pPr>
      <w:r>
        <w:rPr>
          <w:rFonts w:hint="eastAsia"/>
        </w:rPr>
        <w:t>6.1.3.2  策略更新</w:t>
      </w:r>
    </w:p>
    <w:p>
      <w:pPr>
        <w:ind w:firstLine="420"/>
        <w:jc w:val="both"/>
      </w:pPr>
      <w:r>
        <w:rPr>
          <w:rFonts w:hint="eastAsia"/>
        </w:rPr>
        <w:t>数据流通服务机构应根据数据提供方数据开放的需求和目标、数据接收方的需求、数据流通平台的变化情况，及时调整现有的访问控制策略，动态保障数据流通平台的访问权限。</w:t>
      </w:r>
    </w:p>
    <w:p>
      <w:pPr>
        <w:spacing w:before="156" w:beforeLines="50" w:after="156" w:afterLines="50"/>
        <w:ind w:firstLine="0" w:firstLineChars="0"/>
        <w:jc w:val="both"/>
        <w:outlineLvl w:val="2"/>
      </w:pPr>
      <w:r>
        <w:rPr>
          <w:rFonts w:hint="eastAsia"/>
        </w:rPr>
        <w:t>6.1.4  方案设计要求</w:t>
      </w:r>
    </w:p>
    <w:p>
      <w:pPr>
        <w:ind w:firstLine="420"/>
        <w:jc w:val="both"/>
      </w:pPr>
      <w:r>
        <w:rPr>
          <w:rFonts w:hint="eastAsia"/>
        </w:rPr>
        <w:t>数据流通服务机构应在归口行政管理部门的指导与监督下，按照GB/T 25070的要求，选择具有相应能力的承建单位承担或参与数据开放方案的设计，方案设计应满足以下要求：</w:t>
      </w:r>
    </w:p>
    <w:p>
      <w:pPr>
        <w:pStyle w:val="50"/>
        <w:numPr>
          <w:ilvl w:val="0"/>
          <w:numId w:val="9"/>
        </w:numPr>
        <w:ind w:firstLineChars="0"/>
        <w:jc w:val="both"/>
      </w:pPr>
      <w:r>
        <w:rPr>
          <w:rFonts w:hint="eastAsia"/>
        </w:rPr>
        <w:t>方案设计前应经过安全性及隐私泄露风险评估，根据评估结果确定应采取的保护措施；</w:t>
      </w:r>
    </w:p>
    <w:p>
      <w:pPr>
        <w:pStyle w:val="50"/>
        <w:numPr>
          <w:ilvl w:val="0"/>
          <w:numId w:val="9"/>
        </w:numPr>
        <w:ind w:firstLineChars="0"/>
        <w:jc w:val="both"/>
      </w:pPr>
      <w:r>
        <w:rPr>
          <w:rFonts w:hint="eastAsia"/>
        </w:rPr>
        <w:t>应选择具有相应能力的承建单位承担或参与数据开放方案的设计；</w:t>
      </w:r>
    </w:p>
    <w:p>
      <w:pPr>
        <w:pStyle w:val="50"/>
        <w:numPr>
          <w:ilvl w:val="0"/>
          <w:numId w:val="9"/>
        </w:numPr>
        <w:ind w:firstLineChars="0"/>
        <w:jc w:val="both"/>
      </w:pPr>
      <w:r>
        <w:rPr>
          <w:rFonts w:hint="eastAsia"/>
        </w:rPr>
        <w:t>数据流通服务机构应联合数据提供方对设计方案进行审查论证，归口行政管理部门应参与方案审查论证，在整体安全性方面加强指导，严格把关。</w:t>
      </w:r>
    </w:p>
    <w:p>
      <w:pPr>
        <w:spacing w:before="156" w:beforeLines="50" w:after="156" w:afterLines="50"/>
        <w:ind w:firstLine="0" w:firstLineChars="0"/>
        <w:jc w:val="both"/>
        <w:outlineLvl w:val="1"/>
      </w:pPr>
      <w:r>
        <w:rPr>
          <w:rFonts w:hint="eastAsia"/>
        </w:rPr>
        <w:t>6.2  数据发布安全</w:t>
      </w:r>
    </w:p>
    <w:p>
      <w:pPr>
        <w:spacing w:before="156" w:beforeLines="50" w:after="156" w:afterLines="50"/>
        <w:ind w:firstLine="0" w:firstLineChars="0"/>
        <w:jc w:val="both"/>
        <w:outlineLvl w:val="2"/>
      </w:pPr>
      <w:r>
        <w:rPr>
          <w:rFonts w:hint="eastAsia"/>
        </w:rPr>
        <w:t>6.2.1  数据流通平台安全</w:t>
      </w:r>
    </w:p>
    <w:p>
      <w:pPr>
        <w:ind w:firstLine="420"/>
        <w:jc w:val="both"/>
      </w:pPr>
      <w:r>
        <w:rPr>
          <w:rFonts w:hint="eastAsia"/>
        </w:rPr>
        <w:t>应根据信息安全等级保护要求，具体依据GB/T 22239和GB/T 25070中的相应要求，对数据流通平台的安全性作如下要求：</w:t>
      </w:r>
    </w:p>
    <w:p>
      <w:pPr>
        <w:pStyle w:val="50"/>
        <w:numPr>
          <w:ilvl w:val="0"/>
          <w:numId w:val="10"/>
        </w:numPr>
        <w:ind w:firstLineChars="0"/>
        <w:jc w:val="both"/>
      </w:pPr>
      <w:r>
        <w:rPr>
          <w:rFonts w:hint="eastAsia"/>
        </w:rPr>
        <w:t>应定期对数据流通平台进行安全性能检测；</w:t>
      </w:r>
    </w:p>
    <w:p>
      <w:pPr>
        <w:pStyle w:val="50"/>
        <w:numPr>
          <w:ilvl w:val="0"/>
          <w:numId w:val="10"/>
        </w:numPr>
        <w:ind w:firstLineChars="0"/>
        <w:jc w:val="both"/>
      </w:pPr>
      <w:r>
        <w:rPr>
          <w:rFonts w:hint="eastAsia"/>
        </w:rPr>
        <w:t>应制定文档化的明确的平台安全性能检测策略；</w:t>
      </w:r>
    </w:p>
    <w:p>
      <w:pPr>
        <w:pStyle w:val="50"/>
        <w:numPr>
          <w:ilvl w:val="0"/>
          <w:numId w:val="10"/>
        </w:numPr>
        <w:ind w:firstLineChars="0"/>
        <w:jc w:val="both"/>
      </w:pPr>
      <w:r>
        <w:rPr>
          <w:rFonts w:hint="eastAsia"/>
        </w:rPr>
        <w:t>应采用国家相关主管部门批准使用的检测工具对平台进行安全性能检测，检测工具版本应及时更新；</w:t>
      </w:r>
    </w:p>
    <w:p>
      <w:pPr>
        <w:pStyle w:val="50"/>
        <w:numPr>
          <w:ilvl w:val="0"/>
          <w:numId w:val="10"/>
        </w:numPr>
        <w:ind w:firstLineChars="0"/>
        <w:jc w:val="both"/>
      </w:pPr>
      <w:r>
        <w:rPr>
          <w:rFonts w:hint="eastAsia"/>
        </w:rPr>
        <w:t>应对平台安全性能检测数据进行详细记录和分析，并对发现的漏洞和脆弱点及时修补。</w:t>
      </w:r>
    </w:p>
    <w:p>
      <w:pPr>
        <w:spacing w:before="156" w:beforeLines="50" w:after="156" w:afterLines="50"/>
        <w:ind w:firstLine="0" w:firstLineChars="0"/>
        <w:jc w:val="both"/>
        <w:outlineLvl w:val="2"/>
        <w:rPr>
          <w:rFonts w:hint="eastAsia"/>
        </w:rPr>
      </w:pPr>
      <w:r>
        <w:rPr>
          <w:rFonts w:hint="eastAsia"/>
        </w:rPr>
        <w:t>6.2.2  数据传输安全</w:t>
      </w:r>
    </w:p>
    <w:p>
      <w:pPr>
        <w:ind w:firstLine="420"/>
        <w:jc w:val="both"/>
      </w:pPr>
      <w:r>
        <w:rPr>
          <w:rFonts w:hint="eastAsia"/>
        </w:rPr>
        <w:t>数据传输应满足以下安全要求：</w:t>
      </w:r>
    </w:p>
    <w:p>
      <w:pPr>
        <w:pStyle w:val="50"/>
        <w:numPr>
          <w:ilvl w:val="0"/>
          <w:numId w:val="11"/>
        </w:numPr>
        <w:ind w:firstLineChars="0"/>
        <w:jc w:val="both"/>
      </w:pPr>
      <w:r>
        <w:rPr>
          <w:rFonts w:hint="eastAsia"/>
        </w:rPr>
        <w:t>应对数据接收方身份进行鉴别和认证；</w:t>
      </w:r>
    </w:p>
    <w:p>
      <w:pPr>
        <w:pStyle w:val="50"/>
        <w:numPr>
          <w:ilvl w:val="0"/>
          <w:numId w:val="11"/>
        </w:numPr>
        <w:ind w:firstLineChars="0"/>
        <w:jc w:val="both"/>
      </w:pPr>
      <w:r>
        <w:rPr>
          <w:rFonts w:hint="eastAsia"/>
        </w:rPr>
        <w:t>应采用密码技术进行数据保护，密码技术应采用国产密码算法。</w:t>
      </w:r>
    </w:p>
    <w:p>
      <w:pPr>
        <w:spacing w:before="156" w:beforeLines="50" w:after="156" w:afterLines="50"/>
        <w:ind w:firstLine="0" w:firstLineChars="0"/>
        <w:jc w:val="both"/>
        <w:outlineLvl w:val="2"/>
      </w:pPr>
      <w:r>
        <w:rPr>
          <w:rFonts w:hint="eastAsia"/>
        </w:rPr>
        <w:t>6.2.3  数据完整性保护</w:t>
      </w:r>
    </w:p>
    <w:p>
      <w:pPr>
        <w:ind w:firstLine="420"/>
        <w:jc w:val="both"/>
      </w:pPr>
      <w:r>
        <w:rPr>
          <w:rFonts w:hint="eastAsia"/>
        </w:rPr>
        <w:t>应根据信息安全等级保护要求，具体依据</w:t>
      </w:r>
      <w:r>
        <w:t>GB/T 22239</w:t>
      </w:r>
      <w:r>
        <w:rPr>
          <w:rFonts w:hint="eastAsia"/>
        </w:rPr>
        <w:t>和</w:t>
      </w:r>
      <w:r>
        <w:t>GB/T 25070</w:t>
      </w:r>
      <w:r>
        <w:rPr>
          <w:rFonts w:hint="eastAsia"/>
        </w:rPr>
        <w:t>中的相应要求，对数据发布中的数据完整性作如下要求：</w:t>
      </w:r>
    </w:p>
    <w:p>
      <w:pPr>
        <w:pStyle w:val="50"/>
        <w:numPr>
          <w:ilvl w:val="0"/>
          <w:numId w:val="12"/>
        </w:numPr>
        <w:ind w:firstLineChars="0"/>
        <w:jc w:val="both"/>
      </w:pPr>
      <w:r>
        <w:rPr>
          <w:rFonts w:hint="eastAsia"/>
        </w:rPr>
        <w:t>应制定文档化的明确的数据完整性保护策略；</w:t>
      </w:r>
    </w:p>
    <w:p>
      <w:pPr>
        <w:pStyle w:val="50"/>
        <w:numPr>
          <w:ilvl w:val="0"/>
          <w:numId w:val="12"/>
        </w:numPr>
        <w:ind w:firstLineChars="0"/>
        <w:jc w:val="both"/>
      </w:pPr>
      <w:r>
        <w:rPr>
          <w:rFonts w:hint="eastAsia"/>
        </w:rPr>
        <w:t>应对平台中传输的数据进行完整性检测，及时发现数据被篡改、删除、插入的情况，并生成审计日志。</w:t>
      </w:r>
    </w:p>
    <w:p>
      <w:pPr>
        <w:spacing w:before="156" w:beforeLines="50" w:after="156" w:afterLines="50"/>
        <w:ind w:firstLine="0" w:firstLineChars="0"/>
        <w:jc w:val="both"/>
        <w:outlineLvl w:val="2"/>
      </w:pPr>
      <w:r>
        <w:rPr>
          <w:rFonts w:hint="eastAsia"/>
        </w:rPr>
        <w:t>6.2.4  数据安全审计</w:t>
      </w:r>
    </w:p>
    <w:p>
      <w:pPr>
        <w:ind w:firstLine="420"/>
        <w:jc w:val="both"/>
        <w:rPr>
          <w:rFonts w:hint="eastAsia"/>
        </w:rPr>
      </w:pPr>
      <w:r>
        <w:rPr>
          <w:rFonts w:hint="eastAsia"/>
        </w:rPr>
        <w:t>数据开放过程应满足以下安全审计要求：</w:t>
      </w:r>
    </w:p>
    <w:p>
      <w:pPr>
        <w:pStyle w:val="50"/>
        <w:numPr>
          <w:ilvl w:val="0"/>
          <w:numId w:val="13"/>
        </w:numPr>
        <w:ind w:firstLineChars="0"/>
        <w:jc w:val="both"/>
      </w:pPr>
      <w:r>
        <w:rPr>
          <w:rFonts w:hint="eastAsia"/>
        </w:rPr>
        <w:t>应制定文档化的明确的数据发布安全审计策略，策略应根据数据发布的变化情况动态更新；</w:t>
      </w:r>
    </w:p>
    <w:p>
      <w:pPr>
        <w:pStyle w:val="50"/>
        <w:numPr>
          <w:ilvl w:val="0"/>
          <w:numId w:val="13"/>
        </w:numPr>
        <w:ind w:firstLineChars="0"/>
        <w:jc w:val="both"/>
      </w:pPr>
      <w:r>
        <w:rPr>
          <w:rFonts w:hint="eastAsia"/>
        </w:rPr>
        <w:t>安全审计应与数据源安全、访问控制等安全功能的设计紧密结合，针对数据开放过程中的可审计事件产生审计记录；</w:t>
      </w:r>
    </w:p>
    <w:p>
      <w:pPr>
        <w:pStyle w:val="50"/>
        <w:numPr>
          <w:ilvl w:val="0"/>
          <w:numId w:val="13"/>
        </w:numPr>
        <w:ind w:firstLineChars="0"/>
        <w:jc w:val="both"/>
      </w:pPr>
      <w:r>
        <w:rPr>
          <w:rFonts w:hint="eastAsia"/>
        </w:rPr>
        <w:t>审计记录应包括以下内容：数间发生的时间、地点、类型、主体、客体和结果（成功或失败）；</w:t>
      </w:r>
    </w:p>
    <w:p>
      <w:pPr>
        <w:pStyle w:val="50"/>
        <w:numPr>
          <w:ilvl w:val="0"/>
          <w:numId w:val="13"/>
        </w:numPr>
        <w:ind w:firstLineChars="0"/>
        <w:jc w:val="both"/>
      </w:pPr>
      <w:r>
        <w:rPr>
          <w:rFonts w:hint="eastAsia"/>
        </w:rPr>
        <w:t>应对已存储的审计记录进行保护，能检测或防止对审计记录的修改和伪造；</w:t>
      </w:r>
    </w:p>
    <w:p>
      <w:pPr>
        <w:pStyle w:val="50"/>
        <w:numPr>
          <w:ilvl w:val="0"/>
          <w:numId w:val="13"/>
        </w:numPr>
        <w:ind w:firstLineChars="0"/>
        <w:jc w:val="both"/>
      </w:pPr>
      <w:r>
        <w:rPr>
          <w:rFonts w:hint="eastAsia"/>
        </w:rPr>
        <w:t>审计记录应长期保存；</w:t>
      </w:r>
    </w:p>
    <w:p>
      <w:pPr>
        <w:pStyle w:val="50"/>
        <w:numPr>
          <w:ilvl w:val="0"/>
          <w:numId w:val="13"/>
        </w:numPr>
        <w:ind w:firstLineChars="0"/>
        <w:jc w:val="both"/>
      </w:pPr>
      <w:r>
        <w:rPr>
          <w:rFonts w:hint="eastAsia"/>
        </w:rPr>
        <w:t>应定期对审计记录进行审查或分析，调查可疑行为及违规操作，采取相应的措施，并及时报告。</w:t>
      </w:r>
    </w:p>
    <w:p>
      <w:pPr>
        <w:spacing w:before="156" w:beforeLines="50" w:after="156" w:afterLines="50"/>
        <w:ind w:firstLine="0" w:firstLineChars="0"/>
        <w:jc w:val="both"/>
        <w:outlineLvl w:val="2"/>
      </w:pPr>
      <w:r>
        <w:rPr>
          <w:rFonts w:hint="eastAsia"/>
        </w:rPr>
        <w:t>6.2.5  数据权属明确</w:t>
      </w:r>
    </w:p>
    <w:p>
      <w:pPr>
        <w:ind w:firstLine="420"/>
        <w:jc w:val="both"/>
      </w:pPr>
      <w:r>
        <w:rPr>
          <w:rFonts w:hint="eastAsia"/>
        </w:rPr>
        <w:t>数据开放过程中，应明确数据权属不变，仍为数据提供方所有，数据转移过程中应遵循责任权属原则。</w:t>
      </w:r>
    </w:p>
    <w:p>
      <w:pPr>
        <w:spacing w:before="156" w:beforeLines="50" w:after="156" w:afterLines="50"/>
        <w:ind w:firstLine="0" w:firstLineChars="0"/>
        <w:jc w:val="both"/>
        <w:outlineLvl w:val="1"/>
      </w:pPr>
      <w:r>
        <w:rPr>
          <w:rFonts w:hint="eastAsia"/>
        </w:rPr>
        <w:t>6.3  开放结束</w:t>
      </w:r>
    </w:p>
    <w:p>
      <w:pPr>
        <w:spacing w:before="156" w:beforeLines="50" w:after="156" w:afterLines="50"/>
        <w:ind w:firstLine="0" w:firstLineChars="0"/>
        <w:jc w:val="both"/>
        <w:outlineLvl w:val="2"/>
      </w:pPr>
      <w:r>
        <w:rPr>
          <w:rFonts w:hint="eastAsia"/>
        </w:rPr>
        <w:t>6.3.1  数据接收方要求</w:t>
      </w:r>
    </w:p>
    <w:p>
      <w:pPr>
        <w:ind w:firstLine="420"/>
        <w:jc w:val="both"/>
        <w:rPr>
          <w:rFonts w:hint="eastAsia"/>
        </w:rPr>
      </w:pPr>
      <w:r>
        <w:rPr>
          <w:rFonts w:hint="eastAsia"/>
        </w:rPr>
        <w:t>数据接收方应满足以下要求：</w:t>
      </w:r>
    </w:p>
    <w:p>
      <w:pPr>
        <w:pStyle w:val="50"/>
        <w:numPr>
          <w:ilvl w:val="0"/>
          <w:numId w:val="14"/>
        </w:numPr>
        <w:ind w:firstLineChars="0"/>
        <w:jc w:val="both"/>
      </w:pPr>
      <w:r>
        <w:rPr>
          <w:rFonts w:hint="eastAsia"/>
        </w:rPr>
        <w:t>应为无违法违规记录的境内合法组织或自然人；</w:t>
      </w:r>
    </w:p>
    <w:p>
      <w:pPr>
        <w:pStyle w:val="50"/>
        <w:numPr>
          <w:ilvl w:val="0"/>
          <w:numId w:val="14"/>
        </w:numPr>
        <w:ind w:firstLineChars="0"/>
        <w:jc w:val="both"/>
      </w:pPr>
      <w:r>
        <w:rPr>
          <w:rFonts w:hint="eastAsia"/>
        </w:rPr>
        <w:t>应完成在数据流通服务机构的注册，并经数据流通服务机构审核通过；</w:t>
      </w:r>
    </w:p>
    <w:p>
      <w:pPr>
        <w:pStyle w:val="50"/>
        <w:numPr>
          <w:ilvl w:val="0"/>
          <w:numId w:val="14"/>
        </w:numPr>
        <w:ind w:firstLineChars="0"/>
        <w:jc w:val="both"/>
      </w:pPr>
      <w:r>
        <w:rPr>
          <w:rFonts w:hint="eastAsia"/>
        </w:rPr>
        <w:t>应证明其具备对开放数据实施安全保护的能力；</w:t>
      </w:r>
    </w:p>
    <w:p>
      <w:pPr>
        <w:pStyle w:val="50"/>
        <w:numPr>
          <w:ilvl w:val="0"/>
          <w:numId w:val="14"/>
        </w:numPr>
        <w:ind w:firstLineChars="0"/>
        <w:jc w:val="both"/>
      </w:pPr>
      <w:r>
        <w:rPr>
          <w:rFonts w:hint="eastAsia"/>
        </w:rPr>
        <w:t>应提供书面的数据开放和使用安全承诺，内容包括但不限于：遵守数据开放安全原则、愿意接受数据流通服务机构安全监督、遵守数据提供方提出的数据安全要求、对所持有数据提供充分的安全保护、未经明确授权不公开或转交数据给第三方、未经明确授权不应转移或携带数据出境等；</w:t>
      </w:r>
    </w:p>
    <w:p>
      <w:pPr>
        <w:pStyle w:val="50"/>
        <w:numPr>
          <w:ilvl w:val="0"/>
          <w:numId w:val="14"/>
        </w:numPr>
        <w:ind w:firstLineChars="0"/>
        <w:jc w:val="both"/>
      </w:pPr>
      <w:r>
        <w:rPr>
          <w:rFonts w:hint="eastAsia"/>
        </w:rPr>
        <w:t>在按照数据开放约定方式完成数据使用后，应及时销毁开放数据；</w:t>
      </w:r>
    </w:p>
    <w:p>
      <w:pPr>
        <w:pStyle w:val="50"/>
        <w:numPr>
          <w:ilvl w:val="0"/>
          <w:numId w:val="14"/>
        </w:numPr>
        <w:ind w:firstLineChars="0"/>
        <w:jc w:val="both"/>
      </w:pPr>
      <w:r>
        <w:rPr>
          <w:rFonts w:hint="eastAsia"/>
        </w:rPr>
        <w:t>数据流通服务机构应建立和执行针对数据接收方的安全监管制度和流程。</w:t>
      </w:r>
    </w:p>
    <w:p>
      <w:pPr>
        <w:spacing w:before="156" w:beforeLines="50" w:after="156" w:afterLines="50"/>
        <w:ind w:firstLine="0" w:firstLineChars="0"/>
        <w:jc w:val="both"/>
        <w:outlineLvl w:val="2"/>
      </w:pPr>
      <w:r>
        <w:rPr>
          <w:rFonts w:hint="eastAsia"/>
        </w:rPr>
        <w:t>6.3.2  数据销毁要求</w:t>
      </w:r>
    </w:p>
    <w:p>
      <w:pPr>
        <w:ind w:firstLine="420"/>
        <w:jc w:val="both"/>
        <w:rPr>
          <w:rFonts w:hint="eastAsia"/>
        </w:rPr>
      </w:pPr>
      <w:r>
        <w:rPr>
          <w:rFonts w:hint="eastAsia"/>
        </w:rPr>
        <w:t>数据销毁应满足以下要求：</w:t>
      </w:r>
    </w:p>
    <w:p>
      <w:pPr>
        <w:pStyle w:val="50"/>
        <w:numPr>
          <w:ilvl w:val="0"/>
          <w:numId w:val="15"/>
        </w:numPr>
        <w:ind w:firstLineChars="0"/>
        <w:jc w:val="both"/>
      </w:pPr>
      <w:r>
        <w:rPr>
          <w:rFonts w:hint="eastAsia"/>
        </w:rPr>
        <w:t>数据流通平台在按照数据开放约定方式完成数据开放后，应及时销毁开放数据；</w:t>
      </w:r>
    </w:p>
    <w:p>
      <w:pPr>
        <w:pStyle w:val="50"/>
        <w:numPr>
          <w:ilvl w:val="0"/>
          <w:numId w:val="15"/>
        </w:numPr>
        <w:ind w:firstLineChars="0"/>
        <w:jc w:val="both"/>
      </w:pPr>
      <w:r>
        <w:rPr>
          <w:rFonts w:hint="eastAsia"/>
        </w:rPr>
        <w:t>数据流通平台应长期保留数据流通日志记录，以备数据溯源；</w:t>
      </w:r>
    </w:p>
    <w:p>
      <w:pPr>
        <w:pStyle w:val="50"/>
        <w:numPr>
          <w:ilvl w:val="0"/>
          <w:numId w:val="15"/>
        </w:numPr>
        <w:ind w:firstLineChars="0"/>
        <w:jc w:val="both"/>
      </w:pPr>
      <w:r>
        <w:rPr>
          <w:rFonts w:hint="eastAsia"/>
        </w:rPr>
        <w:t>数据流通平台应长期保留已流通数据的数据水印，以备数据溯源；</w:t>
      </w:r>
    </w:p>
    <w:p>
      <w:pPr>
        <w:pStyle w:val="50"/>
        <w:numPr>
          <w:ilvl w:val="0"/>
          <w:numId w:val="15"/>
        </w:numPr>
        <w:ind w:firstLineChars="0"/>
        <w:jc w:val="both"/>
      </w:pPr>
      <w:r>
        <w:rPr>
          <w:rFonts w:hint="eastAsia"/>
        </w:rPr>
        <w:t>数据流通安全管理机构应建立和执行针对数据销毁的安全监管制度和流程。</w:t>
      </w:r>
    </w:p>
    <w:p>
      <w:pPr>
        <w:pStyle w:val="2"/>
      </w:pPr>
      <w:bookmarkStart w:id="29" w:name="_Toc4698103"/>
      <w:r>
        <w:rPr>
          <w:rFonts w:hint="eastAsia"/>
        </w:rPr>
        <w:t>7</w:t>
      </w:r>
      <w:r>
        <w:t xml:space="preserve">  </w:t>
      </w:r>
      <w:r>
        <w:rPr>
          <w:rFonts w:hint="eastAsia"/>
        </w:rPr>
        <w:t>数据共享安全管理要求</w:t>
      </w:r>
      <w:bookmarkEnd w:id="29"/>
    </w:p>
    <w:p>
      <w:pPr>
        <w:spacing w:before="156" w:beforeLines="50" w:after="156" w:afterLines="50"/>
        <w:ind w:firstLine="0" w:firstLineChars="0"/>
        <w:jc w:val="both"/>
        <w:outlineLvl w:val="1"/>
      </w:pPr>
      <w:r>
        <w:rPr>
          <w:rFonts w:hint="eastAsia"/>
        </w:rPr>
        <w:t>7.1  数据准备</w:t>
      </w:r>
    </w:p>
    <w:p>
      <w:pPr>
        <w:spacing w:before="156" w:beforeLines="50" w:after="156" w:afterLines="50"/>
        <w:ind w:firstLine="0" w:firstLineChars="0"/>
        <w:jc w:val="both"/>
        <w:outlineLvl w:val="2"/>
      </w:pPr>
      <w:r>
        <w:rPr>
          <w:rFonts w:hint="eastAsia"/>
        </w:rPr>
        <w:t>7.1.1  数据提供方要求</w:t>
      </w:r>
    </w:p>
    <w:p>
      <w:pPr>
        <w:ind w:firstLine="420"/>
        <w:jc w:val="both"/>
        <w:rPr>
          <w:rFonts w:hint="eastAsia"/>
        </w:rPr>
      </w:pPr>
      <w:r>
        <w:rPr>
          <w:rFonts w:hint="eastAsia"/>
        </w:rPr>
        <w:t>数据提供方应满足以下要求：</w:t>
      </w:r>
    </w:p>
    <w:p>
      <w:pPr>
        <w:pStyle w:val="50"/>
        <w:numPr>
          <w:ilvl w:val="0"/>
          <w:numId w:val="16"/>
        </w:numPr>
        <w:ind w:firstLineChars="0"/>
        <w:jc w:val="both"/>
      </w:pPr>
      <w:r>
        <w:rPr>
          <w:rFonts w:hint="eastAsia"/>
        </w:rPr>
        <w:t>应为无违法违规记录的境内合法组织或自然人；</w:t>
      </w:r>
    </w:p>
    <w:p>
      <w:pPr>
        <w:pStyle w:val="50"/>
        <w:numPr>
          <w:ilvl w:val="0"/>
          <w:numId w:val="16"/>
        </w:numPr>
        <w:ind w:firstLineChars="0"/>
        <w:jc w:val="both"/>
      </w:pPr>
      <w:r>
        <w:rPr>
          <w:rFonts w:hint="eastAsia"/>
        </w:rPr>
        <w:t>应完成在数据流通服务机构的注册，并经数据流通服务机构审核通过。</w:t>
      </w:r>
    </w:p>
    <w:p>
      <w:pPr>
        <w:spacing w:before="156" w:beforeLines="50" w:after="156" w:afterLines="50"/>
        <w:ind w:firstLine="0" w:firstLineChars="0"/>
        <w:jc w:val="both"/>
        <w:outlineLvl w:val="2"/>
      </w:pPr>
      <w:r>
        <w:rPr>
          <w:rFonts w:hint="eastAsia"/>
        </w:rPr>
        <w:t>7.1.2  数据源安全</w:t>
      </w:r>
    </w:p>
    <w:p>
      <w:pPr>
        <w:ind w:firstLine="0" w:firstLineChars="0"/>
        <w:jc w:val="both"/>
        <w:outlineLvl w:val="3"/>
      </w:pPr>
      <w:r>
        <w:rPr>
          <w:rFonts w:hint="eastAsia"/>
        </w:rPr>
        <w:t>7.1.2.1  数据安全要求</w:t>
      </w:r>
    </w:p>
    <w:p>
      <w:pPr>
        <w:ind w:firstLine="420"/>
        <w:jc w:val="both"/>
        <w:rPr>
          <w:rFonts w:hint="eastAsia"/>
        </w:rPr>
      </w:pPr>
      <w:r>
        <w:rPr>
          <w:rFonts w:hint="eastAsia"/>
        </w:rPr>
        <w:t>数据流通安全管理机构应确保数据满足以下安全要求：</w:t>
      </w:r>
    </w:p>
    <w:p>
      <w:pPr>
        <w:pStyle w:val="50"/>
        <w:numPr>
          <w:ilvl w:val="0"/>
          <w:numId w:val="17"/>
        </w:numPr>
        <w:ind w:firstLineChars="0"/>
        <w:jc w:val="both"/>
      </w:pPr>
      <w:r>
        <w:rPr>
          <w:rFonts w:hint="eastAsia"/>
        </w:rPr>
        <w:t>应采用防计算机病毒系统对数据进行安全性扫描，确保数据的安全可靠；</w:t>
      </w:r>
    </w:p>
    <w:p>
      <w:pPr>
        <w:pStyle w:val="50"/>
        <w:numPr>
          <w:ilvl w:val="0"/>
          <w:numId w:val="17"/>
        </w:numPr>
        <w:ind w:firstLineChars="0"/>
        <w:jc w:val="both"/>
      </w:pPr>
      <w:r>
        <w:rPr>
          <w:rFonts w:hint="eastAsia"/>
        </w:rPr>
        <w:t>参与共享的数据应当是真实可靠的数据，不应有蓄意伪造、篡改等造成数据污染行为；</w:t>
      </w:r>
    </w:p>
    <w:p>
      <w:pPr>
        <w:pStyle w:val="50"/>
        <w:numPr>
          <w:ilvl w:val="0"/>
          <w:numId w:val="17"/>
        </w:numPr>
        <w:ind w:firstLineChars="0"/>
        <w:jc w:val="both"/>
      </w:pPr>
      <w:r>
        <w:rPr>
          <w:rFonts w:hint="eastAsia"/>
        </w:rPr>
        <w:t>参与共享的数据不应携带涉密、商业秘密、隐私等敏感信息和谣言、反动言论等违法信息。</w:t>
      </w:r>
    </w:p>
    <w:p>
      <w:pPr>
        <w:ind w:firstLine="0" w:firstLineChars="0"/>
        <w:jc w:val="both"/>
        <w:outlineLvl w:val="3"/>
      </w:pPr>
      <w:r>
        <w:rPr>
          <w:rFonts w:hint="eastAsia"/>
        </w:rPr>
        <w:t>7.1.2.2  数据源平台安全</w:t>
      </w:r>
    </w:p>
    <w:p>
      <w:pPr>
        <w:ind w:firstLine="420"/>
        <w:jc w:val="both"/>
        <w:rPr>
          <w:rFonts w:hint="eastAsia"/>
        </w:rPr>
      </w:pPr>
      <w:r>
        <w:rPr>
          <w:rFonts w:hint="eastAsia"/>
        </w:rPr>
        <w:t>数据流通安全管理机构应确保数据源平台满足以下安全要求：</w:t>
      </w:r>
    </w:p>
    <w:p>
      <w:pPr>
        <w:pStyle w:val="50"/>
        <w:numPr>
          <w:ilvl w:val="0"/>
          <w:numId w:val="18"/>
        </w:numPr>
        <w:ind w:firstLineChars="0"/>
        <w:jc w:val="both"/>
      </w:pPr>
      <w:r>
        <w:rPr>
          <w:rFonts w:hint="eastAsia"/>
        </w:rPr>
        <w:t>应制定文档化的明确的平台安全性能检测策略；</w:t>
      </w:r>
    </w:p>
    <w:p>
      <w:pPr>
        <w:pStyle w:val="50"/>
        <w:numPr>
          <w:ilvl w:val="0"/>
          <w:numId w:val="18"/>
        </w:numPr>
        <w:ind w:firstLineChars="0"/>
        <w:jc w:val="both"/>
      </w:pPr>
      <w:r>
        <w:rPr>
          <w:rFonts w:hint="eastAsia"/>
        </w:rPr>
        <w:t>应采用国家相关主管部门批准使用的检测工具对平台进行安全性能检测，检测工具版本应及时更新；</w:t>
      </w:r>
    </w:p>
    <w:p>
      <w:pPr>
        <w:pStyle w:val="50"/>
        <w:numPr>
          <w:ilvl w:val="0"/>
          <w:numId w:val="18"/>
        </w:numPr>
        <w:ind w:firstLineChars="0"/>
        <w:jc w:val="both"/>
      </w:pPr>
      <w:r>
        <w:rPr>
          <w:rFonts w:hint="eastAsia"/>
        </w:rPr>
        <w:t>应对平台安全性能检测数据进行详细记录和分析，并对发现的漏洞和脆弱点及时修补。</w:t>
      </w:r>
    </w:p>
    <w:p>
      <w:pPr>
        <w:ind w:firstLine="0" w:firstLineChars="0"/>
        <w:jc w:val="both"/>
        <w:outlineLvl w:val="3"/>
      </w:pPr>
      <w:r>
        <w:rPr>
          <w:rFonts w:hint="eastAsia"/>
        </w:rPr>
        <w:t>7.1.2.3  数据分类要求</w:t>
      </w:r>
    </w:p>
    <w:p>
      <w:pPr>
        <w:ind w:firstLine="420"/>
        <w:jc w:val="both"/>
      </w:pPr>
      <w:r>
        <w:rPr>
          <w:rFonts w:hint="eastAsia"/>
        </w:rPr>
        <w:t>应依据</w:t>
      </w:r>
      <w:r>
        <w:t>DB52/T 1123-2016</w:t>
      </w:r>
      <w:r>
        <w:rPr>
          <w:rFonts w:hint="eastAsia"/>
        </w:rPr>
        <w:t>等相关文件对共享的数据进行分类，数据分类应满足以下要求：</w:t>
      </w:r>
    </w:p>
    <w:p>
      <w:pPr>
        <w:ind w:firstLine="420"/>
        <w:jc w:val="both"/>
      </w:pPr>
      <w:r>
        <w:rPr>
          <w:rFonts w:hint="eastAsia"/>
        </w:rPr>
        <w:t>a)</w:t>
      </w:r>
      <w:r>
        <w:rPr>
          <w:rFonts w:hint="eastAsia"/>
        </w:rPr>
        <w:tab/>
      </w:r>
      <w:r>
        <w:rPr>
          <w:rFonts w:hint="eastAsia"/>
        </w:rPr>
        <w:t>数据分类应易于理解；</w:t>
      </w:r>
    </w:p>
    <w:p>
      <w:pPr>
        <w:ind w:firstLine="420"/>
        <w:jc w:val="both"/>
      </w:pPr>
      <w:r>
        <w:rPr>
          <w:rFonts w:hint="eastAsia"/>
        </w:rPr>
        <w:t>b)</w:t>
      </w:r>
      <w:r>
        <w:rPr>
          <w:rFonts w:hint="eastAsia"/>
        </w:rPr>
        <w:tab/>
      </w:r>
      <w:r>
        <w:rPr>
          <w:rFonts w:hint="eastAsia"/>
        </w:rPr>
        <w:t>应形成文档化的数据分类条目，便于查询。</w:t>
      </w:r>
    </w:p>
    <w:p>
      <w:pPr>
        <w:spacing w:before="156" w:beforeLines="50" w:after="156" w:afterLines="50"/>
        <w:ind w:firstLine="0" w:firstLineChars="0"/>
        <w:jc w:val="both"/>
        <w:outlineLvl w:val="2"/>
      </w:pPr>
      <w:r>
        <w:rPr>
          <w:rFonts w:hint="eastAsia"/>
        </w:rPr>
        <w:t>7.1.3  访问控制策略</w:t>
      </w:r>
    </w:p>
    <w:p>
      <w:pPr>
        <w:ind w:firstLine="0" w:firstLineChars="0"/>
        <w:jc w:val="both"/>
        <w:outlineLvl w:val="3"/>
      </w:pPr>
      <w:r>
        <w:rPr>
          <w:rFonts w:hint="eastAsia"/>
        </w:rPr>
        <w:t>7.1.3.1  策略制定</w:t>
      </w:r>
    </w:p>
    <w:p>
      <w:pPr>
        <w:ind w:firstLine="420"/>
        <w:jc w:val="both"/>
      </w:pPr>
      <w:r>
        <w:rPr>
          <w:rFonts w:hint="eastAsia"/>
        </w:rPr>
        <w:t>数据流通服务机构应根据数据提供方数据共享的需求和目标，结合数据接收方的实际需求，按照最小授权原则，制定明确的数据共享访问控制策略。</w:t>
      </w:r>
    </w:p>
    <w:p>
      <w:pPr>
        <w:ind w:firstLine="0" w:firstLineChars="0"/>
        <w:jc w:val="both"/>
        <w:outlineLvl w:val="3"/>
      </w:pPr>
      <w:r>
        <w:rPr>
          <w:rFonts w:hint="eastAsia"/>
        </w:rPr>
        <w:t>7.1.3.2  策略更新</w:t>
      </w:r>
    </w:p>
    <w:p>
      <w:pPr>
        <w:ind w:firstLine="420"/>
        <w:jc w:val="both"/>
      </w:pPr>
      <w:r>
        <w:rPr>
          <w:rFonts w:hint="eastAsia"/>
        </w:rPr>
        <w:t>数据流通服务机构应根据数据提供方数据共享的需求和目标、数据接收方的需求、数据流通平台的变化情况，及时调整现有的访问控制策略，动态保障数据流通平台的访问权限。</w:t>
      </w:r>
    </w:p>
    <w:p>
      <w:pPr>
        <w:spacing w:before="156" w:beforeLines="50" w:after="156" w:afterLines="50"/>
        <w:ind w:firstLine="0" w:firstLineChars="0"/>
        <w:jc w:val="both"/>
        <w:outlineLvl w:val="2"/>
      </w:pPr>
      <w:r>
        <w:rPr>
          <w:rFonts w:hint="eastAsia"/>
        </w:rPr>
        <w:t>7.1.4  方案设计要求</w:t>
      </w:r>
    </w:p>
    <w:p>
      <w:pPr>
        <w:ind w:firstLine="420"/>
        <w:jc w:val="both"/>
      </w:pPr>
      <w:r>
        <w:rPr>
          <w:rFonts w:hint="eastAsia"/>
        </w:rPr>
        <w:t>数据流通服务机构应在归口行政管理部门的指导与监督下，按照GB/T 25070的要求，选择具有相应能力的承建单位承担或参与数据共享方案的设计，方案设计应满足以下要求：</w:t>
      </w:r>
    </w:p>
    <w:p>
      <w:pPr>
        <w:pStyle w:val="50"/>
        <w:numPr>
          <w:ilvl w:val="0"/>
          <w:numId w:val="19"/>
        </w:numPr>
        <w:ind w:firstLineChars="0"/>
        <w:jc w:val="both"/>
      </w:pPr>
      <w:r>
        <w:rPr>
          <w:rFonts w:hint="eastAsia"/>
        </w:rPr>
        <w:t>方案设计前应经过风险评估，根据评估结果确定应采取的保护措施；</w:t>
      </w:r>
    </w:p>
    <w:p>
      <w:pPr>
        <w:pStyle w:val="50"/>
        <w:numPr>
          <w:ilvl w:val="0"/>
          <w:numId w:val="19"/>
        </w:numPr>
        <w:ind w:firstLineChars="0"/>
        <w:jc w:val="both"/>
      </w:pPr>
      <w:r>
        <w:rPr>
          <w:rFonts w:hint="eastAsia"/>
        </w:rPr>
        <w:t>应选择具有相应能力的承建单位承担或参与数据共享方案的设计；</w:t>
      </w:r>
    </w:p>
    <w:p>
      <w:pPr>
        <w:pStyle w:val="50"/>
        <w:numPr>
          <w:ilvl w:val="0"/>
          <w:numId w:val="19"/>
        </w:numPr>
        <w:ind w:firstLineChars="0"/>
        <w:jc w:val="both"/>
      </w:pPr>
      <w:r>
        <w:rPr>
          <w:rFonts w:hint="eastAsia"/>
        </w:rPr>
        <w:t>数据流通服务机构应联合数据提供方对设计方案进行审查论证，归口行政管理部门应当参与方案审查论证，在整体安全性方面加强指导，严格把关。</w:t>
      </w:r>
    </w:p>
    <w:p>
      <w:pPr>
        <w:spacing w:before="156" w:beforeLines="50" w:after="156" w:afterLines="50"/>
        <w:ind w:firstLine="0" w:firstLineChars="0"/>
        <w:jc w:val="both"/>
        <w:outlineLvl w:val="1"/>
      </w:pPr>
      <w:r>
        <w:rPr>
          <w:rFonts w:hint="eastAsia"/>
        </w:rPr>
        <w:t>7.2  数据共享磋商</w:t>
      </w:r>
    </w:p>
    <w:p>
      <w:pPr>
        <w:spacing w:before="156" w:beforeLines="50" w:after="156" w:afterLines="50"/>
        <w:ind w:firstLine="0" w:firstLineChars="0"/>
        <w:jc w:val="both"/>
        <w:outlineLvl w:val="2"/>
      </w:pPr>
      <w:r>
        <w:rPr>
          <w:rFonts w:hint="eastAsia"/>
        </w:rPr>
        <w:t>7.2.1  共享磋商要求</w:t>
      </w:r>
    </w:p>
    <w:p>
      <w:pPr>
        <w:ind w:firstLine="420"/>
        <w:jc w:val="both"/>
        <w:rPr>
          <w:rFonts w:hint="eastAsia"/>
        </w:rPr>
      </w:pPr>
      <w:r>
        <w:rPr>
          <w:rFonts w:hint="eastAsia"/>
        </w:rPr>
        <w:t>数据共享磋商应满足以下要求：</w:t>
      </w:r>
    </w:p>
    <w:p>
      <w:pPr>
        <w:pStyle w:val="50"/>
        <w:numPr>
          <w:ilvl w:val="0"/>
          <w:numId w:val="20"/>
        </w:numPr>
        <w:ind w:firstLineChars="0"/>
        <w:jc w:val="both"/>
      </w:pPr>
      <w:r>
        <w:rPr>
          <w:rFonts w:hint="eastAsia"/>
        </w:rPr>
        <w:t>数据提供方、数据接收方应对共享数据的用途、使用范围、共享方式和使用期限等协商和约定，形成共享合同；</w:t>
      </w:r>
    </w:p>
    <w:p>
      <w:pPr>
        <w:pStyle w:val="50"/>
        <w:numPr>
          <w:ilvl w:val="0"/>
          <w:numId w:val="20"/>
        </w:numPr>
        <w:ind w:firstLineChars="0"/>
        <w:jc w:val="both"/>
      </w:pPr>
      <w:r>
        <w:rPr>
          <w:rFonts w:hint="eastAsia"/>
        </w:rPr>
        <w:t>数据流通服务机构应对共享合同从数据流通安全、个人信息保护安全等方面进行审核，确保符合相关法律法规和标准等合规性要求，撤销不符合要求的共享合同；</w:t>
      </w:r>
    </w:p>
    <w:p>
      <w:pPr>
        <w:pStyle w:val="50"/>
        <w:numPr>
          <w:ilvl w:val="0"/>
          <w:numId w:val="20"/>
        </w:numPr>
        <w:ind w:firstLineChars="0"/>
        <w:jc w:val="both"/>
      </w:pPr>
      <w:r>
        <w:rPr>
          <w:rFonts w:hint="eastAsia"/>
        </w:rPr>
        <w:t>数据流通服务机构应对审核通过的合同进行登记备案，并对数据提供方、数据接收方发出合同确认通知。</w:t>
      </w:r>
    </w:p>
    <w:p>
      <w:pPr>
        <w:spacing w:before="156" w:beforeLines="50" w:after="156" w:afterLines="50"/>
        <w:ind w:firstLine="0" w:firstLineChars="0"/>
        <w:jc w:val="both"/>
        <w:outlineLvl w:val="2"/>
      </w:pPr>
      <w:r>
        <w:rPr>
          <w:rFonts w:hint="eastAsia"/>
        </w:rPr>
        <w:t>7.2.2  数据共享承诺</w:t>
      </w:r>
    </w:p>
    <w:p>
      <w:pPr>
        <w:ind w:firstLine="420" w:firstLineChars="0"/>
        <w:jc w:val="both"/>
        <w:rPr>
          <w:rFonts w:hint="eastAsia"/>
        </w:rPr>
      </w:pPr>
      <w:r>
        <w:rPr>
          <w:rFonts w:hint="eastAsia"/>
        </w:rPr>
        <w:t>数据共享承诺应满足以下要求：</w:t>
      </w:r>
    </w:p>
    <w:p>
      <w:pPr>
        <w:pStyle w:val="50"/>
        <w:numPr>
          <w:ilvl w:val="0"/>
          <w:numId w:val="21"/>
        </w:numPr>
        <w:ind w:firstLineChars="0"/>
        <w:jc w:val="both"/>
      </w:pPr>
      <w:r>
        <w:rPr>
          <w:rFonts w:hint="eastAsia"/>
        </w:rPr>
        <w:t>数据提供方、数据流通服务机构、数据接收者在启动数据共享流程前应签订书面的数据共享和使用安全承诺；</w:t>
      </w:r>
    </w:p>
    <w:p>
      <w:pPr>
        <w:pStyle w:val="50"/>
        <w:numPr>
          <w:ilvl w:val="0"/>
          <w:numId w:val="21"/>
        </w:numPr>
        <w:ind w:firstLineChars="0"/>
        <w:jc w:val="both"/>
      </w:pPr>
      <w:r>
        <w:rPr>
          <w:rFonts w:hint="eastAsia"/>
        </w:rPr>
        <w:t>安全承诺内容包括但不限于：遵守数据共享安全原则、数据流通服务机构愿意接受数据提供方的安全监督、数据接收方愿意接受数据流通服务机构安全监督、遵守数据提供方提出的数据安全要求、对所持有数据提供充分的安全保护、未经明确授权不公开或转交数据给第三方、未经明确授权不应转移或携带数据出境等。</w:t>
      </w:r>
    </w:p>
    <w:p>
      <w:pPr>
        <w:spacing w:before="156" w:beforeLines="50" w:after="156" w:afterLines="50"/>
        <w:ind w:firstLine="0" w:firstLineChars="0"/>
        <w:jc w:val="both"/>
        <w:outlineLvl w:val="1"/>
      </w:pPr>
      <w:r>
        <w:rPr>
          <w:rFonts w:hint="eastAsia"/>
        </w:rPr>
        <w:t>7.3  数据共享安全</w:t>
      </w:r>
    </w:p>
    <w:p>
      <w:pPr>
        <w:spacing w:before="156" w:beforeLines="50" w:after="156" w:afterLines="50"/>
        <w:ind w:firstLine="0" w:firstLineChars="0"/>
        <w:jc w:val="both"/>
        <w:outlineLvl w:val="2"/>
      </w:pPr>
      <w:r>
        <w:rPr>
          <w:rFonts w:hint="eastAsia"/>
        </w:rPr>
        <w:t>7.3.1  数据流通平台安全</w:t>
      </w:r>
    </w:p>
    <w:p>
      <w:pPr>
        <w:ind w:firstLine="420"/>
        <w:jc w:val="both"/>
      </w:pPr>
      <w:r>
        <w:rPr>
          <w:rFonts w:hint="eastAsia"/>
        </w:rPr>
        <w:t>应根据信息安全等级保护要求，具体依据GB/T 22239和GB/T 25070中的相应要求，对数据流通平台的安全性作如下要求：</w:t>
      </w:r>
    </w:p>
    <w:p>
      <w:pPr>
        <w:pStyle w:val="50"/>
        <w:numPr>
          <w:ilvl w:val="0"/>
          <w:numId w:val="22"/>
        </w:numPr>
        <w:ind w:firstLineChars="0"/>
        <w:jc w:val="both"/>
      </w:pPr>
      <w:r>
        <w:rPr>
          <w:rFonts w:hint="eastAsia"/>
        </w:rPr>
        <w:t>应定期对数据流通平台进行安全性能检测；</w:t>
      </w:r>
    </w:p>
    <w:p>
      <w:pPr>
        <w:pStyle w:val="50"/>
        <w:numPr>
          <w:ilvl w:val="0"/>
          <w:numId w:val="22"/>
        </w:numPr>
        <w:ind w:firstLineChars="0"/>
        <w:jc w:val="both"/>
      </w:pPr>
      <w:r>
        <w:rPr>
          <w:rFonts w:hint="eastAsia"/>
        </w:rPr>
        <w:t>应制定文档化的明确的平台安全性能检测策略；</w:t>
      </w:r>
    </w:p>
    <w:p>
      <w:pPr>
        <w:pStyle w:val="50"/>
        <w:numPr>
          <w:ilvl w:val="0"/>
          <w:numId w:val="22"/>
        </w:numPr>
        <w:ind w:firstLineChars="0"/>
        <w:jc w:val="both"/>
      </w:pPr>
      <w:r>
        <w:rPr>
          <w:rFonts w:hint="eastAsia"/>
        </w:rPr>
        <w:t>应采用国家相关主管部门批准使用的检测工具对平台进行安全性能检测，检测工具版本应及时更新；</w:t>
      </w:r>
    </w:p>
    <w:p>
      <w:pPr>
        <w:pStyle w:val="50"/>
        <w:numPr>
          <w:ilvl w:val="0"/>
          <w:numId w:val="22"/>
        </w:numPr>
        <w:ind w:firstLineChars="0"/>
        <w:jc w:val="both"/>
      </w:pPr>
      <w:r>
        <w:rPr>
          <w:rFonts w:hint="eastAsia"/>
        </w:rPr>
        <w:t>应对平台安全性能检测数据进行详细记录和分析，并对发现的漏洞和脆弱点及时修补。</w:t>
      </w:r>
    </w:p>
    <w:p>
      <w:pPr>
        <w:spacing w:before="156" w:beforeLines="50" w:after="156" w:afterLines="50"/>
        <w:ind w:firstLine="0" w:firstLineChars="0"/>
        <w:jc w:val="both"/>
        <w:outlineLvl w:val="2"/>
      </w:pPr>
      <w:r>
        <w:rPr>
          <w:rFonts w:hint="eastAsia"/>
        </w:rPr>
        <w:t>7.3.2  数据传输安全</w:t>
      </w:r>
    </w:p>
    <w:p>
      <w:pPr>
        <w:ind w:firstLine="420"/>
        <w:jc w:val="both"/>
        <w:rPr>
          <w:rFonts w:hint="eastAsia"/>
        </w:rPr>
      </w:pPr>
      <w:r>
        <w:rPr>
          <w:rFonts w:hint="eastAsia"/>
        </w:rPr>
        <w:t>数据传输应满足以下安全要求：</w:t>
      </w:r>
    </w:p>
    <w:p>
      <w:pPr>
        <w:pStyle w:val="50"/>
        <w:numPr>
          <w:ilvl w:val="0"/>
          <w:numId w:val="23"/>
        </w:numPr>
        <w:ind w:firstLineChars="0"/>
        <w:jc w:val="both"/>
      </w:pPr>
      <w:r>
        <w:rPr>
          <w:rFonts w:hint="eastAsia"/>
        </w:rPr>
        <w:t>应对数据提供方、数据接收方身份进行鉴别和认证。</w:t>
      </w:r>
    </w:p>
    <w:p>
      <w:pPr>
        <w:pStyle w:val="50"/>
        <w:numPr>
          <w:ilvl w:val="0"/>
          <w:numId w:val="23"/>
        </w:numPr>
        <w:ind w:firstLineChars="0"/>
        <w:jc w:val="both"/>
      </w:pPr>
      <w:r>
        <w:rPr>
          <w:rFonts w:hint="eastAsia"/>
        </w:rPr>
        <w:t>应采用密码技术进行数据保护，密码技术应采用国产密码算法。</w:t>
      </w:r>
    </w:p>
    <w:p>
      <w:pPr>
        <w:spacing w:before="156" w:beforeLines="50" w:after="156" w:afterLines="50"/>
        <w:ind w:firstLine="0" w:firstLineChars="0"/>
        <w:jc w:val="both"/>
        <w:outlineLvl w:val="2"/>
      </w:pPr>
      <w:r>
        <w:rPr>
          <w:rFonts w:hint="eastAsia"/>
        </w:rPr>
        <w:t>7.3.3  数据完整性保护</w:t>
      </w:r>
    </w:p>
    <w:p>
      <w:pPr>
        <w:ind w:firstLine="420"/>
        <w:jc w:val="both"/>
      </w:pPr>
      <w:r>
        <w:rPr>
          <w:rFonts w:hint="eastAsia"/>
        </w:rPr>
        <w:t>应根据信息安全等级保护要求，具体依据</w:t>
      </w:r>
      <w:r>
        <w:t>GB/T 22239</w:t>
      </w:r>
      <w:r>
        <w:rPr>
          <w:rFonts w:hint="eastAsia"/>
        </w:rPr>
        <w:t>和</w:t>
      </w:r>
      <w:r>
        <w:t>GB/T 25070</w:t>
      </w:r>
      <w:r>
        <w:rPr>
          <w:rFonts w:hint="eastAsia"/>
        </w:rPr>
        <w:t>中的相应要求，对数据共享中的数据完整性作如下要求：</w:t>
      </w:r>
    </w:p>
    <w:p>
      <w:pPr>
        <w:pStyle w:val="50"/>
        <w:numPr>
          <w:ilvl w:val="0"/>
          <w:numId w:val="24"/>
        </w:numPr>
        <w:ind w:firstLineChars="0"/>
        <w:jc w:val="both"/>
      </w:pPr>
      <w:r>
        <w:rPr>
          <w:rFonts w:hint="eastAsia"/>
        </w:rPr>
        <w:t>应制定文档化的明确的数据完整性保护策略；</w:t>
      </w:r>
    </w:p>
    <w:p>
      <w:pPr>
        <w:pStyle w:val="50"/>
        <w:numPr>
          <w:ilvl w:val="0"/>
          <w:numId w:val="24"/>
        </w:numPr>
        <w:ind w:firstLineChars="0"/>
        <w:jc w:val="both"/>
      </w:pPr>
      <w:r>
        <w:rPr>
          <w:rFonts w:hint="eastAsia"/>
        </w:rPr>
        <w:t>应对平台中传输的数据进行完整性检测，及时发现数据被篡改、删除、插入的情况，并生成审计日志。</w:t>
      </w:r>
    </w:p>
    <w:p>
      <w:pPr>
        <w:spacing w:before="156" w:beforeLines="50" w:after="156" w:afterLines="50"/>
        <w:ind w:firstLine="0" w:firstLineChars="0"/>
        <w:jc w:val="both"/>
        <w:outlineLvl w:val="2"/>
      </w:pPr>
      <w:r>
        <w:rPr>
          <w:rFonts w:hint="eastAsia"/>
        </w:rPr>
        <w:t>7.3.4  数据安全审计</w:t>
      </w:r>
    </w:p>
    <w:p>
      <w:pPr>
        <w:ind w:firstLine="420"/>
        <w:jc w:val="both"/>
        <w:rPr>
          <w:rFonts w:hint="eastAsia"/>
        </w:rPr>
      </w:pPr>
      <w:r>
        <w:rPr>
          <w:rFonts w:hint="eastAsia"/>
        </w:rPr>
        <w:t>数据共享过程应满足以下安全审计要求：</w:t>
      </w:r>
    </w:p>
    <w:p>
      <w:pPr>
        <w:pStyle w:val="50"/>
        <w:numPr>
          <w:ilvl w:val="0"/>
          <w:numId w:val="25"/>
        </w:numPr>
        <w:ind w:firstLineChars="0"/>
        <w:jc w:val="both"/>
      </w:pPr>
      <w:r>
        <w:rPr>
          <w:rFonts w:hint="eastAsia"/>
        </w:rPr>
        <w:t>应制定文档化的明确的数据共享安全审计策略，策略应根据数据发布的变化情况动态更新；</w:t>
      </w:r>
    </w:p>
    <w:p>
      <w:pPr>
        <w:pStyle w:val="50"/>
        <w:numPr>
          <w:ilvl w:val="0"/>
          <w:numId w:val="25"/>
        </w:numPr>
        <w:ind w:firstLineChars="0"/>
        <w:jc w:val="both"/>
      </w:pPr>
      <w:r>
        <w:rPr>
          <w:rFonts w:hint="eastAsia"/>
        </w:rPr>
        <w:t>安全审计应与数据源安全、访问控制等安全功能的设计紧密结合，针对数据共享过程中的可审计事件产生审计记录；</w:t>
      </w:r>
    </w:p>
    <w:p>
      <w:pPr>
        <w:pStyle w:val="50"/>
        <w:numPr>
          <w:ilvl w:val="0"/>
          <w:numId w:val="25"/>
        </w:numPr>
        <w:ind w:firstLineChars="0"/>
        <w:jc w:val="both"/>
      </w:pPr>
      <w:r>
        <w:rPr>
          <w:rFonts w:hint="eastAsia"/>
        </w:rPr>
        <w:t>审计记录应包括以下内容：数间发生的时间、地点、类型、主体、客体和结果（成功或失败）；</w:t>
      </w:r>
    </w:p>
    <w:p>
      <w:pPr>
        <w:pStyle w:val="50"/>
        <w:numPr>
          <w:ilvl w:val="0"/>
          <w:numId w:val="25"/>
        </w:numPr>
        <w:ind w:firstLineChars="0"/>
        <w:jc w:val="both"/>
      </w:pPr>
      <w:r>
        <w:rPr>
          <w:rFonts w:hint="eastAsia"/>
        </w:rPr>
        <w:t>应对已存储的审计记录进行保护，能检测或防止对审计记录的修改和伪造；</w:t>
      </w:r>
    </w:p>
    <w:p>
      <w:pPr>
        <w:pStyle w:val="50"/>
        <w:numPr>
          <w:ilvl w:val="0"/>
          <w:numId w:val="25"/>
        </w:numPr>
        <w:ind w:firstLineChars="0"/>
        <w:jc w:val="both"/>
      </w:pPr>
      <w:r>
        <w:rPr>
          <w:rFonts w:hint="eastAsia"/>
        </w:rPr>
        <w:t>审计记录应长期保存；</w:t>
      </w:r>
    </w:p>
    <w:p>
      <w:pPr>
        <w:pStyle w:val="50"/>
        <w:numPr>
          <w:ilvl w:val="0"/>
          <w:numId w:val="25"/>
        </w:numPr>
        <w:ind w:firstLineChars="0"/>
        <w:jc w:val="both"/>
      </w:pPr>
      <w:r>
        <w:rPr>
          <w:rFonts w:hint="eastAsia"/>
        </w:rPr>
        <w:t>应定期对审计记录进行审查或分析，调查可疑行为及违规操作，采取相应的措施，并及时报告。</w:t>
      </w:r>
    </w:p>
    <w:p>
      <w:pPr>
        <w:spacing w:before="156" w:beforeLines="50" w:after="156" w:afterLines="50"/>
        <w:ind w:firstLine="0" w:firstLineChars="0"/>
        <w:jc w:val="both"/>
        <w:outlineLvl w:val="2"/>
      </w:pPr>
      <w:r>
        <w:rPr>
          <w:rFonts w:hint="eastAsia"/>
        </w:rPr>
        <w:t>7.3.5  数据权属明确</w:t>
      </w:r>
    </w:p>
    <w:p>
      <w:pPr>
        <w:ind w:firstLine="420"/>
        <w:jc w:val="both"/>
      </w:pPr>
      <w:r>
        <w:rPr>
          <w:rFonts w:hint="eastAsia"/>
        </w:rPr>
        <w:t>数据共享过程中，应明确数据权属不变，仍为数据提供方所有，数据转移过程中应遵循责任权属原则。</w:t>
      </w:r>
    </w:p>
    <w:p>
      <w:pPr>
        <w:spacing w:before="156" w:beforeLines="50" w:after="156" w:afterLines="50"/>
        <w:ind w:firstLine="0" w:firstLineChars="0"/>
        <w:jc w:val="both"/>
        <w:outlineLvl w:val="1"/>
      </w:pPr>
      <w:r>
        <w:rPr>
          <w:rFonts w:hint="eastAsia"/>
        </w:rPr>
        <w:t>7.4  共享结束</w:t>
      </w:r>
    </w:p>
    <w:p>
      <w:pPr>
        <w:spacing w:before="156" w:beforeLines="50" w:after="156" w:afterLines="50"/>
        <w:ind w:firstLine="0" w:firstLineChars="0"/>
        <w:jc w:val="both"/>
        <w:outlineLvl w:val="2"/>
      </w:pPr>
      <w:r>
        <w:rPr>
          <w:rFonts w:hint="eastAsia"/>
        </w:rPr>
        <w:t>7.4.1  数据接收方要求</w:t>
      </w:r>
    </w:p>
    <w:p>
      <w:pPr>
        <w:ind w:firstLine="420"/>
        <w:jc w:val="both"/>
        <w:rPr>
          <w:rFonts w:hint="eastAsia"/>
        </w:rPr>
      </w:pPr>
      <w:r>
        <w:rPr>
          <w:rFonts w:hint="eastAsia"/>
        </w:rPr>
        <w:t>数据接收方应满足以下要求：</w:t>
      </w:r>
    </w:p>
    <w:p>
      <w:pPr>
        <w:pStyle w:val="50"/>
        <w:numPr>
          <w:ilvl w:val="0"/>
          <w:numId w:val="26"/>
        </w:numPr>
        <w:ind w:firstLineChars="0"/>
        <w:jc w:val="both"/>
      </w:pPr>
      <w:r>
        <w:rPr>
          <w:rFonts w:hint="eastAsia"/>
        </w:rPr>
        <w:t>应为无违法违规记录的境内合法组织或自然人；</w:t>
      </w:r>
    </w:p>
    <w:p>
      <w:pPr>
        <w:pStyle w:val="50"/>
        <w:numPr>
          <w:ilvl w:val="0"/>
          <w:numId w:val="26"/>
        </w:numPr>
        <w:ind w:firstLineChars="0"/>
        <w:jc w:val="both"/>
      </w:pPr>
      <w:r>
        <w:rPr>
          <w:rFonts w:hint="eastAsia"/>
        </w:rPr>
        <w:t>应完成在数据流通服务机构的注册，并经数据流通服务机构审核通过；</w:t>
      </w:r>
    </w:p>
    <w:p>
      <w:pPr>
        <w:pStyle w:val="50"/>
        <w:numPr>
          <w:ilvl w:val="0"/>
          <w:numId w:val="26"/>
        </w:numPr>
        <w:ind w:firstLineChars="0"/>
        <w:jc w:val="both"/>
      </w:pPr>
      <w:r>
        <w:rPr>
          <w:rFonts w:hint="eastAsia"/>
        </w:rPr>
        <w:t>应证明其具备对共享数据实施安全保护的能力；</w:t>
      </w:r>
    </w:p>
    <w:p>
      <w:pPr>
        <w:pStyle w:val="50"/>
        <w:numPr>
          <w:ilvl w:val="0"/>
          <w:numId w:val="26"/>
        </w:numPr>
        <w:ind w:firstLineChars="0"/>
        <w:jc w:val="both"/>
      </w:pPr>
      <w:r>
        <w:rPr>
          <w:rFonts w:hint="eastAsia"/>
        </w:rPr>
        <w:t>在按照数据共享约定方式完成数据使用后，应及时销毁共享数据；</w:t>
      </w:r>
    </w:p>
    <w:p>
      <w:pPr>
        <w:pStyle w:val="50"/>
        <w:numPr>
          <w:ilvl w:val="0"/>
          <w:numId w:val="26"/>
        </w:numPr>
        <w:ind w:firstLineChars="0"/>
        <w:jc w:val="both"/>
      </w:pPr>
      <w:r>
        <w:rPr>
          <w:rFonts w:hint="eastAsia"/>
        </w:rPr>
        <w:t>数据流通服务机构应建立和执行针对数据接收方的安全监管制度和流程。</w:t>
      </w:r>
    </w:p>
    <w:p>
      <w:pPr>
        <w:spacing w:before="156" w:beforeLines="50" w:after="156" w:afterLines="50"/>
        <w:ind w:firstLine="0" w:firstLineChars="0"/>
        <w:jc w:val="both"/>
        <w:outlineLvl w:val="2"/>
      </w:pPr>
      <w:r>
        <w:rPr>
          <w:rFonts w:hint="eastAsia"/>
        </w:rPr>
        <w:t>7.4.2  数据销毁要求</w:t>
      </w:r>
    </w:p>
    <w:p>
      <w:pPr>
        <w:ind w:firstLine="420"/>
        <w:jc w:val="both"/>
        <w:rPr>
          <w:rFonts w:hint="eastAsia"/>
        </w:rPr>
      </w:pPr>
      <w:r>
        <w:rPr>
          <w:rFonts w:hint="eastAsia"/>
        </w:rPr>
        <w:t>数据销毁应满足以下要求：</w:t>
      </w:r>
    </w:p>
    <w:p>
      <w:pPr>
        <w:pStyle w:val="50"/>
        <w:numPr>
          <w:ilvl w:val="0"/>
          <w:numId w:val="27"/>
        </w:numPr>
        <w:ind w:firstLineChars="0"/>
        <w:jc w:val="both"/>
      </w:pPr>
      <w:r>
        <w:rPr>
          <w:rFonts w:hint="eastAsia"/>
        </w:rPr>
        <w:t>数据流通平台在按照数据共享约定方式完成数据共享后，应及时销毁共享数据；</w:t>
      </w:r>
    </w:p>
    <w:p>
      <w:pPr>
        <w:pStyle w:val="50"/>
        <w:numPr>
          <w:ilvl w:val="0"/>
          <w:numId w:val="27"/>
        </w:numPr>
        <w:ind w:firstLineChars="0"/>
        <w:jc w:val="both"/>
      </w:pPr>
      <w:r>
        <w:rPr>
          <w:rFonts w:hint="eastAsia"/>
        </w:rPr>
        <w:t>数据流通平台应长期保留数据流通日志记录，以备数据溯源；</w:t>
      </w:r>
    </w:p>
    <w:p>
      <w:pPr>
        <w:pStyle w:val="50"/>
        <w:numPr>
          <w:ilvl w:val="0"/>
          <w:numId w:val="27"/>
        </w:numPr>
        <w:ind w:firstLineChars="0"/>
        <w:jc w:val="both"/>
      </w:pPr>
      <w:r>
        <w:rPr>
          <w:rFonts w:hint="eastAsia"/>
        </w:rPr>
        <w:t>数据流通平台应长期保留已流通数据的数据水印，以备数据溯源；</w:t>
      </w:r>
    </w:p>
    <w:p>
      <w:pPr>
        <w:pStyle w:val="50"/>
        <w:numPr>
          <w:ilvl w:val="0"/>
          <w:numId w:val="27"/>
        </w:numPr>
        <w:ind w:firstLineChars="0"/>
        <w:jc w:val="both"/>
      </w:pPr>
      <w:r>
        <w:rPr>
          <w:rFonts w:hint="eastAsia"/>
        </w:rPr>
        <w:t>数据流通安全管理机构应建立和执行针对数据销毁的安全监管制度和流程。</w:t>
      </w:r>
    </w:p>
    <w:sectPr>
      <w:pgSz w:w="11906" w:h="16838"/>
      <w:pgMar w:top="2268" w:right="1134" w:bottom="1418" w:left="1418" w:header="1417"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Impact">
    <w:panose1 w:val="020B0806030902050204"/>
    <w:charset w:val="00"/>
    <w:family w:val="swiss"/>
    <w:pitch w:val="default"/>
    <w:sig w:usb0="00000287" w:usb1="00000000" w:usb2="00000000" w:usb3="00000000" w:csb0="2000009F" w:csb1="DFD70000"/>
  </w:font>
  <w:font w:name="FrankRuehl">
    <w:panose1 w:val="020E0503060101010101"/>
    <w:charset w:val="B1"/>
    <w:family w:val="swiss"/>
    <w:pitch w:val="default"/>
    <w:sig w:usb0="00000801" w:usb1="00000000" w:usb2="00000000" w:usb3="00000000" w:csb0="00000020" w:csb1="002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7441638"/>
      <w:docPartObj>
        <w:docPartGallery w:val="autotext"/>
      </w:docPartObj>
    </w:sdtPr>
    <w:sdtContent>
      <w:p>
        <w:pPr>
          <w:pStyle w:val="20"/>
          <w:ind w:firstLine="360"/>
          <w:jc w:val="right"/>
        </w:pPr>
        <w:r>
          <w:fldChar w:fldCharType="begin"/>
        </w:r>
        <w:r>
          <w:instrText xml:space="preserve">PAGE   \* MERGEFORMAT</w:instrText>
        </w:r>
        <w:r>
          <w:fldChar w:fldCharType="separate"/>
        </w:r>
        <w:r>
          <w:rPr>
            <w:lang w:val="zh-CN"/>
          </w:rPr>
          <w:t>5</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477311"/>
      <w:docPartObj>
        <w:docPartGallery w:val="autotext"/>
      </w:docPartObj>
    </w:sdtPr>
    <w:sdtContent>
      <w:p>
        <w:pPr>
          <w:pStyle w:val="20"/>
          <w:ind w:firstLine="0" w:firstLineChars="0"/>
        </w:pPr>
        <w:r>
          <w:fldChar w:fldCharType="begin"/>
        </w:r>
        <w:r>
          <w:instrText xml:space="preserve">PAGE   \* MERGEFORMAT</w:instrText>
        </w:r>
        <w: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rFonts w:ascii="宋体" w:hAnsi="宋体" w:eastAsia="宋体"/>
        <w:szCs w:val="21"/>
      </w:rPr>
    </w:pPr>
    <w:r>
      <w:rPr>
        <w:rFonts w:ascii="宋体" w:hAnsi="宋体" w:eastAsia="宋体"/>
        <w:szCs w:val="21"/>
      </w:rPr>
      <w:t>DB52/T</w:t>
    </w:r>
    <w:r>
      <w:rPr>
        <w:rFonts w:hint="eastAsia" w:ascii="宋体" w:hAnsi="宋体" w:eastAsia="宋体"/>
        <w:szCs w:val="21"/>
      </w:rPr>
      <w:t xml:space="preserve"> XXXX-XXXX</w:t>
    </w:r>
    <w:r>
      <w:rPr>
        <w:rFonts w:ascii="宋体" w:hAnsi="宋体" w:eastAsia="宋体"/>
        <w:szCs w:val="21"/>
      </w:rPr>
      <w:t>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3"/>
      <w:rPr>
        <w:rFonts w:ascii="宋体" w:hAnsi="宋体" w:eastAsia="宋体"/>
      </w:rPr>
    </w:pPr>
    <w:r>
      <w:rPr>
        <w:rFonts w:ascii="宋体" w:hAnsi="宋体" w:eastAsia="宋体"/>
      </w:rPr>
      <w:t>DB52/T</w:t>
    </w:r>
    <w:r>
      <w:rPr>
        <w:rFonts w:hint="eastAsia" w:ascii="宋体" w:hAnsi="宋体" w:eastAsia="宋体"/>
      </w:rPr>
      <w:t xml:space="preserve"> </w:t>
    </w:r>
    <w:r>
      <w:rPr>
        <w:rFonts w:ascii="宋体" w:hAnsi="宋体" w:eastAsia="宋体"/>
      </w:rPr>
      <w:t>XXXX-XXXXT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D6C"/>
    <w:multiLevelType w:val="multilevel"/>
    <w:tmpl w:val="01D74D6C"/>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8722E85"/>
    <w:multiLevelType w:val="multilevel"/>
    <w:tmpl w:val="08722E85"/>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8CC2F7D"/>
    <w:multiLevelType w:val="multilevel"/>
    <w:tmpl w:val="08CC2F7D"/>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CE00E00"/>
    <w:multiLevelType w:val="multilevel"/>
    <w:tmpl w:val="0CE00E00"/>
    <w:lvl w:ilvl="0" w:tentative="0">
      <w:start w:val="1"/>
      <w:numFmt w:val="decimal"/>
      <w:pStyle w:val="64"/>
      <w:lvlText w:val="%1)"/>
      <w:lvlJc w:val="left"/>
      <w:pPr>
        <w:tabs>
          <w:tab w:val="left" w:pos="1380"/>
        </w:tabs>
        <w:ind w:left="1380" w:hanging="420"/>
      </w:pPr>
      <w:rPr>
        <w:rFonts w:hint="eastAsia" w:ascii="宋体" w:hAnsi="宋体" w:eastAsia="宋体"/>
      </w:rPr>
    </w:lvl>
    <w:lvl w:ilvl="1" w:tentative="0">
      <w:start w:val="1"/>
      <w:numFmt w:val="lowerLetter"/>
      <w:lvlText w:val="%2)"/>
      <w:lvlJc w:val="left"/>
      <w:pPr>
        <w:tabs>
          <w:tab w:val="left" w:pos="960"/>
        </w:tabs>
        <w:ind w:left="960" w:hanging="420"/>
      </w:p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4">
    <w:nsid w:val="0E185467"/>
    <w:multiLevelType w:val="multilevel"/>
    <w:tmpl w:val="0E18546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8A93BAE"/>
    <w:multiLevelType w:val="multilevel"/>
    <w:tmpl w:val="18A93BA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B595239"/>
    <w:multiLevelType w:val="multilevel"/>
    <w:tmpl w:val="1B595239"/>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1FC91163"/>
    <w:multiLevelType w:val="multilevel"/>
    <w:tmpl w:val="1FC91163"/>
    <w:lvl w:ilvl="0" w:tentative="0">
      <w:start w:val="1"/>
      <w:numFmt w:val="decimal"/>
      <w:pStyle w:val="9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6"/>
      <w:suff w:val="nothing"/>
      <w:lvlText w:val="%1.%2　"/>
      <w:lvlJc w:val="left"/>
      <w:pPr>
        <w:ind w:left="1418"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9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04B21C0"/>
    <w:multiLevelType w:val="multilevel"/>
    <w:tmpl w:val="204B21C0"/>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2258312B"/>
    <w:multiLevelType w:val="multilevel"/>
    <w:tmpl w:val="2258312B"/>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2AFD60AE"/>
    <w:multiLevelType w:val="multilevel"/>
    <w:tmpl w:val="2AFD60A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2EB80652"/>
    <w:multiLevelType w:val="multilevel"/>
    <w:tmpl w:val="2EB8065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3F4163AA"/>
    <w:multiLevelType w:val="multilevel"/>
    <w:tmpl w:val="3F4163AA"/>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443151E4"/>
    <w:multiLevelType w:val="multilevel"/>
    <w:tmpl w:val="443151E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4D0D41FD"/>
    <w:multiLevelType w:val="multilevel"/>
    <w:tmpl w:val="4D0D41FD"/>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55ED23E7"/>
    <w:multiLevelType w:val="multilevel"/>
    <w:tmpl w:val="55ED23E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5DA67286"/>
    <w:multiLevelType w:val="multilevel"/>
    <w:tmpl w:val="5DA6728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660B10F0"/>
    <w:multiLevelType w:val="multilevel"/>
    <w:tmpl w:val="660B10F0"/>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665D4E76"/>
    <w:multiLevelType w:val="multilevel"/>
    <w:tmpl w:val="665D4E7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695D6CE2"/>
    <w:multiLevelType w:val="multilevel"/>
    <w:tmpl w:val="695D6CE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697A3502"/>
    <w:multiLevelType w:val="multilevel"/>
    <w:tmpl w:val="697A350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6D6800E6"/>
    <w:multiLevelType w:val="multilevel"/>
    <w:tmpl w:val="6D6800E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DC444AC"/>
    <w:multiLevelType w:val="multilevel"/>
    <w:tmpl w:val="6DC444AC"/>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711B62FF"/>
    <w:multiLevelType w:val="multilevel"/>
    <w:tmpl w:val="711B62FF"/>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719401EA"/>
    <w:multiLevelType w:val="multilevel"/>
    <w:tmpl w:val="719401EA"/>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72E80979"/>
    <w:multiLevelType w:val="multilevel"/>
    <w:tmpl w:val="72E80979"/>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779F6430"/>
    <w:multiLevelType w:val="multilevel"/>
    <w:tmpl w:val="779F6430"/>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7"/>
  </w:num>
  <w:num w:numId="3">
    <w:abstractNumId w:val="16"/>
  </w:num>
  <w:num w:numId="4">
    <w:abstractNumId w:val="2"/>
  </w:num>
  <w:num w:numId="5">
    <w:abstractNumId w:val="9"/>
  </w:num>
  <w:num w:numId="6">
    <w:abstractNumId w:val="0"/>
  </w:num>
  <w:num w:numId="7">
    <w:abstractNumId w:val="24"/>
  </w:num>
  <w:num w:numId="8">
    <w:abstractNumId w:val="18"/>
  </w:num>
  <w:num w:numId="9">
    <w:abstractNumId w:val="11"/>
  </w:num>
  <w:num w:numId="10">
    <w:abstractNumId w:val="10"/>
  </w:num>
  <w:num w:numId="11">
    <w:abstractNumId w:val="4"/>
  </w:num>
  <w:num w:numId="12">
    <w:abstractNumId w:val="8"/>
  </w:num>
  <w:num w:numId="13">
    <w:abstractNumId w:val="25"/>
  </w:num>
  <w:num w:numId="14">
    <w:abstractNumId w:val="13"/>
  </w:num>
  <w:num w:numId="15">
    <w:abstractNumId w:val="20"/>
  </w:num>
  <w:num w:numId="16">
    <w:abstractNumId w:val="17"/>
  </w:num>
  <w:num w:numId="17">
    <w:abstractNumId w:val="12"/>
  </w:num>
  <w:num w:numId="18">
    <w:abstractNumId w:val="6"/>
  </w:num>
  <w:num w:numId="19">
    <w:abstractNumId w:val="26"/>
  </w:num>
  <w:num w:numId="20">
    <w:abstractNumId w:val="5"/>
  </w:num>
  <w:num w:numId="21">
    <w:abstractNumId w:val="23"/>
  </w:num>
  <w:num w:numId="22">
    <w:abstractNumId w:val="15"/>
  </w:num>
  <w:num w:numId="23">
    <w:abstractNumId w:val="14"/>
  </w:num>
  <w:num w:numId="24">
    <w:abstractNumId w:val="22"/>
  </w:num>
  <w:num w:numId="25">
    <w:abstractNumId w:val="1"/>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16C1"/>
    <w:rsid w:val="0000224D"/>
    <w:rsid w:val="000023E5"/>
    <w:rsid w:val="00005605"/>
    <w:rsid w:val="0001431E"/>
    <w:rsid w:val="000143DC"/>
    <w:rsid w:val="00014DF4"/>
    <w:rsid w:val="00015BD2"/>
    <w:rsid w:val="00015CC5"/>
    <w:rsid w:val="0002034A"/>
    <w:rsid w:val="00025EF5"/>
    <w:rsid w:val="000268C0"/>
    <w:rsid w:val="0002713F"/>
    <w:rsid w:val="000275AC"/>
    <w:rsid w:val="0002789E"/>
    <w:rsid w:val="00027B95"/>
    <w:rsid w:val="000305DA"/>
    <w:rsid w:val="00030838"/>
    <w:rsid w:val="00030915"/>
    <w:rsid w:val="00032C65"/>
    <w:rsid w:val="00034441"/>
    <w:rsid w:val="00034B39"/>
    <w:rsid w:val="00036B66"/>
    <w:rsid w:val="00040B39"/>
    <w:rsid w:val="00042082"/>
    <w:rsid w:val="0004220D"/>
    <w:rsid w:val="0004384C"/>
    <w:rsid w:val="00043A0A"/>
    <w:rsid w:val="00044F55"/>
    <w:rsid w:val="00047A02"/>
    <w:rsid w:val="00047DB1"/>
    <w:rsid w:val="0005153D"/>
    <w:rsid w:val="00052BE6"/>
    <w:rsid w:val="00053261"/>
    <w:rsid w:val="00053FC8"/>
    <w:rsid w:val="00054324"/>
    <w:rsid w:val="000543C2"/>
    <w:rsid w:val="000550D0"/>
    <w:rsid w:val="0005534F"/>
    <w:rsid w:val="00055973"/>
    <w:rsid w:val="00056D18"/>
    <w:rsid w:val="000636DC"/>
    <w:rsid w:val="00064CB8"/>
    <w:rsid w:val="000658DF"/>
    <w:rsid w:val="00065D71"/>
    <w:rsid w:val="00066B59"/>
    <w:rsid w:val="00066BA0"/>
    <w:rsid w:val="0007034E"/>
    <w:rsid w:val="00070B38"/>
    <w:rsid w:val="00072BDD"/>
    <w:rsid w:val="00072FC9"/>
    <w:rsid w:val="00073E25"/>
    <w:rsid w:val="00077E08"/>
    <w:rsid w:val="000817A7"/>
    <w:rsid w:val="00082A34"/>
    <w:rsid w:val="00083557"/>
    <w:rsid w:val="000841AB"/>
    <w:rsid w:val="00085E4C"/>
    <w:rsid w:val="00090999"/>
    <w:rsid w:val="00091397"/>
    <w:rsid w:val="00094344"/>
    <w:rsid w:val="00094D7C"/>
    <w:rsid w:val="000A1425"/>
    <w:rsid w:val="000A52B9"/>
    <w:rsid w:val="000A617A"/>
    <w:rsid w:val="000B3448"/>
    <w:rsid w:val="000B4883"/>
    <w:rsid w:val="000B4A5C"/>
    <w:rsid w:val="000B6EB5"/>
    <w:rsid w:val="000B7B41"/>
    <w:rsid w:val="000B7F01"/>
    <w:rsid w:val="000C12C9"/>
    <w:rsid w:val="000C2730"/>
    <w:rsid w:val="000C3334"/>
    <w:rsid w:val="000C440C"/>
    <w:rsid w:val="000C4A08"/>
    <w:rsid w:val="000C557F"/>
    <w:rsid w:val="000C717D"/>
    <w:rsid w:val="000C71FF"/>
    <w:rsid w:val="000D3E00"/>
    <w:rsid w:val="000D42F0"/>
    <w:rsid w:val="000D475C"/>
    <w:rsid w:val="000D7244"/>
    <w:rsid w:val="000D783E"/>
    <w:rsid w:val="000E1298"/>
    <w:rsid w:val="000E5459"/>
    <w:rsid w:val="000E6364"/>
    <w:rsid w:val="000F17BB"/>
    <w:rsid w:val="000F2CA6"/>
    <w:rsid w:val="000F50F9"/>
    <w:rsid w:val="000F6966"/>
    <w:rsid w:val="000F6FC5"/>
    <w:rsid w:val="000F72D5"/>
    <w:rsid w:val="000F736F"/>
    <w:rsid w:val="00100866"/>
    <w:rsid w:val="00101168"/>
    <w:rsid w:val="001016A8"/>
    <w:rsid w:val="00104CF8"/>
    <w:rsid w:val="0010503F"/>
    <w:rsid w:val="00106437"/>
    <w:rsid w:val="00112386"/>
    <w:rsid w:val="001124A0"/>
    <w:rsid w:val="00112BC9"/>
    <w:rsid w:val="00113C80"/>
    <w:rsid w:val="00114162"/>
    <w:rsid w:val="001152D5"/>
    <w:rsid w:val="00117DE6"/>
    <w:rsid w:val="00120246"/>
    <w:rsid w:val="001209E1"/>
    <w:rsid w:val="00121AD3"/>
    <w:rsid w:val="00122292"/>
    <w:rsid w:val="001227D2"/>
    <w:rsid w:val="00122B3D"/>
    <w:rsid w:val="00123298"/>
    <w:rsid w:val="00123723"/>
    <w:rsid w:val="0012503F"/>
    <w:rsid w:val="00125601"/>
    <w:rsid w:val="00130022"/>
    <w:rsid w:val="00130AFD"/>
    <w:rsid w:val="00131ABD"/>
    <w:rsid w:val="00132EBE"/>
    <w:rsid w:val="00133110"/>
    <w:rsid w:val="00134083"/>
    <w:rsid w:val="0013414F"/>
    <w:rsid w:val="0013456A"/>
    <w:rsid w:val="00135720"/>
    <w:rsid w:val="00142E29"/>
    <w:rsid w:val="001434EB"/>
    <w:rsid w:val="00143EF5"/>
    <w:rsid w:val="00145410"/>
    <w:rsid w:val="00145CB2"/>
    <w:rsid w:val="00146EE0"/>
    <w:rsid w:val="001477E5"/>
    <w:rsid w:val="00150020"/>
    <w:rsid w:val="001505CB"/>
    <w:rsid w:val="001509DD"/>
    <w:rsid w:val="00161522"/>
    <w:rsid w:val="00163391"/>
    <w:rsid w:val="00164C7E"/>
    <w:rsid w:val="001672F3"/>
    <w:rsid w:val="001676E3"/>
    <w:rsid w:val="00167A04"/>
    <w:rsid w:val="00167E84"/>
    <w:rsid w:val="00170443"/>
    <w:rsid w:val="00170B6C"/>
    <w:rsid w:val="00171385"/>
    <w:rsid w:val="0017192C"/>
    <w:rsid w:val="00172CBD"/>
    <w:rsid w:val="0017307F"/>
    <w:rsid w:val="00175A20"/>
    <w:rsid w:val="00177D33"/>
    <w:rsid w:val="001809ED"/>
    <w:rsid w:val="00180FBF"/>
    <w:rsid w:val="001814C9"/>
    <w:rsid w:val="0018297B"/>
    <w:rsid w:val="0018323C"/>
    <w:rsid w:val="001847BA"/>
    <w:rsid w:val="00190A53"/>
    <w:rsid w:val="00190F7C"/>
    <w:rsid w:val="00193B6A"/>
    <w:rsid w:val="001945E6"/>
    <w:rsid w:val="0019600D"/>
    <w:rsid w:val="001966E1"/>
    <w:rsid w:val="0019688C"/>
    <w:rsid w:val="001973F9"/>
    <w:rsid w:val="001A08F7"/>
    <w:rsid w:val="001A24AC"/>
    <w:rsid w:val="001A319B"/>
    <w:rsid w:val="001A5C0E"/>
    <w:rsid w:val="001B0CD7"/>
    <w:rsid w:val="001B4275"/>
    <w:rsid w:val="001B5055"/>
    <w:rsid w:val="001C4CA5"/>
    <w:rsid w:val="001C4F10"/>
    <w:rsid w:val="001D18C0"/>
    <w:rsid w:val="001D2ED6"/>
    <w:rsid w:val="001D5585"/>
    <w:rsid w:val="001D6645"/>
    <w:rsid w:val="001D6C49"/>
    <w:rsid w:val="001D703B"/>
    <w:rsid w:val="001D7AD3"/>
    <w:rsid w:val="001E1656"/>
    <w:rsid w:val="001E1962"/>
    <w:rsid w:val="001E3AA4"/>
    <w:rsid w:val="001F1156"/>
    <w:rsid w:val="001F1FF3"/>
    <w:rsid w:val="001F3A61"/>
    <w:rsid w:val="001F5BC3"/>
    <w:rsid w:val="001F7DBD"/>
    <w:rsid w:val="00201FFB"/>
    <w:rsid w:val="002023F7"/>
    <w:rsid w:val="00202704"/>
    <w:rsid w:val="00203883"/>
    <w:rsid w:val="00207F10"/>
    <w:rsid w:val="00210078"/>
    <w:rsid w:val="0021219D"/>
    <w:rsid w:val="00212CFC"/>
    <w:rsid w:val="002137FD"/>
    <w:rsid w:val="0021571A"/>
    <w:rsid w:val="00215B3D"/>
    <w:rsid w:val="002173F9"/>
    <w:rsid w:val="002201F5"/>
    <w:rsid w:val="002206A8"/>
    <w:rsid w:val="00221B7A"/>
    <w:rsid w:val="00222A4A"/>
    <w:rsid w:val="00222F3C"/>
    <w:rsid w:val="00223660"/>
    <w:rsid w:val="00225099"/>
    <w:rsid w:val="00227363"/>
    <w:rsid w:val="00227C57"/>
    <w:rsid w:val="0023163C"/>
    <w:rsid w:val="00234E12"/>
    <w:rsid w:val="00236882"/>
    <w:rsid w:val="00240A97"/>
    <w:rsid w:val="002454FD"/>
    <w:rsid w:val="00246CFE"/>
    <w:rsid w:val="0025241F"/>
    <w:rsid w:val="00252842"/>
    <w:rsid w:val="0025317C"/>
    <w:rsid w:val="00253ECE"/>
    <w:rsid w:val="00254557"/>
    <w:rsid w:val="002549D6"/>
    <w:rsid w:val="00254EBF"/>
    <w:rsid w:val="002572CD"/>
    <w:rsid w:val="00257B6C"/>
    <w:rsid w:val="00260F7C"/>
    <w:rsid w:val="0026123B"/>
    <w:rsid w:val="00261D16"/>
    <w:rsid w:val="002621B4"/>
    <w:rsid w:val="00263023"/>
    <w:rsid w:val="00263333"/>
    <w:rsid w:val="0026472B"/>
    <w:rsid w:val="0026551E"/>
    <w:rsid w:val="00265C49"/>
    <w:rsid w:val="0026649E"/>
    <w:rsid w:val="00266A46"/>
    <w:rsid w:val="00271F04"/>
    <w:rsid w:val="00272463"/>
    <w:rsid w:val="00272949"/>
    <w:rsid w:val="00273DC4"/>
    <w:rsid w:val="00275444"/>
    <w:rsid w:val="00276EE3"/>
    <w:rsid w:val="00280C30"/>
    <w:rsid w:val="00281587"/>
    <w:rsid w:val="00281E97"/>
    <w:rsid w:val="00282337"/>
    <w:rsid w:val="002850A2"/>
    <w:rsid w:val="00285649"/>
    <w:rsid w:val="00285B0C"/>
    <w:rsid w:val="0028676C"/>
    <w:rsid w:val="00290608"/>
    <w:rsid w:val="002936A9"/>
    <w:rsid w:val="002948C9"/>
    <w:rsid w:val="0029644D"/>
    <w:rsid w:val="002A1F30"/>
    <w:rsid w:val="002A2A0E"/>
    <w:rsid w:val="002A7078"/>
    <w:rsid w:val="002A7D1D"/>
    <w:rsid w:val="002B1C07"/>
    <w:rsid w:val="002B2663"/>
    <w:rsid w:val="002B4024"/>
    <w:rsid w:val="002B57CE"/>
    <w:rsid w:val="002B7983"/>
    <w:rsid w:val="002C072F"/>
    <w:rsid w:val="002C0993"/>
    <w:rsid w:val="002C0E45"/>
    <w:rsid w:val="002C0E52"/>
    <w:rsid w:val="002C126F"/>
    <w:rsid w:val="002C34E5"/>
    <w:rsid w:val="002C353E"/>
    <w:rsid w:val="002C6794"/>
    <w:rsid w:val="002D0B2E"/>
    <w:rsid w:val="002D2B18"/>
    <w:rsid w:val="002D7524"/>
    <w:rsid w:val="002D7A26"/>
    <w:rsid w:val="002E13A2"/>
    <w:rsid w:val="002E420D"/>
    <w:rsid w:val="002E537D"/>
    <w:rsid w:val="002E5B3B"/>
    <w:rsid w:val="002F0D04"/>
    <w:rsid w:val="002F130E"/>
    <w:rsid w:val="002F1511"/>
    <w:rsid w:val="002F2237"/>
    <w:rsid w:val="002F39EE"/>
    <w:rsid w:val="002F4022"/>
    <w:rsid w:val="002F59EE"/>
    <w:rsid w:val="002F78D4"/>
    <w:rsid w:val="002F7A76"/>
    <w:rsid w:val="0030146C"/>
    <w:rsid w:val="0030175D"/>
    <w:rsid w:val="003017FD"/>
    <w:rsid w:val="003030B9"/>
    <w:rsid w:val="0030389F"/>
    <w:rsid w:val="00304E66"/>
    <w:rsid w:val="0030517B"/>
    <w:rsid w:val="00305209"/>
    <w:rsid w:val="00305974"/>
    <w:rsid w:val="00313315"/>
    <w:rsid w:val="00313D1D"/>
    <w:rsid w:val="00313E8B"/>
    <w:rsid w:val="00317C25"/>
    <w:rsid w:val="00321378"/>
    <w:rsid w:val="00321EA6"/>
    <w:rsid w:val="00322B9C"/>
    <w:rsid w:val="00322E60"/>
    <w:rsid w:val="00325069"/>
    <w:rsid w:val="00325F1A"/>
    <w:rsid w:val="003307D1"/>
    <w:rsid w:val="0033205B"/>
    <w:rsid w:val="00332BE6"/>
    <w:rsid w:val="0033318E"/>
    <w:rsid w:val="003354F4"/>
    <w:rsid w:val="0033621B"/>
    <w:rsid w:val="003379AB"/>
    <w:rsid w:val="0035457E"/>
    <w:rsid w:val="00354A1F"/>
    <w:rsid w:val="0035715B"/>
    <w:rsid w:val="00357E9C"/>
    <w:rsid w:val="00360631"/>
    <w:rsid w:val="003633C9"/>
    <w:rsid w:val="00363B00"/>
    <w:rsid w:val="003642BC"/>
    <w:rsid w:val="00364739"/>
    <w:rsid w:val="00365119"/>
    <w:rsid w:val="003652AB"/>
    <w:rsid w:val="00366B28"/>
    <w:rsid w:val="00366EDB"/>
    <w:rsid w:val="00366EE6"/>
    <w:rsid w:val="00372519"/>
    <w:rsid w:val="00373666"/>
    <w:rsid w:val="00373EF7"/>
    <w:rsid w:val="003740C3"/>
    <w:rsid w:val="00376DB4"/>
    <w:rsid w:val="00377CC3"/>
    <w:rsid w:val="0038333B"/>
    <w:rsid w:val="003846DB"/>
    <w:rsid w:val="00385273"/>
    <w:rsid w:val="003867AE"/>
    <w:rsid w:val="003879D0"/>
    <w:rsid w:val="00387B1B"/>
    <w:rsid w:val="00390918"/>
    <w:rsid w:val="00391780"/>
    <w:rsid w:val="00391BC9"/>
    <w:rsid w:val="00393477"/>
    <w:rsid w:val="00393D6A"/>
    <w:rsid w:val="00393DDE"/>
    <w:rsid w:val="00394170"/>
    <w:rsid w:val="00394E53"/>
    <w:rsid w:val="003967D5"/>
    <w:rsid w:val="00397B29"/>
    <w:rsid w:val="003A0039"/>
    <w:rsid w:val="003A192D"/>
    <w:rsid w:val="003A1D21"/>
    <w:rsid w:val="003A2395"/>
    <w:rsid w:val="003A5368"/>
    <w:rsid w:val="003A6635"/>
    <w:rsid w:val="003A742C"/>
    <w:rsid w:val="003A7B07"/>
    <w:rsid w:val="003B181B"/>
    <w:rsid w:val="003B478A"/>
    <w:rsid w:val="003B6A47"/>
    <w:rsid w:val="003C04B8"/>
    <w:rsid w:val="003C1E27"/>
    <w:rsid w:val="003C1EED"/>
    <w:rsid w:val="003C2698"/>
    <w:rsid w:val="003C505B"/>
    <w:rsid w:val="003C6F77"/>
    <w:rsid w:val="003C74B1"/>
    <w:rsid w:val="003D0038"/>
    <w:rsid w:val="003D243A"/>
    <w:rsid w:val="003D3018"/>
    <w:rsid w:val="003D3A29"/>
    <w:rsid w:val="003D3E0D"/>
    <w:rsid w:val="003D4B4E"/>
    <w:rsid w:val="003D539E"/>
    <w:rsid w:val="003D57F7"/>
    <w:rsid w:val="003D5A5C"/>
    <w:rsid w:val="003E0C97"/>
    <w:rsid w:val="003E122A"/>
    <w:rsid w:val="003E530C"/>
    <w:rsid w:val="003E5554"/>
    <w:rsid w:val="003E5DD6"/>
    <w:rsid w:val="003E667C"/>
    <w:rsid w:val="003E7720"/>
    <w:rsid w:val="003F018D"/>
    <w:rsid w:val="003F1D8A"/>
    <w:rsid w:val="003F6885"/>
    <w:rsid w:val="003F6CBD"/>
    <w:rsid w:val="004021CE"/>
    <w:rsid w:val="00402A02"/>
    <w:rsid w:val="00407CA2"/>
    <w:rsid w:val="00410C99"/>
    <w:rsid w:val="0041106D"/>
    <w:rsid w:val="0041141A"/>
    <w:rsid w:val="0041158A"/>
    <w:rsid w:val="00412194"/>
    <w:rsid w:val="00414104"/>
    <w:rsid w:val="00414E9A"/>
    <w:rsid w:val="0041767F"/>
    <w:rsid w:val="004201BE"/>
    <w:rsid w:val="004231D1"/>
    <w:rsid w:val="00423FFE"/>
    <w:rsid w:val="00426CA5"/>
    <w:rsid w:val="00427963"/>
    <w:rsid w:val="00432BBE"/>
    <w:rsid w:val="00432F9E"/>
    <w:rsid w:val="00434395"/>
    <w:rsid w:val="004364F2"/>
    <w:rsid w:val="00436E19"/>
    <w:rsid w:val="0043727A"/>
    <w:rsid w:val="00440AA9"/>
    <w:rsid w:val="00440AEC"/>
    <w:rsid w:val="00441BB0"/>
    <w:rsid w:val="004444BC"/>
    <w:rsid w:val="004464F4"/>
    <w:rsid w:val="00446EEA"/>
    <w:rsid w:val="004475D0"/>
    <w:rsid w:val="004548EB"/>
    <w:rsid w:val="0045712D"/>
    <w:rsid w:val="00460C8D"/>
    <w:rsid w:val="00461128"/>
    <w:rsid w:val="0046177B"/>
    <w:rsid w:val="00462090"/>
    <w:rsid w:val="004622E9"/>
    <w:rsid w:val="00462F2D"/>
    <w:rsid w:val="00463FA3"/>
    <w:rsid w:val="00464B6E"/>
    <w:rsid w:val="00464C5E"/>
    <w:rsid w:val="0046765F"/>
    <w:rsid w:val="00473008"/>
    <w:rsid w:val="00474EB6"/>
    <w:rsid w:val="00475B11"/>
    <w:rsid w:val="0048024B"/>
    <w:rsid w:val="00480AD1"/>
    <w:rsid w:val="004834D7"/>
    <w:rsid w:val="00483C8A"/>
    <w:rsid w:val="00484425"/>
    <w:rsid w:val="00485D1A"/>
    <w:rsid w:val="004868BE"/>
    <w:rsid w:val="00487A5A"/>
    <w:rsid w:val="00491E13"/>
    <w:rsid w:val="00492556"/>
    <w:rsid w:val="004928D9"/>
    <w:rsid w:val="00493D15"/>
    <w:rsid w:val="004942F7"/>
    <w:rsid w:val="00495150"/>
    <w:rsid w:val="00496235"/>
    <w:rsid w:val="004A0E39"/>
    <w:rsid w:val="004A25E6"/>
    <w:rsid w:val="004A27F2"/>
    <w:rsid w:val="004A2852"/>
    <w:rsid w:val="004A6CA8"/>
    <w:rsid w:val="004A7904"/>
    <w:rsid w:val="004B186C"/>
    <w:rsid w:val="004B6D44"/>
    <w:rsid w:val="004C1739"/>
    <w:rsid w:val="004C18C2"/>
    <w:rsid w:val="004C1B6D"/>
    <w:rsid w:val="004C28C5"/>
    <w:rsid w:val="004C31F0"/>
    <w:rsid w:val="004C5145"/>
    <w:rsid w:val="004C5178"/>
    <w:rsid w:val="004C7005"/>
    <w:rsid w:val="004C7949"/>
    <w:rsid w:val="004D05F5"/>
    <w:rsid w:val="004D1F63"/>
    <w:rsid w:val="004D5C25"/>
    <w:rsid w:val="004E2A50"/>
    <w:rsid w:val="004E2E37"/>
    <w:rsid w:val="004E3527"/>
    <w:rsid w:val="004E41CE"/>
    <w:rsid w:val="004E56C7"/>
    <w:rsid w:val="004E572F"/>
    <w:rsid w:val="004E67D0"/>
    <w:rsid w:val="004E6FEF"/>
    <w:rsid w:val="004F29CE"/>
    <w:rsid w:val="004F480B"/>
    <w:rsid w:val="004F6A94"/>
    <w:rsid w:val="00500FEB"/>
    <w:rsid w:val="00502E00"/>
    <w:rsid w:val="0050322C"/>
    <w:rsid w:val="0050395A"/>
    <w:rsid w:val="00503EAD"/>
    <w:rsid w:val="005046F2"/>
    <w:rsid w:val="005047BB"/>
    <w:rsid w:val="005056C1"/>
    <w:rsid w:val="00506389"/>
    <w:rsid w:val="00506F81"/>
    <w:rsid w:val="00507033"/>
    <w:rsid w:val="005109F6"/>
    <w:rsid w:val="00513919"/>
    <w:rsid w:val="00516E88"/>
    <w:rsid w:val="00520A64"/>
    <w:rsid w:val="005212A4"/>
    <w:rsid w:val="00521AAE"/>
    <w:rsid w:val="0052222F"/>
    <w:rsid w:val="00522C34"/>
    <w:rsid w:val="00526221"/>
    <w:rsid w:val="0052687F"/>
    <w:rsid w:val="00532D8F"/>
    <w:rsid w:val="005332E8"/>
    <w:rsid w:val="00533743"/>
    <w:rsid w:val="00533781"/>
    <w:rsid w:val="005337B3"/>
    <w:rsid w:val="005368F2"/>
    <w:rsid w:val="005375A9"/>
    <w:rsid w:val="00540928"/>
    <w:rsid w:val="00541116"/>
    <w:rsid w:val="005419BB"/>
    <w:rsid w:val="00543521"/>
    <w:rsid w:val="0054377C"/>
    <w:rsid w:val="005437E7"/>
    <w:rsid w:val="005477CB"/>
    <w:rsid w:val="005503D2"/>
    <w:rsid w:val="00552B1F"/>
    <w:rsid w:val="00552FF8"/>
    <w:rsid w:val="00555A0C"/>
    <w:rsid w:val="00561F98"/>
    <w:rsid w:val="0056263E"/>
    <w:rsid w:val="005628F5"/>
    <w:rsid w:val="00562A27"/>
    <w:rsid w:val="00565254"/>
    <w:rsid w:val="005669FB"/>
    <w:rsid w:val="00575067"/>
    <w:rsid w:val="00575666"/>
    <w:rsid w:val="005767FA"/>
    <w:rsid w:val="00577CF3"/>
    <w:rsid w:val="00580AFF"/>
    <w:rsid w:val="0058110A"/>
    <w:rsid w:val="00584855"/>
    <w:rsid w:val="00587D85"/>
    <w:rsid w:val="0059000B"/>
    <w:rsid w:val="0059153B"/>
    <w:rsid w:val="00592764"/>
    <w:rsid w:val="00592C01"/>
    <w:rsid w:val="005952EB"/>
    <w:rsid w:val="00597257"/>
    <w:rsid w:val="005A2248"/>
    <w:rsid w:val="005A2B43"/>
    <w:rsid w:val="005A4A3F"/>
    <w:rsid w:val="005A5678"/>
    <w:rsid w:val="005B1587"/>
    <w:rsid w:val="005B57BB"/>
    <w:rsid w:val="005B5DA0"/>
    <w:rsid w:val="005B67C0"/>
    <w:rsid w:val="005B6C0E"/>
    <w:rsid w:val="005B7C7E"/>
    <w:rsid w:val="005C000C"/>
    <w:rsid w:val="005C10C6"/>
    <w:rsid w:val="005C266E"/>
    <w:rsid w:val="005C495D"/>
    <w:rsid w:val="005C5425"/>
    <w:rsid w:val="005C7A03"/>
    <w:rsid w:val="005C7BCE"/>
    <w:rsid w:val="005D15FE"/>
    <w:rsid w:val="005D20B5"/>
    <w:rsid w:val="005D27C3"/>
    <w:rsid w:val="005D505A"/>
    <w:rsid w:val="005D5EA1"/>
    <w:rsid w:val="005D7641"/>
    <w:rsid w:val="005E0624"/>
    <w:rsid w:val="005E4126"/>
    <w:rsid w:val="005E6953"/>
    <w:rsid w:val="005E7BA7"/>
    <w:rsid w:val="005E7D83"/>
    <w:rsid w:val="005F3A19"/>
    <w:rsid w:val="005F4A6D"/>
    <w:rsid w:val="00603268"/>
    <w:rsid w:val="00607F5F"/>
    <w:rsid w:val="006111C2"/>
    <w:rsid w:val="0061121D"/>
    <w:rsid w:val="00611EF5"/>
    <w:rsid w:val="006124DD"/>
    <w:rsid w:val="00615216"/>
    <w:rsid w:val="00616036"/>
    <w:rsid w:val="0061617D"/>
    <w:rsid w:val="00622507"/>
    <w:rsid w:val="0062253A"/>
    <w:rsid w:val="00625595"/>
    <w:rsid w:val="00625F82"/>
    <w:rsid w:val="00626480"/>
    <w:rsid w:val="00626FD2"/>
    <w:rsid w:val="00630ABC"/>
    <w:rsid w:val="00631491"/>
    <w:rsid w:val="006355FC"/>
    <w:rsid w:val="00635BFE"/>
    <w:rsid w:val="006405DF"/>
    <w:rsid w:val="00640E8D"/>
    <w:rsid w:val="00641497"/>
    <w:rsid w:val="00643A4D"/>
    <w:rsid w:val="00644E47"/>
    <w:rsid w:val="006458EA"/>
    <w:rsid w:val="00647415"/>
    <w:rsid w:val="00650C8A"/>
    <w:rsid w:val="006511D9"/>
    <w:rsid w:val="00651338"/>
    <w:rsid w:val="00654C11"/>
    <w:rsid w:val="00654DFA"/>
    <w:rsid w:val="00656236"/>
    <w:rsid w:val="00656E94"/>
    <w:rsid w:val="0066056C"/>
    <w:rsid w:val="0066116E"/>
    <w:rsid w:val="00662CA9"/>
    <w:rsid w:val="00663F3F"/>
    <w:rsid w:val="00665315"/>
    <w:rsid w:val="00667225"/>
    <w:rsid w:val="006710F9"/>
    <w:rsid w:val="00671319"/>
    <w:rsid w:val="00673204"/>
    <w:rsid w:val="00675A01"/>
    <w:rsid w:val="0067618E"/>
    <w:rsid w:val="0067732F"/>
    <w:rsid w:val="006814A0"/>
    <w:rsid w:val="00684280"/>
    <w:rsid w:val="0068673C"/>
    <w:rsid w:val="00686934"/>
    <w:rsid w:val="0068771E"/>
    <w:rsid w:val="00691BA3"/>
    <w:rsid w:val="0069344F"/>
    <w:rsid w:val="006946CA"/>
    <w:rsid w:val="00696688"/>
    <w:rsid w:val="00697553"/>
    <w:rsid w:val="006A01E7"/>
    <w:rsid w:val="006A26F4"/>
    <w:rsid w:val="006A5094"/>
    <w:rsid w:val="006A60D3"/>
    <w:rsid w:val="006A7DFE"/>
    <w:rsid w:val="006B14D3"/>
    <w:rsid w:val="006B19E5"/>
    <w:rsid w:val="006B259F"/>
    <w:rsid w:val="006B2C03"/>
    <w:rsid w:val="006B37D9"/>
    <w:rsid w:val="006B3AB9"/>
    <w:rsid w:val="006B42E4"/>
    <w:rsid w:val="006B45C4"/>
    <w:rsid w:val="006B4B5D"/>
    <w:rsid w:val="006B510B"/>
    <w:rsid w:val="006C270D"/>
    <w:rsid w:val="006C452C"/>
    <w:rsid w:val="006C622F"/>
    <w:rsid w:val="006C73B0"/>
    <w:rsid w:val="006D090C"/>
    <w:rsid w:val="006D0A9C"/>
    <w:rsid w:val="006D49C4"/>
    <w:rsid w:val="006D50A8"/>
    <w:rsid w:val="006D64F9"/>
    <w:rsid w:val="006D7187"/>
    <w:rsid w:val="006D7245"/>
    <w:rsid w:val="006E028A"/>
    <w:rsid w:val="006E0A23"/>
    <w:rsid w:val="006E0F6A"/>
    <w:rsid w:val="006E11F2"/>
    <w:rsid w:val="006E1516"/>
    <w:rsid w:val="006E1EE5"/>
    <w:rsid w:val="006E411F"/>
    <w:rsid w:val="006E41ED"/>
    <w:rsid w:val="006E4576"/>
    <w:rsid w:val="006E5E2C"/>
    <w:rsid w:val="006F1BB2"/>
    <w:rsid w:val="006F304B"/>
    <w:rsid w:val="006F3118"/>
    <w:rsid w:val="006F7CEB"/>
    <w:rsid w:val="007006CE"/>
    <w:rsid w:val="00701384"/>
    <w:rsid w:val="0070185C"/>
    <w:rsid w:val="007062C2"/>
    <w:rsid w:val="0070758F"/>
    <w:rsid w:val="007101E9"/>
    <w:rsid w:val="007104F7"/>
    <w:rsid w:val="00710FA9"/>
    <w:rsid w:val="00711445"/>
    <w:rsid w:val="007116C3"/>
    <w:rsid w:val="007125D2"/>
    <w:rsid w:val="00713BDF"/>
    <w:rsid w:val="00713C54"/>
    <w:rsid w:val="0071472B"/>
    <w:rsid w:val="0071480F"/>
    <w:rsid w:val="007149EF"/>
    <w:rsid w:val="00715731"/>
    <w:rsid w:val="00717F9E"/>
    <w:rsid w:val="0072008C"/>
    <w:rsid w:val="00724EAC"/>
    <w:rsid w:val="00727231"/>
    <w:rsid w:val="00727D5C"/>
    <w:rsid w:val="00731B1B"/>
    <w:rsid w:val="00732966"/>
    <w:rsid w:val="00732CD7"/>
    <w:rsid w:val="00732FBB"/>
    <w:rsid w:val="00735B4C"/>
    <w:rsid w:val="007361F0"/>
    <w:rsid w:val="00736937"/>
    <w:rsid w:val="00741631"/>
    <w:rsid w:val="00745DAC"/>
    <w:rsid w:val="007462EB"/>
    <w:rsid w:val="0074698E"/>
    <w:rsid w:val="0074792F"/>
    <w:rsid w:val="0075282E"/>
    <w:rsid w:val="00754536"/>
    <w:rsid w:val="00757D64"/>
    <w:rsid w:val="007628CB"/>
    <w:rsid w:val="007634C6"/>
    <w:rsid w:val="00765AE6"/>
    <w:rsid w:val="00770F83"/>
    <w:rsid w:val="00771455"/>
    <w:rsid w:val="007723B6"/>
    <w:rsid w:val="007725BC"/>
    <w:rsid w:val="00772E12"/>
    <w:rsid w:val="0077734D"/>
    <w:rsid w:val="0078062D"/>
    <w:rsid w:val="0078162A"/>
    <w:rsid w:val="007820B8"/>
    <w:rsid w:val="007834DA"/>
    <w:rsid w:val="00786024"/>
    <w:rsid w:val="007870EF"/>
    <w:rsid w:val="00787C9C"/>
    <w:rsid w:val="00787F7A"/>
    <w:rsid w:val="0079075F"/>
    <w:rsid w:val="007925AE"/>
    <w:rsid w:val="007930F9"/>
    <w:rsid w:val="00794F03"/>
    <w:rsid w:val="00796140"/>
    <w:rsid w:val="0079650E"/>
    <w:rsid w:val="00796547"/>
    <w:rsid w:val="00797B7C"/>
    <w:rsid w:val="007A2D06"/>
    <w:rsid w:val="007A37DD"/>
    <w:rsid w:val="007A473F"/>
    <w:rsid w:val="007A476E"/>
    <w:rsid w:val="007A604E"/>
    <w:rsid w:val="007A79D8"/>
    <w:rsid w:val="007B18D1"/>
    <w:rsid w:val="007B1A8C"/>
    <w:rsid w:val="007B5DC5"/>
    <w:rsid w:val="007B5F85"/>
    <w:rsid w:val="007B7AAB"/>
    <w:rsid w:val="007B7F1B"/>
    <w:rsid w:val="007C1EBE"/>
    <w:rsid w:val="007C226B"/>
    <w:rsid w:val="007C37FE"/>
    <w:rsid w:val="007C6BEF"/>
    <w:rsid w:val="007D19B7"/>
    <w:rsid w:val="007D2CAD"/>
    <w:rsid w:val="007D31D9"/>
    <w:rsid w:val="007D34FE"/>
    <w:rsid w:val="007D5199"/>
    <w:rsid w:val="007D5B0A"/>
    <w:rsid w:val="007D6D7A"/>
    <w:rsid w:val="007E042C"/>
    <w:rsid w:val="007E083C"/>
    <w:rsid w:val="007E0DB4"/>
    <w:rsid w:val="007E1602"/>
    <w:rsid w:val="007E1967"/>
    <w:rsid w:val="007E334E"/>
    <w:rsid w:val="007E36CC"/>
    <w:rsid w:val="007E3D99"/>
    <w:rsid w:val="007E72E9"/>
    <w:rsid w:val="007E7449"/>
    <w:rsid w:val="007F4098"/>
    <w:rsid w:val="0080047C"/>
    <w:rsid w:val="0080087D"/>
    <w:rsid w:val="00802D6D"/>
    <w:rsid w:val="008114BB"/>
    <w:rsid w:val="00814B47"/>
    <w:rsid w:val="0081536D"/>
    <w:rsid w:val="008208A0"/>
    <w:rsid w:val="008227F8"/>
    <w:rsid w:val="00826A6E"/>
    <w:rsid w:val="0083208A"/>
    <w:rsid w:val="00833CF3"/>
    <w:rsid w:val="00834412"/>
    <w:rsid w:val="00834CD8"/>
    <w:rsid w:val="008370C4"/>
    <w:rsid w:val="00837C25"/>
    <w:rsid w:val="00840CDB"/>
    <w:rsid w:val="008413E9"/>
    <w:rsid w:val="00841FFA"/>
    <w:rsid w:val="008434F1"/>
    <w:rsid w:val="00843A3E"/>
    <w:rsid w:val="00844F13"/>
    <w:rsid w:val="00850380"/>
    <w:rsid w:val="00851606"/>
    <w:rsid w:val="00852661"/>
    <w:rsid w:val="0085304D"/>
    <w:rsid w:val="00853459"/>
    <w:rsid w:val="0085727B"/>
    <w:rsid w:val="00861DD6"/>
    <w:rsid w:val="00861FAC"/>
    <w:rsid w:val="008634B6"/>
    <w:rsid w:val="0086621E"/>
    <w:rsid w:val="00866B75"/>
    <w:rsid w:val="00871849"/>
    <w:rsid w:val="008735FC"/>
    <w:rsid w:val="008760C5"/>
    <w:rsid w:val="00876518"/>
    <w:rsid w:val="008769CB"/>
    <w:rsid w:val="00876DC9"/>
    <w:rsid w:val="00877D01"/>
    <w:rsid w:val="00880667"/>
    <w:rsid w:val="0088241F"/>
    <w:rsid w:val="008843E7"/>
    <w:rsid w:val="00884697"/>
    <w:rsid w:val="00884E27"/>
    <w:rsid w:val="00885E32"/>
    <w:rsid w:val="00885ECB"/>
    <w:rsid w:val="0088610D"/>
    <w:rsid w:val="00886AC3"/>
    <w:rsid w:val="00886C57"/>
    <w:rsid w:val="00886F68"/>
    <w:rsid w:val="00890273"/>
    <w:rsid w:val="00890C4D"/>
    <w:rsid w:val="00893B9B"/>
    <w:rsid w:val="00893CF5"/>
    <w:rsid w:val="00894A28"/>
    <w:rsid w:val="00895448"/>
    <w:rsid w:val="008975DD"/>
    <w:rsid w:val="008A1A34"/>
    <w:rsid w:val="008A2939"/>
    <w:rsid w:val="008A2DBE"/>
    <w:rsid w:val="008A5BD7"/>
    <w:rsid w:val="008A5D16"/>
    <w:rsid w:val="008A6785"/>
    <w:rsid w:val="008A6C2F"/>
    <w:rsid w:val="008B0E72"/>
    <w:rsid w:val="008B216D"/>
    <w:rsid w:val="008B350B"/>
    <w:rsid w:val="008B4638"/>
    <w:rsid w:val="008C2D80"/>
    <w:rsid w:val="008C424F"/>
    <w:rsid w:val="008C5075"/>
    <w:rsid w:val="008C579A"/>
    <w:rsid w:val="008D0927"/>
    <w:rsid w:val="008D1998"/>
    <w:rsid w:val="008D2588"/>
    <w:rsid w:val="008D2F17"/>
    <w:rsid w:val="008D3309"/>
    <w:rsid w:val="008D7E58"/>
    <w:rsid w:val="008E027A"/>
    <w:rsid w:val="008E1DEA"/>
    <w:rsid w:val="008E2245"/>
    <w:rsid w:val="008E3A2A"/>
    <w:rsid w:val="008E5B8C"/>
    <w:rsid w:val="008F0B73"/>
    <w:rsid w:val="008F20BA"/>
    <w:rsid w:val="008F2D53"/>
    <w:rsid w:val="008F2F19"/>
    <w:rsid w:val="008F4708"/>
    <w:rsid w:val="008F52B4"/>
    <w:rsid w:val="008F54C7"/>
    <w:rsid w:val="008F6B76"/>
    <w:rsid w:val="008F7243"/>
    <w:rsid w:val="0090073A"/>
    <w:rsid w:val="00900FF1"/>
    <w:rsid w:val="00901711"/>
    <w:rsid w:val="00901EE1"/>
    <w:rsid w:val="00902AE9"/>
    <w:rsid w:val="00906FEF"/>
    <w:rsid w:val="00907AB2"/>
    <w:rsid w:val="009122EE"/>
    <w:rsid w:val="00912A13"/>
    <w:rsid w:val="00914197"/>
    <w:rsid w:val="009142D5"/>
    <w:rsid w:val="0092201C"/>
    <w:rsid w:val="0092216F"/>
    <w:rsid w:val="00922B60"/>
    <w:rsid w:val="00922D5D"/>
    <w:rsid w:val="00931B7D"/>
    <w:rsid w:val="00931E99"/>
    <w:rsid w:val="00932A1A"/>
    <w:rsid w:val="0093463B"/>
    <w:rsid w:val="00934C80"/>
    <w:rsid w:val="00934D56"/>
    <w:rsid w:val="00934D88"/>
    <w:rsid w:val="0093528B"/>
    <w:rsid w:val="00936446"/>
    <w:rsid w:val="00936E80"/>
    <w:rsid w:val="0093704E"/>
    <w:rsid w:val="00940E9D"/>
    <w:rsid w:val="00941B8E"/>
    <w:rsid w:val="009428B2"/>
    <w:rsid w:val="00943662"/>
    <w:rsid w:val="00943DB3"/>
    <w:rsid w:val="00945752"/>
    <w:rsid w:val="00951FC1"/>
    <w:rsid w:val="00956CAE"/>
    <w:rsid w:val="0096124D"/>
    <w:rsid w:val="0096202A"/>
    <w:rsid w:val="00963D2E"/>
    <w:rsid w:val="00964528"/>
    <w:rsid w:val="009666FB"/>
    <w:rsid w:val="00970DDD"/>
    <w:rsid w:val="009712CA"/>
    <w:rsid w:val="009714B2"/>
    <w:rsid w:val="00972BFC"/>
    <w:rsid w:val="00975C47"/>
    <w:rsid w:val="009764B1"/>
    <w:rsid w:val="00976978"/>
    <w:rsid w:val="00976C03"/>
    <w:rsid w:val="00982E3D"/>
    <w:rsid w:val="0098324F"/>
    <w:rsid w:val="00983461"/>
    <w:rsid w:val="009865EE"/>
    <w:rsid w:val="009907D4"/>
    <w:rsid w:val="00990A48"/>
    <w:rsid w:val="00990F4D"/>
    <w:rsid w:val="00992559"/>
    <w:rsid w:val="00993031"/>
    <w:rsid w:val="0099326E"/>
    <w:rsid w:val="009A22B5"/>
    <w:rsid w:val="009A3A5F"/>
    <w:rsid w:val="009A4089"/>
    <w:rsid w:val="009A66DD"/>
    <w:rsid w:val="009A67DF"/>
    <w:rsid w:val="009A6FAE"/>
    <w:rsid w:val="009A7A27"/>
    <w:rsid w:val="009B0578"/>
    <w:rsid w:val="009B0BEC"/>
    <w:rsid w:val="009B2369"/>
    <w:rsid w:val="009B2548"/>
    <w:rsid w:val="009B3F49"/>
    <w:rsid w:val="009B45BD"/>
    <w:rsid w:val="009C02D8"/>
    <w:rsid w:val="009C239E"/>
    <w:rsid w:val="009C39B1"/>
    <w:rsid w:val="009C49AD"/>
    <w:rsid w:val="009C5D78"/>
    <w:rsid w:val="009C6406"/>
    <w:rsid w:val="009D00D7"/>
    <w:rsid w:val="009D1818"/>
    <w:rsid w:val="009D2393"/>
    <w:rsid w:val="009D2B63"/>
    <w:rsid w:val="009D2B7C"/>
    <w:rsid w:val="009D4214"/>
    <w:rsid w:val="009D424D"/>
    <w:rsid w:val="009D4B7F"/>
    <w:rsid w:val="009E1063"/>
    <w:rsid w:val="009E16C1"/>
    <w:rsid w:val="009E2B42"/>
    <w:rsid w:val="009E31F4"/>
    <w:rsid w:val="009E33C9"/>
    <w:rsid w:val="009E4282"/>
    <w:rsid w:val="009F02E0"/>
    <w:rsid w:val="009F2F5B"/>
    <w:rsid w:val="009F6484"/>
    <w:rsid w:val="009F6D0F"/>
    <w:rsid w:val="009F7835"/>
    <w:rsid w:val="009F7FE7"/>
    <w:rsid w:val="00A002CA"/>
    <w:rsid w:val="00A02C5C"/>
    <w:rsid w:val="00A02E4E"/>
    <w:rsid w:val="00A03161"/>
    <w:rsid w:val="00A0361C"/>
    <w:rsid w:val="00A0398F"/>
    <w:rsid w:val="00A03BEA"/>
    <w:rsid w:val="00A0525D"/>
    <w:rsid w:val="00A069B6"/>
    <w:rsid w:val="00A07545"/>
    <w:rsid w:val="00A07ED6"/>
    <w:rsid w:val="00A11ADD"/>
    <w:rsid w:val="00A11C43"/>
    <w:rsid w:val="00A132F7"/>
    <w:rsid w:val="00A133EE"/>
    <w:rsid w:val="00A13727"/>
    <w:rsid w:val="00A14A12"/>
    <w:rsid w:val="00A14FBC"/>
    <w:rsid w:val="00A17AE4"/>
    <w:rsid w:val="00A2161F"/>
    <w:rsid w:val="00A21DA2"/>
    <w:rsid w:val="00A22188"/>
    <w:rsid w:val="00A23D73"/>
    <w:rsid w:val="00A243DD"/>
    <w:rsid w:val="00A24B7E"/>
    <w:rsid w:val="00A27E14"/>
    <w:rsid w:val="00A3062F"/>
    <w:rsid w:val="00A31B50"/>
    <w:rsid w:val="00A323EC"/>
    <w:rsid w:val="00A32E0B"/>
    <w:rsid w:val="00A35A58"/>
    <w:rsid w:val="00A36EC0"/>
    <w:rsid w:val="00A4014A"/>
    <w:rsid w:val="00A40F05"/>
    <w:rsid w:val="00A42AF9"/>
    <w:rsid w:val="00A42B22"/>
    <w:rsid w:val="00A4484D"/>
    <w:rsid w:val="00A456B9"/>
    <w:rsid w:val="00A500F7"/>
    <w:rsid w:val="00A506F9"/>
    <w:rsid w:val="00A56791"/>
    <w:rsid w:val="00A6116A"/>
    <w:rsid w:val="00A6137E"/>
    <w:rsid w:val="00A66632"/>
    <w:rsid w:val="00A67A80"/>
    <w:rsid w:val="00A722D7"/>
    <w:rsid w:val="00A722F4"/>
    <w:rsid w:val="00A7257F"/>
    <w:rsid w:val="00A72D63"/>
    <w:rsid w:val="00A74928"/>
    <w:rsid w:val="00A75097"/>
    <w:rsid w:val="00A8180C"/>
    <w:rsid w:val="00A821A6"/>
    <w:rsid w:val="00A83CE9"/>
    <w:rsid w:val="00A846D1"/>
    <w:rsid w:val="00A84E5B"/>
    <w:rsid w:val="00A863D6"/>
    <w:rsid w:val="00A90D70"/>
    <w:rsid w:val="00A90D81"/>
    <w:rsid w:val="00A928AE"/>
    <w:rsid w:val="00A9698B"/>
    <w:rsid w:val="00A96F6D"/>
    <w:rsid w:val="00A97F1B"/>
    <w:rsid w:val="00AA10B2"/>
    <w:rsid w:val="00AA1D3D"/>
    <w:rsid w:val="00AA4435"/>
    <w:rsid w:val="00AA550D"/>
    <w:rsid w:val="00AA5704"/>
    <w:rsid w:val="00AA5FE5"/>
    <w:rsid w:val="00AA7AA9"/>
    <w:rsid w:val="00AA7F5E"/>
    <w:rsid w:val="00AB0053"/>
    <w:rsid w:val="00AB259E"/>
    <w:rsid w:val="00AB3432"/>
    <w:rsid w:val="00AB4EA3"/>
    <w:rsid w:val="00AB7DAB"/>
    <w:rsid w:val="00AC060E"/>
    <w:rsid w:val="00AC3B7B"/>
    <w:rsid w:val="00AC65FC"/>
    <w:rsid w:val="00AC6BB8"/>
    <w:rsid w:val="00AD163F"/>
    <w:rsid w:val="00AD2B6B"/>
    <w:rsid w:val="00AD4AB6"/>
    <w:rsid w:val="00AD668B"/>
    <w:rsid w:val="00AE0A5F"/>
    <w:rsid w:val="00AE5C9C"/>
    <w:rsid w:val="00AE6784"/>
    <w:rsid w:val="00AE6E93"/>
    <w:rsid w:val="00AF0A11"/>
    <w:rsid w:val="00AF2D70"/>
    <w:rsid w:val="00AF3BC3"/>
    <w:rsid w:val="00AF44AE"/>
    <w:rsid w:val="00AF5000"/>
    <w:rsid w:val="00AF523D"/>
    <w:rsid w:val="00B00F9E"/>
    <w:rsid w:val="00B01ECF"/>
    <w:rsid w:val="00B02368"/>
    <w:rsid w:val="00B035F5"/>
    <w:rsid w:val="00B0487A"/>
    <w:rsid w:val="00B05343"/>
    <w:rsid w:val="00B05377"/>
    <w:rsid w:val="00B10CCA"/>
    <w:rsid w:val="00B1472D"/>
    <w:rsid w:val="00B166FC"/>
    <w:rsid w:val="00B216CF"/>
    <w:rsid w:val="00B226AC"/>
    <w:rsid w:val="00B227E1"/>
    <w:rsid w:val="00B23AD9"/>
    <w:rsid w:val="00B250CC"/>
    <w:rsid w:val="00B27887"/>
    <w:rsid w:val="00B309AE"/>
    <w:rsid w:val="00B32AA9"/>
    <w:rsid w:val="00B33AC8"/>
    <w:rsid w:val="00B343FA"/>
    <w:rsid w:val="00B37EC6"/>
    <w:rsid w:val="00B445F7"/>
    <w:rsid w:val="00B4606E"/>
    <w:rsid w:val="00B50884"/>
    <w:rsid w:val="00B54ED2"/>
    <w:rsid w:val="00B564F4"/>
    <w:rsid w:val="00B57379"/>
    <w:rsid w:val="00B575C7"/>
    <w:rsid w:val="00B57C53"/>
    <w:rsid w:val="00B60513"/>
    <w:rsid w:val="00B61FEC"/>
    <w:rsid w:val="00B65A70"/>
    <w:rsid w:val="00B66F58"/>
    <w:rsid w:val="00B6728A"/>
    <w:rsid w:val="00B70130"/>
    <w:rsid w:val="00B70313"/>
    <w:rsid w:val="00B70F03"/>
    <w:rsid w:val="00B73341"/>
    <w:rsid w:val="00B7717A"/>
    <w:rsid w:val="00B77967"/>
    <w:rsid w:val="00B82A6A"/>
    <w:rsid w:val="00B82C65"/>
    <w:rsid w:val="00B85334"/>
    <w:rsid w:val="00B87898"/>
    <w:rsid w:val="00B90A05"/>
    <w:rsid w:val="00B913EE"/>
    <w:rsid w:val="00B96D71"/>
    <w:rsid w:val="00BA0541"/>
    <w:rsid w:val="00BA2A92"/>
    <w:rsid w:val="00BA2BCE"/>
    <w:rsid w:val="00BA43FF"/>
    <w:rsid w:val="00BB070F"/>
    <w:rsid w:val="00BB0AB8"/>
    <w:rsid w:val="00BB5664"/>
    <w:rsid w:val="00BC3EF1"/>
    <w:rsid w:val="00BC4D89"/>
    <w:rsid w:val="00BC664F"/>
    <w:rsid w:val="00BD05BD"/>
    <w:rsid w:val="00BD0AA2"/>
    <w:rsid w:val="00BD13E0"/>
    <w:rsid w:val="00BD1872"/>
    <w:rsid w:val="00BD1976"/>
    <w:rsid w:val="00BD3ED5"/>
    <w:rsid w:val="00BD433E"/>
    <w:rsid w:val="00BD5208"/>
    <w:rsid w:val="00BD53C0"/>
    <w:rsid w:val="00BE1128"/>
    <w:rsid w:val="00BE1181"/>
    <w:rsid w:val="00BE1C29"/>
    <w:rsid w:val="00BE3658"/>
    <w:rsid w:val="00BE37D1"/>
    <w:rsid w:val="00BE4C8A"/>
    <w:rsid w:val="00BF024E"/>
    <w:rsid w:val="00BF02F5"/>
    <w:rsid w:val="00BF2015"/>
    <w:rsid w:val="00BF40C0"/>
    <w:rsid w:val="00BF4483"/>
    <w:rsid w:val="00BF6BCD"/>
    <w:rsid w:val="00C03AC1"/>
    <w:rsid w:val="00C03BB6"/>
    <w:rsid w:val="00C058D3"/>
    <w:rsid w:val="00C06A9B"/>
    <w:rsid w:val="00C074E1"/>
    <w:rsid w:val="00C11E40"/>
    <w:rsid w:val="00C128D2"/>
    <w:rsid w:val="00C17D33"/>
    <w:rsid w:val="00C22198"/>
    <w:rsid w:val="00C24824"/>
    <w:rsid w:val="00C2715A"/>
    <w:rsid w:val="00C27820"/>
    <w:rsid w:val="00C27B5B"/>
    <w:rsid w:val="00C307FD"/>
    <w:rsid w:val="00C30B45"/>
    <w:rsid w:val="00C321A5"/>
    <w:rsid w:val="00C4016E"/>
    <w:rsid w:val="00C42C81"/>
    <w:rsid w:val="00C432EB"/>
    <w:rsid w:val="00C43FF8"/>
    <w:rsid w:val="00C440E4"/>
    <w:rsid w:val="00C44755"/>
    <w:rsid w:val="00C44849"/>
    <w:rsid w:val="00C5080E"/>
    <w:rsid w:val="00C53126"/>
    <w:rsid w:val="00C53F88"/>
    <w:rsid w:val="00C5496A"/>
    <w:rsid w:val="00C5516F"/>
    <w:rsid w:val="00C55AB6"/>
    <w:rsid w:val="00C56347"/>
    <w:rsid w:val="00C56A5A"/>
    <w:rsid w:val="00C616B8"/>
    <w:rsid w:val="00C669E9"/>
    <w:rsid w:val="00C67ACF"/>
    <w:rsid w:val="00C74106"/>
    <w:rsid w:val="00C74BD2"/>
    <w:rsid w:val="00C7628D"/>
    <w:rsid w:val="00C77815"/>
    <w:rsid w:val="00C77DB4"/>
    <w:rsid w:val="00C812D1"/>
    <w:rsid w:val="00C837A6"/>
    <w:rsid w:val="00C84D8F"/>
    <w:rsid w:val="00C8677C"/>
    <w:rsid w:val="00C9294E"/>
    <w:rsid w:val="00C94CB8"/>
    <w:rsid w:val="00C961F7"/>
    <w:rsid w:val="00C9652F"/>
    <w:rsid w:val="00C97048"/>
    <w:rsid w:val="00C97848"/>
    <w:rsid w:val="00CA4912"/>
    <w:rsid w:val="00CA684C"/>
    <w:rsid w:val="00CB0BAC"/>
    <w:rsid w:val="00CB1FD2"/>
    <w:rsid w:val="00CB2974"/>
    <w:rsid w:val="00CB30AD"/>
    <w:rsid w:val="00CB5D3F"/>
    <w:rsid w:val="00CB6216"/>
    <w:rsid w:val="00CC1F91"/>
    <w:rsid w:val="00CC2891"/>
    <w:rsid w:val="00CC3771"/>
    <w:rsid w:val="00CC4719"/>
    <w:rsid w:val="00CC4ADB"/>
    <w:rsid w:val="00CC5E5F"/>
    <w:rsid w:val="00CC707A"/>
    <w:rsid w:val="00CC7FBF"/>
    <w:rsid w:val="00CD3E5D"/>
    <w:rsid w:val="00CD5923"/>
    <w:rsid w:val="00CD66D0"/>
    <w:rsid w:val="00CD6F6C"/>
    <w:rsid w:val="00CE01ED"/>
    <w:rsid w:val="00CE075C"/>
    <w:rsid w:val="00CE0A69"/>
    <w:rsid w:val="00CE179A"/>
    <w:rsid w:val="00CE2234"/>
    <w:rsid w:val="00CE2B98"/>
    <w:rsid w:val="00CE3A06"/>
    <w:rsid w:val="00CE5984"/>
    <w:rsid w:val="00CE5C5A"/>
    <w:rsid w:val="00CF03FD"/>
    <w:rsid w:val="00CF052A"/>
    <w:rsid w:val="00CF0783"/>
    <w:rsid w:val="00CF1845"/>
    <w:rsid w:val="00CF2035"/>
    <w:rsid w:val="00CF2503"/>
    <w:rsid w:val="00CF2680"/>
    <w:rsid w:val="00CF2D83"/>
    <w:rsid w:val="00CF3EA9"/>
    <w:rsid w:val="00CF6B59"/>
    <w:rsid w:val="00CF7D06"/>
    <w:rsid w:val="00D01F1D"/>
    <w:rsid w:val="00D0589B"/>
    <w:rsid w:val="00D06431"/>
    <w:rsid w:val="00D1166F"/>
    <w:rsid w:val="00D118A8"/>
    <w:rsid w:val="00D12722"/>
    <w:rsid w:val="00D130FD"/>
    <w:rsid w:val="00D140FB"/>
    <w:rsid w:val="00D14415"/>
    <w:rsid w:val="00D15B03"/>
    <w:rsid w:val="00D17147"/>
    <w:rsid w:val="00D2068E"/>
    <w:rsid w:val="00D20A9D"/>
    <w:rsid w:val="00D218B9"/>
    <w:rsid w:val="00D23619"/>
    <w:rsid w:val="00D2365D"/>
    <w:rsid w:val="00D26791"/>
    <w:rsid w:val="00D31EBD"/>
    <w:rsid w:val="00D32375"/>
    <w:rsid w:val="00D32DA2"/>
    <w:rsid w:val="00D333F3"/>
    <w:rsid w:val="00D344D5"/>
    <w:rsid w:val="00D35127"/>
    <w:rsid w:val="00D35E0E"/>
    <w:rsid w:val="00D36AA7"/>
    <w:rsid w:val="00D407C0"/>
    <w:rsid w:val="00D42459"/>
    <w:rsid w:val="00D431D0"/>
    <w:rsid w:val="00D45291"/>
    <w:rsid w:val="00D46C19"/>
    <w:rsid w:val="00D476A3"/>
    <w:rsid w:val="00D51BAE"/>
    <w:rsid w:val="00D52B24"/>
    <w:rsid w:val="00D54249"/>
    <w:rsid w:val="00D54A6D"/>
    <w:rsid w:val="00D54C8B"/>
    <w:rsid w:val="00D5507E"/>
    <w:rsid w:val="00D5564B"/>
    <w:rsid w:val="00D604CE"/>
    <w:rsid w:val="00D60FDF"/>
    <w:rsid w:val="00D63419"/>
    <w:rsid w:val="00D636DB"/>
    <w:rsid w:val="00D70EC5"/>
    <w:rsid w:val="00D7174A"/>
    <w:rsid w:val="00D72A40"/>
    <w:rsid w:val="00D77FA0"/>
    <w:rsid w:val="00D809A0"/>
    <w:rsid w:val="00D86073"/>
    <w:rsid w:val="00D86743"/>
    <w:rsid w:val="00D86923"/>
    <w:rsid w:val="00D90E00"/>
    <w:rsid w:val="00D91AC8"/>
    <w:rsid w:val="00D93872"/>
    <w:rsid w:val="00D952BC"/>
    <w:rsid w:val="00D97444"/>
    <w:rsid w:val="00D97918"/>
    <w:rsid w:val="00D97D6B"/>
    <w:rsid w:val="00D97DE8"/>
    <w:rsid w:val="00DA490F"/>
    <w:rsid w:val="00DB18F5"/>
    <w:rsid w:val="00DB1B5A"/>
    <w:rsid w:val="00DB51BC"/>
    <w:rsid w:val="00DB5AC3"/>
    <w:rsid w:val="00DB6AD0"/>
    <w:rsid w:val="00DB7E34"/>
    <w:rsid w:val="00DB7F87"/>
    <w:rsid w:val="00DC0416"/>
    <w:rsid w:val="00DD09B2"/>
    <w:rsid w:val="00DD40E7"/>
    <w:rsid w:val="00DD44CF"/>
    <w:rsid w:val="00DD61FD"/>
    <w:rsid w:val="00DD70E2"/>
    <w:rsid w:val="00DE18E8"/>
    <w:rsid w:val="00DE366B"/>
    <w:rsid w:val="00DE50FA"/>
    <w:rsid w:val="00DE63B5"/>
    <w:rsid w:val="00DF05D7"/>
    <w:rsid w:val="00DF0728"/>
    <w:rsid w:val="00DF4C31"/>
    <w:rsid w:val="00DF5579"/>
    <w:rsid w:val="00DF780C"/>
    <w:rsid w:val="00DF7CFE"/>
    <w:rsid w:val="00E01E84"/>
    <w:rsid w:val="00E0251A"/>
    <w:rsid w:val="00E051C9"/>
    <w:rsid w:val="00E06736"/>
    <w:rsid w:val="00E07F60"/>
    <w:rsid w:val="00E1026A"/>
    <w:rsid w:val="00E11B6B"/>
    <w:rsid w:val="00E11C1E"/>
    <w:rsid w:val="00E11C20"/>
    <w:rsid w:val="00E1407F"/>
    <w:rsid w:val="00E156F4"/>
    <w:rsid w:val="00E15EF7"/>
    <w:rsid w:val="00E200A0"/>
    <w:rsid w:val="00E205BC"/>
    <w:rsid w:val="00E21B55"/>
    <w:rsid w:val="00E21EE6"/>
    <w:rsid w:val="00E2235A"/>
    <w:rsid w:val="00E231AF"/>
    <w:rsid w:val="00E239F7"/>
    <w:rsid w:val="00E23A20"/>
    <w:rsid w:val="00E24B38"/>
    <w:rsid w:val="00E2690D"/>
    <w:rsid w:val="00E26FE6"/>
    <w:rsid w:val="00E2754C"/>
    <w:rsid w:val="00E33A6A"/>
    <w:rsid w:val="00E3445C"/>
    <w:rsid w:val="00E3479F"/>
    <w:rsid w:val="00E35208"/>
    <w:rsid w:val="00E35987"/>
    <w:rsid w:val="00E36570"/>
    <w:rsid w:val="00E36E06"/>
    <w:rsid w:val="00E40716"/>
    <w:rsid w:val="00E40DAF"/>
    <w:rsid w:val="00E42133"/>
    <w:rsid w:val="00E42F57"/>
    <w:rsid w:val="00E4307E"/>
    <w:rsid w:val="00E43D27"/>
    <w:rsid w:val="00E43D74"/>
    <w:rsid w:val="00E4425A"/>
    <w:rsid w:val="00E443F1"/>
    <w:rsid w:val="00E445CB"/>
    <w:rsid w:val="00E44943"/>
    <w:rsid w:val="00E44F8D"/>
    <w:rsid w:val="00E45CE4"/>
    <w:rsid w:val="00E4653D"/>
    <w:rsid w:val="00E46734"/>
    <w:rsid w:val="00E47152"/>
    <w:rsid w:val="00E479F6"/>
    <w:rsid w:val="00E51023"/>
    <w:rsid w:val="00E51551"/>
    <w:rsid w:val="00E52A88"/>
    <w:rsid w:val="00E53C42"/>
    <w:rsid w:val="00E56608"/>
    <w:rsid w:val="00E56BB2"/>
    <w:rsid w:val="00E56CC2"/>
    <w:rsid w:val="00E6121F"/>
    <w:rsid w:val="00E632F2"/>
    <w:rsid w:val="00E65B29"/>
    <w:rsid w:val="00E718BD"/>
    <w:rsid w:val="00E71A4A"/>
    <w:rsid w:val="00E739F9"/>
    <w:rsid w:val="00E74AFF"/>
    <w:rsid w:val="00E754F5"/>
    <w:rsid w:val="00E75B1C"/>
    <w:rsid w:val="00E75BE8"/>
    <w:rsid w:val="00E77D07"/>
    <w:rsid w:val="00E80E77"/>
    <w:rsid w:val="00E84DFF"/>
    <w:rsid w:val="00E863A7"/>
    <w:rsid w:val="00E86BD2"/>
    <w:rsid w:val="00E900E0"/>
    <w:rsid w:val="00E94C6C"/>
    <w:rsid w:val="00E97DF2"/>
    <w:rsid w:val="00EA077A"/>
    <w:rsid w:val="00EA0836"/>
    <w:rsid w:val="00EA0912"/>
    <w:rsid w:val="00EA1890"/>
    <w:rsid w:val="00EA241B"/>
    <w:rsid w:val="00EA2E5A"/>
    <w:rsid w:val="00EA3113"/>
    <w:rsid w:val="00EA5432"/>
    <w:rsid w:val="00EA5979"/>
    <w:rsid w:val="00EB201E"/>
    <w:rsid w:val="00EC010E"/>
    <w:rsid w:val="00EC1465"/>
    <w:rsid w:val="00EC1810"/>
    <w:rsid w:val="00EC2E10"/>
    <w:rsid w:val="00EC2FAD"/>
    <w:rsid w:val="00EC4B7F"/>
    <w:rsid w:val="00EC5690"/>
    <w:rsid w:val="00EC67F3"/>
    <w:rsid w:val="00ED0F80"/>
    <w:rsid w:val="00ED2DE1"/>
    <w:rsid w:val="00ED584A"/>
    <w:rsid w:val="00EE32FF"/>
    <w:rsid w:val="00EE3DC3"/>
    <w:rsid w:val="00EE558E"/>
    <w:rsid w:val="00EE5B17"/>
    <w:rsid w:val="00EF536E"/>
    <w:rsid w:val="00EF55F3"/>
    <w:rsid w:val="00EF5EB6"/>
    <w:rsid w:val="00EF7F06"/>
    <w:rsid w:val="00F00A96"/>
    <w:rsid w:val="00F02273"/>
    <w:rsid w:val="00F032E9"/>
    <w:rsid w:val="00F03663"/>
    <w:rsid w:val="00F03D58"/>
    <w:rsid w:val="00F0481F"/>
    <w:rsid w:val="00F0496D"/>
    <w:rsid w:val="00F05060"/>
    <w:rsid w:val="00F063F3"/>
    <w:rsid w:val="00F12B90"/>
    <w:rsid w:val="00F1371D"/>
    <w:rsid w:val="00F15FC9"/>
    <w:rsid w:val="00F21FBD"/>
    <w:rsid w:val="00F25AC8"/>
    <w:rsid w:val="00F25B2B"/>
    <w:rsid w:val="00F2699F"/>
    <w:rsid w:val="00F27EDC"/>
    <w:rsid w:val="00F30D21"/>
    <w:rsid w:val="00F3162B"/>
    <w:rsid w:val="00F320B3"/>
    <w:rsid w:val="00F334AC"/>
    <w:rsid w:val="00F34AFB"/>
    <w:rsid w:val="00F34D88"/>
    <w:rsid w:val="00F34E7E"/>
    <w:rsid w:val="00F369A8"/>
    <w:rsid w:val="00F374BB"/>
    <w:rsid w:val="00F3756F"/>
    <w:rsid w:val="00F40C6C"/>
    <w:rsid w:val="00F420DE"/>
    <w:rsid w:val="00F45983"/>
    <w:rsid w:val="00F46770"/>
    <w:rsid w:val="00F503A0"/>
    <w:rsid w:val="00F52581"/>
    <w:rsid w:val="00F53339"/>
    <w:rsid w:val="00F53CF6"/>
    <w:rsid w:val="00F542F7"/>
    <w:rsid w:val="00F574EE"/>
    <w:rsid w:val="00F61281"/>
    <w:rsid w:val="00F63D10"/>
    <w:rsid w:val="00F644B4"/>
    <w:rsid w:val="00F64BE8"/>
    <w:rsid w:val="00F6705B"/>
    <w:rsid w:val="00F70A12"/>
    <w:rsid w:val="00F72300"/>
    <w:rsid w:val="00F7314E"/>
    <w:rsid w:val="00F74283"/>
    <w:rsid w:val="00F756D3"/>
    <w:rsid w:val="00F76263"/>
    <w:rsid w:val="00F800B6"/>
    <w:rsid w:val="00F80B83"/>
    <w:rsid w:val="00F81FD3"/>
    <w:rsid w:val="00F8294E"/>
    <w:rsid w:val="00F83810"/>
    <w:rsid w:val="00F83FF5"/>
    <w:rsid w:val="00F847CB"/>
    <w:rsid w:val="00F8540D"/>
    <w:rsid w:val="00F908DE"/>
    <w:rsid w:val="00F90D8C"/>
    <w:rsid w:val="00F90F0E"/>
    <w:rsid w:val="00F92638"/>
    <w:rsid w:val="00F92791"/>
    <w:rsid w:val="00F948CA"/>
    <w:rsid w:val="00F955C0"/>
    <w:rsid w:val="00F969CD"/>
    <w:rsid w:val="00F96CD1"/>
    <w:rsid w:val="00F97452"/>
    <w:rsid w:val="00FA02BD"/>
    <w:rsid w:val="00FA0C83"/>
    <w:rsid w:val="00FA1881"/>
    <w:rsid w:val="00FA5B06"/>
    <w:rsid w:val="00FA5D0B"/>
    <w:rsid w:val="00FA6CA5"/>
    <w:rsid w:val="00FA7BE0"/>
    <w:rsid w:val="00FB0136"/>
    <w:rsid w:val="00FB21F4"/>
    <w:rsid w:val="00FB4C9D"/>
    <w:rsid w:val="00FB67CF"/>
    <w:rsid w:val="00FB7493"/>
    <w:rsid w:val="00FC05B9"/>
    <w:rsid w:val="00FC06A4"/>
    <w:rsid w:val="00FC2F99"/>
    <w:rsid w:val="00FC4B6A"/>
    <w:rsid w:val="00FC6B37"/>
    <w:rsid w:val="00FC76E9"/>
    <w:rsid w:val="00FD0214"/>
    <w:rsid w:val="00FD0E54"/>
    <w:rsid w:val="00FD40E9"/>
    <w:rsid w:val="00FD5BC2"/>
    <w:rsid w:val="00FD7347"/>
    <w:rsid w:val="00FE0342"/>
    <w:rsid w:val="00FE1FB2"/>
    <w:rsid w:val="00FE2346"/>
    <w:rsid w:val="00FE2ACB"/>
    <w:rsid w:val="00FE3AE4"/>
    <w:rsid w:val="00FE5335"/>
    <w:rsid w:val="00FE6FDC"/>
    <w:rsid w:val="00FE7F7E"/>
    <w:rsid w:val="00FF04D0"/>
    <w:rsid w:val="00FF1CB5"/>
    <w:rsid w:val="00FF2967"/>
    <w:rsid w:val="00FF457A"/>
    <w:rsid w:val="00FF535A"/>
    <w:rsid w:val="00FF6392"/>
    <w:rsid w:val="00FF7522"/>
    <w:rsid w:val="0A3B4634"/>
    <w:rsid w:val="0A453695"/>
    <w:rsid w:val="1CBA11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74"/>
        <o:r id="V:Rule2" type="connector" idref="#_x0000_s108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ajorHAnsi" w:hAnsiTheme="majorHAnsi" w:eastAsiaTheme="majorEastAsia" w:cstheme="maj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360" w:lineRule="auto"/>
      <w:ind w:firstLine="200" w:firstLineChars="200"/>
    </w:pPr>
    <w:rPr>
      <w:rFonts w:eastAsia="宋体" w:asciiTheme="majorHAnsi" w:hAnsiTheme="majorHAnsi" w:cstheme="majorBidi"/>
      <w:sz w:val="21"/>
      <w:szCs w:val="22"/>
      <w:lang w:val="en-US" w:eastAsia="zh-CN" w:bidi="ar-SA"/>
    </w:rPr>
  </w:style>
  <w:style w:type="paragraph" w:styleId="2">
    <w:name w:val="heading 1"/>
    <w:basedOn w:val="1"/>
    <w:next w:val="1"/>
    <w:link w:val="36"/>
    <w:qFormat/>
    <w:uiPriority w:val="9"/>
    <w:pPr>
      <w:spacing w:before="156" w:beforeLines="50" w:after="156" w:afterLines="50"/>
      <w:ind w:firstLine="0" w:firstLineChars="0"/>
      <w:jc w:val="both"/>
      <w:outlineLvl w:val="0"/>
    </w:pPr>
    <w:rPr>
      <w:rFonts w:ascii="Times New Roman" w:hAnsi="Times New Roman" w:eastAsia="黑体" w:cs="Times New Roman"/>
      <w:b/>
      <w:smallCaps/>
      <w:spacing w:val="5"/>
      <w:szCs w:val="21"/>
    </w:rPr>
  </w:style>
  <w:style w:type="paragraph" w:styleId="3">
    <w:name w:val="heading 2"/>
    <w:basedOn w:val="1"/>
    <w:next w:val="1"/>
    <w:link w:val="37"/>
    <w:unhideWhenUsed/>
    <w:qFormat/>
    <w:uiPriority w:val="9"/>
    <w:pPr>
      <w:keepNext/>
      <w:snapToGrid w:val="0"/>
      <w:spacing w:beforeLines="50" w:afterLines="50"/>
      <w:ind w:firstLine="0" w:firstLineChars="0"/>
      <w:outlineLvl w:val="1"/>
    </w:pPr>
    <w:rPr>
      <w:rFonts w:ascii="黑体" w:hAnsi="黑体" w:eastAsia="黑体"/>
      <w:smallCaps/>
      <w:szCs w:val="21"/>
    </w:rPr>
  </w:style>
  <w:style w:type="paragraph" w:styleId="4">
    <w:name w:val="heading 3"/>
    <w:basedOn w:val="1"/>
    <w:next w:val="1"/>
    <w:link w:val="38"/>
    <w:unhideWhenUsed/>
    <w:qFormat/>
    <w:uiPriority w:val="9"/>
    <w:pPr>
      <w:spacing w:beforeLines="50" w:afterLines="50" w:line="240" w:lineRule="auto"/>
      <w:ind w:firstLine="0" w:firstLineChars="0"/>
      <w:outlineLvl w:val="2"/>
    </w:pPr>
    <w:rPr>
      <w:rFonts w:ascii="黑体" w:hAnsi="黑体" w:eastAsia="黑体"/>
      <w:iCs/>
      <w:smallCaps/>
      <w:spacing w:val="5"/>
      <w:szCs w:val="24"/>
    </w:rPr>
  </w:style>
  <w:style w:type="paragraph" w:styleId="5">
    <w:name w:val="heading 4"/>
    <w:basedOn w:val="1"/>
    <w:next w:val="1"/>
    <w:link w:val="39"/>
    <w:unhideWhenUsed/>
    <w:qFormat/>
    <w:uiPriority w:val="9"/>
    <w:pPr>
      <w:spacing w:line="271" w:lineRule="auto"/>
      <w:ind w:firstLine="440"/>
      <w:outlineLvl w:val="3"/>
    </w:pPr>
    <w:rPr>
      <w:rFonts w:ascii="黑体" w:hAnsi="黑体" w:eastAsia="黑体"/>
      <w:bCs/>
      <w:spacing w:val="5"/>
      <w:szCs w:val="21"/>
    </w:rPr>
  </w:style>
  <w:style w:type="paragraph" w:styleId="6">
    <w:name w:val="heading 5"/>
    <w:basedOn w:val="1"/>
    <w:next w:val="1"/>
    <w:link w:val="40"/>
    <w:unhideWhenUsed/>
    <w:qFormat/>
    <w:uiPriority w:val="9"/>
    <w:pPr>
      <w:spacing w:line="271" w:lineRule="auto"/>
      <w:ind w:left="210" w:leftChars="100" w:firstLine="420"/>
      <w:outlineLvl w:val="4"/>
    </w:pPr>
    <w:rPr>
      <w:rFonts w:ascii="黑体" w:hAnsi="黑体" w:eastAsia="黑体"/>
      <w:iCs/>
      <w:szCs w:val="21"/>
    </w:rPr>
  </w:style>
  <w:style w:type="paragraph" w:styleId="7">
    <w:name w:val="heading 6"/>
    <w:basedOn w:val="1"/>
    <w:next w:val="1"/>
    <w:link w:val="41"/>
    <w:unhideWhenUsed/>
    <w:qFormat/>
    <w:uiPriority w:val="9"/>
    <w:pPr>
      <w:shd w:val="clear" w:color="auto" w:fill="FFFFFF" w:themeFill="background1"/>
      <w:spacing w:line="271" w:lineRule="auto"/>
      <w:outlineLvl w:val="5"/>
    </w:pPr>
    <w:rPr>
      <w:b/>
      <w:bCs/>
      <w:color w:val="585858" w:themeColor="text1" w:themeTint="A6"/>
      <w:spacing w:val="5"/>
    </w:rPr>
  </w:style>
  <w:style w:type="paragraph" w:styleId="8">
    <w:name w:val="heading 7"/>
    <w:basedOn w:val="1"/>
    <w:next w:val="1"/>
    <w:link w:val="42"/>
    <w:unhideWhenUsed/>
    <w:qFormat/>
    <w:uiPriority w:val="9"/>
    <w:pPr>
      <w:outlineLvl w:val="6"/>
    </w:pPr>
    <w:rPr>
      <w:b/>
      <w:bCs/>
      <w:i/>
      <w:iCs/>
      <w:color w:val="595959" w:themeColor="text1" w:themeTint="A5"/>
      <w:sz w:val="20"/>
      <w:szCs w:val="20"/>
    </w:rPr>
  </w:style>
  <w:style w:type="paragraph" w:styleId="9">
    <w:name w:val="heading 8"/>
    <w:basedOn w:val="1"/>
    <w:next w:val="1"/>
    <w:link w:val="43"/>
    <w:unhideWhenUsed/>
    <w:qFormat/>
    <w:uiPriority w:val="9"/>
    <w:pPr>
      <w:outlineLvl w:val="7"/>
    </w:pPr>
    <w:rPr>
      <w:b/>
      <w:bCs/>
      <w:color w:val="7E7E7E" w:themeColor="text1" w:themeTint="80"/>
      <w:sz w:val="20"/>
      <w:szCs w:val="20"/>
    </w:rPr>
  </w:style>
  <w:style w:type="paragraph" w:styleId="10">
    <w:name w:val="heading 9"/>
    <w:basedOn w:val="1"/>
    <w:next w:val="1"/>
    <w:link w:val="44"/>
    <w:unhideWhenUsed/>
    <w:qFormat/>
    <w:uiPriority w:val="9"/>
    <w:pPr>
      <w:spacing w:line="271" w:lineRule="auto"/>
      <w:outlineLvl w:val="8"/>
    </w:pPr>
    <w:rPr>
      <w:b/>
      <w:bCs/>
      <w:i/>
      <w:iCs/>
      <w:color w:val="7E7E7E" w:themeColor="text1" w:themeTint="80"/>
      <w:sz w:val="18"/>
      <w:szCs w:val="18"/>
    </w:rPr>
  </w:style>
  <w:style w:type="character" w:default="1" w:styleId="31">
    <w:name w:val="Default Paragraph Font"/>
    <w:semiHidden/>
    <w:unhideWhenUsed/>
    <w:qFormat/>
    <w:uiPriority w:val="1"/>
  </w:style>
  <w:style w:type="table" w:default="1" w:styleId="30">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widowControl w:val="0"/>
      <w:spacing w:line="240" w:lineRule="auto"/>
      <w:ind w:left="2520" w:leftChars="1200"/>
      <w:jc w:val="both"/>
    </w:pPr>
    <w:rPr>
      <w:rFonts w:asciiTheme="minorHAnsi" w:hAnsiTheme="minorHAnsi" w:eastAsiaTheme="minorEastAsia" w:cstheme="minorBidi"/>
      <w:kern w:val="2"/>
    </w:rPr>
  </w:style>
  <w:style w:type="paragraph" w:styleId="12">
    <w:name w:val="caption"/>
    <w:basedOn w:val="1"/>
    <w:next w:val="1"/>
    <w:link w:val="45"/>
    <w:unhideWhenUsed/>
    <w:qFormat/>
    <w:uiPriority w:val="35"/>
    <w:rPr>
      <w:caps/>
      <w:spacing w:val="10"/>
      <w:sz w:val="18"/>
      <w:szCs w:val="18"/>
    </w:rPr>
  </w:style>
  <w:style w:type="paragraph" w:styleId="13">
    <w:name w:val="Document Map"/>
    <w:basedOn w:val="1"/>
    <w:link w:val="68"/>
    <w:semiHidden/>
    <w:unhideWhenUsed/>
    <w:uiPriority w:val="99"/>
    <w:rPr>
      <w:rFonts w:ascii="宋体"/>
      <w:sz w:val="18"/>
      <w:szCs w:val="18"/>
    </w:rPr>
  </w:style>
  <w:style w:type="paragraph" w:styleId="14">
    <w:name w:val="annotation text"/>
    <w:basedOn w:val="1"/>
    <w:link w:val="92"/>
    <w:semiHidden/>
    <w:unhideWhenUsed/>
    <w:qFormat/>
    <w:uiPriority w:val="99"/>
    <w:pPr>
      <w:spacing w:after="200" w:line="276" w:lineRule="auto"/>
      <w:ind w:firstLine="0" w:firstLineChars="0"/>
    </w:pPr>
    <w:rPr>
      <w:rFonts w:eastAsiaTheme="majorEastAsia"/>
      <w:sz w:val="22"/>
    </w:rPr>
  </w:style>
  <w:style w:type="paragraph" w:styleId="15">
    <w:name w:val="toc 5"/>
    <w:basedOn w:val="1"/>
    <w:next w:val="1"/>
    <w:unhideWhenUsed/>
    <w:qFormat/>
    <w:uiPriority w:val="39"/>
    <w:pPr>
      <w:widowControl w:val="0"/>
      <w:spacing w:line="240" w:lineRule="auto"/>
      <w:ind w:left="1680" w:leftChars="800"/>
      <w:jc w:val="both"/>
    </w:pPr>
    <w:rPr>
      <w:rFonts w:asciiTheme="minorHAnsi" w:hAnsiTheme="minorHAnsi" w:eastAsiaTheme="minorEastAsia" w:cstheme="minorBidi"/>
      <w:kern w:val="2"/>
    </w:rPr>
  </w:style>
  <w:style w:type="paragraph" w:styleId="16">
    <w:name w:val="toc 3"/>
    <w:basedOn w:val="1"/>
    <w:next w:val="1"/>
    <w:unhideWhenUsed/>
    <w:qFormat/>
    <w:uiPriority w:val="39"/>
    <w:pPr>
      <w:tabs>
        <w:tab w:val="right" w:leader="dot" w:pos="9344"/>
      </w:tabs>
      <w:ind w:left="442" w:firstLine="0" w:firstLineChars="0"/>
    </w:pPr>
    <w:rPr>
      <w:rFonts w:asciiTheme="minorHAnsi" w:hAnsiTheme="minorHAnsi" w:cstheme="minorBidi"/>
    </w:rPr>
  </w:style>
  <w:style w:type="paragraph" w:styleId="17">
    <w:name w:val="toc 8"/>
    <w:basedOn w:val="1"/>
    <w:next w:val="1"/>
    <w:unhideWhenUsed/>
    <w:qFormat/>
    <w:uiPriority w:val="39"/>
    <w:pPr>
      <w:widowControl w:val="0"/>
      <w:spacing w:line="240" w:lineRule="auto"/>
      <w:ind w:left="2940" w:leftChars="1400"/>
      <w:jc w:val="both"/>
    </w:pPr>
    <w:rPr>
      <w:rFonts w:asciiTheme="minorHAnsi" w:hAnsiTheme="minorHAnsi" w:eastAsiaTheme="minorEastAsia" w:cstheme="minorBidi"/>
      <w:kern w:val="2"/>
    </w:rPr>
  </w:style>
  <w:style w:type="paragraph" w:styleId="18">
    <w:name w:val="Date"/>
    <w:basedOn w:val="1"/>
    <w:next w:val="1"/>
    <w:link w:val="91"/>
    <w:semiHidden/>
    <w:unhideWhenUsed/>
    <w:qFormat/>
    <w:uiPriority w:val="99"/>
    <w:pPr>
      <w:spacing w:after="200" w:line="276" w:lineRule="auto"/>
      <w:ind w:left="100" w:leftChars="2500" w:firstLine="0" w:firstLineChars="0"/>
    </w:pPr>
    <w:rPr>
      <w:rFonts w:eastAsiaTheme="majorEastAsia"/>
      <w:sz w:val="22"/>
    </w:rPr>
  </w:style>
  <w:style w:type="paragraph" w:styleId="19">
    <w:name w:val="Balloon Text"/>
    <w:basedOn w:val="1"/>
    <w:link w:val="67"/>
    <w:semiHidden/>
    <w:unhideWhenUsed/>
    <w:uiPriority w:val="99"/>
    <w:pPr>
      <w:spacing w:line="240" w:lineRule="auto"/>
    </w:pPr>
    <w:rPr>
      <w:sz w:val="18"/>
      <w:szCs w:val="18"/>
    </w:rPr>
  </w:style>
  <w:style w:type="paragraph" w:styleId="20">
    <w:name w:val="footer"/>
    <w:basedOn w:val="1"/>
    <w:link w:val="66"/>
    <w:unhideWhenUsed/>
    <w:qFormat/>
    <w:uiPriority w:val="99"/>
    <w:pPr>
      <w:tabs>
        <w:tab w:val="center" w:pos="4153"/>
        <w:tab w:val="right" w:pos="8306"/>
      </w:tabs>
      <w:snapToGrid w:val="0"/>
      <w:spacing w:line="240" w:lineRule="auto"/>
    </w:pPr>
    <w:rPr>
      <w:sz w:val="18"/>
      <w:szCs w:val="18"/>
    </w:rPr>
  </w:style>
  <w:style w:type="paragraph" w:styleId="21">
    <w:name w:val="header"/>
    <w:basedOn w:val="1"/>
    <w:link w:val="6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2">
    <w:name w:val="toc 1"/>
    <w:basedOn w:val="1"/>
    <w:next w:val="1"/>
    <w:unhideWhenUsed/>
    <w:qFormat/>
    <w:uiPriority w:val="39"/>
    <w:pPr>
      <w:tabs>
        <w:tab w:val="right" w:leader="dot" w:pos="9344"/>
      </w:tabs>
      <w:ind w:firstLine="0" w:firstLineChars="0"/>
    </w:pPr>
    <w:rPr>
      <w:rFonts w:asciiTheme="minorHAnsi" w:hAnsiTheme="minorHAnsi" w:eastAsiaTheme="minorEastAsia" w:cstheme="minorBidi"/>
    </w:rPr>
  </w:style>
  <w:style w:type="paragraph" w:styleId="23">
    <w:name w:val="toc 4"/>
    <w:basedOn w:val="1"/>
    <w:next w:val="1"/>
    <w:unhideWhenUsed/>
    <w:qFormat/>
    <w:uiPriority w:val="39"/>
    <w:pPr>
      <w:widowControl w:val="0"/>
      <w:spacing w:line="240" w:lineRule="auto"/>
      <w:ind w:left="600" w:leftChars="600"/>
      <w:jc w:val="both"/>
    </w:pPr>
    <w:rPr>
      <w:rFonts w:asciiTheme="minorHAnsi" w:hAnsiTheme="minorHAnsi" w:eastAsiaTheme="minorEastAsia" w:cstheme="minorBidi"/>
      <w:kern w:val="2"/>
    </w:rPr>
  </w:style>
  <w:style w:type="paragraph" w:styleId="24">
    <w:name w:val="Subtitle"/>
    <w:basedOn w:val="1"/>
    <w:next w:val="1"/>
    <w:link w:val="47"/>
    <w:qFormat/>
    <w:uiPriority w:val="11"/>
    <w:rPr>
      <w:i/>
      <w:iCs/>
      <w:smallCaps/>
      <w:spacing w:val="10"/>
      <w:sz w:val="28"/>
      <w:szCs w:val="28"/>
    </w:rPr>
  </w:style>
  <w:style w:type="paragraph" w:styleId="25">
    <w:name w:val="toc 6"/>
    <w:basedOn w:val="1"/>
    <w:next w:val="1"/>
    <w:unhideWhenUsed/>
    <w:uiPriority w:val="39"/>
    <w:pPr>
      <w:widowControl w:val="0"/>
      <w:spacing w:line="240" w:lineRule="auto"/>
      <w:ind w:left="2100" w:leftChars="1000"/>
      <w:jc w:val="both"/>
    </w:pPr>
    <w:rPr>
      <w:rFonts w:asciiTheme="minorHAnsi" w:hAnsiTheme="minorHAnsi" w:eastAsiaTheme="minorEastAsia" w:cstheme="minorBidi"/>
      <w:kern w:val="2"/>
    </w:rPr>
  </w:style>
  <w:style w:type="paragraph" w:styleId="26">
    <w:name w:val="toc 2"/>
    <w:basedOn w:val="1"/>
    <w:next w:val="1"/>
    <w:unhideWhenUsed/>
    <w:qFormat/>
    <w:uiPriority w:val="39"/>
    <w:pPr>
      <w:tabs>
        <w:tab w:val="right" w:leader="dot" w:pos="9344"/>
      </w:tabs>
      <w:ind w:left="221" w:firstLine="0" w:firstLineChars="0"/>
    </w:pPr>
    <w:rPr>
      <w:rFonts w:asciiTheme="minorHAnsi" w:hAnsiTheme="minorHAnsi" w:cstheme="minorBidi"/>
    </w:rPr>
  </w:style>
  <w:style w:type="paragraph" w:styleId="27">
    <w:name w:val="toc 9"/>
    <w:basedOn w:val="1"/>
    <w:next w:val="1"/>
    <w:unhideWhenUsed/>
    <w:qFormat/>
    <w:uiPriority w:val="39"/>
    <w:pPr>
      <w:widowControl w:val="0"/>
      <w:spacing w:line="240" w:lineRule="auto"/>
      <w:ind w:left="3360" w:leftChars="1600"/>
      <w:jc w:val="both"/>
    </w:pPr>
    <w:rPr>
      <w:rFonts w:asciiTheme="minorHAnsi" w:hAnsiTheme="minorHAnsi" w:eastAsiaTheme="minorEastAsia" w:cstheme="minorBidi"/>
      <w:kern w:val="2"/>
    </w:rPr>
  </w:style>
  <w:style w:type="paragraph" w:styleId="28">
    <w:name w:val="Title"/>
    <w:basedOn w:val="1"/>
    <w:next w:val="1"/>
    <w:link w:val="46"/>
    <w:qFormat/>
    <w:uiPriority w:val="10"/>
    <w:pPr>
      <w:spacing w:after="300" w:line="240" w:lineRule="auto"/>
      <w:contextualSpacing/>
    </w:pPr>
    <w:rPr>
      <w:smallCaps/>
      <w:sz w:val="52"/>
      <w:szCs w:val="52"/>
    </w:rPr>
  </w:style>
  <w:style w:type="paragraph" w:styleId="29">
    <w:name w:val="annotation subject"/>
    <w:basedOn w:val="14"/>
    <w:next w:val="14"/>
    <w:link w:val="93"/>
    <w:semiHidden/>
    <w:unhideWhenUsed/>
    <w:qFormat/>
    <w:uiPriority w:val="99"/>
    <w:rPr>
      <w:b/>
      <w:bCs/>
    </w:rPr>
  </w:style>
  <w:style w:type="character" w:styleId="32">
    <w:name w:val="Strong"/>
    <w:qFormat/>
    <w:uiPriority w:val="22"/>
    <w:rPr>
      <w:b/>
      <w:bCs/>
    </w:rPr>
  </w:style>
  <w:style w:type="character" w:styleId="33">
    <w:name w:val="Emphasis"/>
    <w:qFormat/>
    <w:uiPriority w:val="20"/>
    <w:rPr>
      <w:b/>
      <w:bCs/>
      <w:i/>
      <w:iCs/>
      <w:spacing w:val="10"/>
    </w:rPr>
  </w:style>
  <w:style w:type="character" w:styleId="34">
    <w:name w:val="Hyperlink"/>
    <w:basedOn w:val="31"/>
    <w:unhideWhenUsed/>
    <w:qFormat/>
    <w:uiPriority w:val="99"/>
    <w:rPr>
      <w:color w:val="0000FF" w:themeColor="hyperlink"/>
      <w:u w:val="single"/>
    </w:rPr>
  </w:style>
  <w:style w:type="character" w:styleId="35">
    <w:name w:val="annotation reference"/>
    <w:basedOn w:val="31"/>
    <w:semiHidden/>
    <w:unhideWhenUsed/>
    <w:uiPriority w:val="99"/>
    <w:rPr>
      <w:sz w:val="21"/>
      <w:szCs w:val="21"/>
    </w:rPr>
  </w:style>
  <w:style w:type="character" w:customStyle="1" w:styleId="36">
    <w:name w:val="标题 1 Char"/>
    <w:basedOn w:val="31"/>
    <w:link w:val="2"/>
    <w:qFormat/>
    <w:uiPriority w:val="9"/>
    <w:rPr>
      <w:rFonts w:ascii="Times New Roman" w:hAnsi="Times New Roman" w:eastAsia="黑体" w:cs="Times New Roman"/>
      <w:b/>
      <w:smallCaps/>
      <w:spacing w:val="5"/>
      <w:sz w:val="21"/>
      <w:szCs w:val="21"/>
    </w:rPr>
  </w:style>
  <w:style w:type="character" w:customStyle="1" w:styleId="37">
    <w:name w:val="标题 2 Char"/>
    <w:basedOn w:val="31"/>
    <w:link w:val="3"/>
    <w:qFormat/>
    <w:uiPriority w:val="9"/>
    <w:rPr>
      <w:rFonts w:ascii="黑体" w:hAnsi="黑体" w:eastAsia="黑体"/>
      <w:smallCaps/>
      <w:sz w:val="21"/>
      <w:szCs w:val="21"/>
    </w:rPr>
  </w:style>
  <w:style w:type="character" w:customStyle="1" w:styleId="38">
    <w:name w:val="标题 3 Char"/>
    <w:basedOn w:val="31"/>
    <w:link w:val="4"/>
    <w:qFormat/>
    <w:uiPriority w:val="9"/>
    <w:rPr>
      <w:rFonts w:ascii="黑体" w:hAnsi="黑体" w:eastAsia="黑体"/>
      <w:iCs/>
      <w:smallCaps/>
      <w:spacing w:val="5"/>
      <w:sz w:val="21"/>
      <w:szCs w:val="24"/>
    </w:rPr>
  </w:style>
  <w:style w:type="character" w:customStyle="1" w:styleId="39">
    <w:name w:val="标题 4 Char"/>
    <w:basedOn w:val="31"/>
    <w:link w:val="5"/>
    <w:qFormat/>
    <w:uiPriority w:val="9"/>
    <w:rPr>
      <w:rFonts w:ascii="黑体" w:hAnsi="黑体" w:eastAsia="黑体"/>
      <w:bCs/>
      <w:spacing w:val="5"/>
      <w:sz w:val="21"/>
      <w:szCs w:val="21"/>
    </w:rPr>
  </w:style>
  <w:style w:type="character" w:customStyle="1" w:styleId="40">
    <w:name w:val="标题 5 Char"/>
    <w:basedOn w:val="31"/>
    <w:link w:val="6"/>
    <w:qFormat/>
    <w:uiPriority w:val="9"/>
    <w:rPr>
      <w:rFonts w:ascii="黑体" w:hAnsi="黑体" w:eastAsia="黑体"/>
      <w:iCs/>
      <w:sz w:val="21"/>
      <w:szCs w:val="21"/>
    </w:rPr>
  </w:style>
  <w:style w:type="character" w:customStyle="1" w:styleId="41">
    <w:name w:val="标题 6 Char"/>
    <w:basedOn w:val="31"/>
    <w:link w:val="7"/>
    <w:qFormat/>
    <w:uiPriority w:val="9"/>
    <w:rPr>
      <w:b/>
      <w:bCs/>
      <w:color w:val="585858" w:themeColor="text1" w:themeTint="A6"/>
      <w:spacing w:val="5"/>
      <w:shd w:val="clear" w:color="auto" w:fill="FFFFFF" w:themeFill="background1"/>
    </w:rPr>
  </w:style>
  <w:style w:type="character" w:customStyle="1" w:styleId="42">
    <w:name w:val="标题 7 Char"/>
    <w:basedOn w:val="31"/>
    <w:link w:val="8"/>
    <w:qFormat/>
    <w:uiPriority w:val="9"/>
    <w:rPr>
      <w:b/>
      <w:bCs/>
      <w:i/>
      <w:iCs/>
      <w:color w:val="595959" w:themeColor="text1" w:themeTint="A5"/>
      <w:sz w:val="20"/>
      <w:szCs w:val="20"/>
    </w:rPr>
  </w:style>
  <w:style w:type="character" w:customStyle="1" w:styleId="43">
    <w:name w:val="标题 8 Char"/>
    <w:basedOn w:val="31"/>
    <w:link w:val="9"/>
    <w:qFormat/>
    <w:uiPriority w:val="9"/>
    <w:rPr>
      <w:b/>
      <w:bCs/>
      <w:color w:val="7E7E7E" w:themeColor="text1" w:themeTint="80"/>
      <w:sz w:val="20"/>
      <w:szCs w:val="20"/>
    </w:rPr>
  </w:style>
  <w:style w:type="character" w:customStyle="1" w:styleId="44">
    <w:name w:val="标题 9 Char"/>
    <w:basedOn w:val="31"/>
    <w:link w:val="10"/>
    <w:qFormat/>
    <w:uiPriority w:val="9"/>
    <w:rPr>
      <w:b/>
      <w:bCs/>
      <w:i/>
      <w:iCs/>
      <w:color w:val="7E7E7E" w:themeColor="text1" w:themeTint="80"/>
      <w:sz w:val="18"/>
      <w:szCs w:val="18"/>
    </w:rPr>
  </w:style>
  <w:style w:type="character" w:customStyle="1" w:styleId="45">
    <w:name w:val="题注 Char"/>
    <w:basedOn w:val="31"/>
    <w:link w:val="12"/>
    <w:qFormat/>
    <w:uiPriority w:val="35"/>
    <w:rPr>
      <w:rFonts w:eastAsia="宋体"/>
      <w:caps/>
      <w:spacing w:val="10"/>
      <w:sz w:val="18"/>
      <w:szCs w:val="18"/>
    </w:rPr>
  </w:style>
  <w:style w:type="character" w:customStyle="1" w:styleId="46">
    <w:name w:val="标题 Char"/>
    <w:basedOn w:val="31"/>
    <w:link w:val="28"/>
    <w:qFormat/>
    <w:uiPriority w:val="10"/>
    <w:rPr>
      <w:smallCaps/>
      <w:sz w:val="52"/>
      <w:szCs w:val="52"/>
    </w:rPr>
  </w:style>
  <w:style w:type="character" w:customStyle="1" w:styleId="47">
    <w:name w:val="副标题 Char"/>
    <w:basedOn w:val="31"/>
    <w:link w:val="24"/>
    <w:uiPriority w:val="11"/>
    <w:rPr>
      <w:i/>
      <w:iCs/>
      <w:smallCaps/>
      <w:spacing w:val="10"/>
      <w:sz w:val="28"/>
      <w:szCs w:val="28"/>
    </w:rPr>
  </w:style>
  <w:style w:type="paragraph" w:styleId="48">
    <w:name w:val="No Spacing"/>
    <w:basedOn w:val="1"/>
    <w:link w:val="49"/>
    <w:qFormat/>
    <w:uiPriority w:val="1"/>
    <w:pPr>
      <w:spacing w:line="240" w:lineRule="auto"/>
    </w:pPr>
  </w:style>
  <w:style w:type="character" w:customStyle="1" w:styleId="49">
    <w:name w:val="无间隔 Char"/>
    <w:basedOn w:val="31"/>
    <w:link w:val="48"/>
    <w:uiPriority w:val="1"/>
  </w:style>
  <w:style w:type="paragraph" w:styleId="50">
    <w:name w:val="List Paragraph"/>
    <w:basedOn w:val="1"/>
    <w:qFormat/>
    <w:uiPriority w:val="34"/>
    <w:pPr>
      <w:ind w:left="720"/>
      <w:contextualSpacing/>
    </w:pPr>
  </w:style>
  <w:style w:type="paragraph" w:styleId="51">
    <w:name w:val="Quote"/>
    <w:basedOn w:val="1"/>
    <w:next w:val="1"/>
    <w:link w:val="52"/>
    <w:qFormat/>
    <w:uiPriority w:val="29"/>
    <w:rPr>
      <w:i/>
      <w:iCs/>
    </w:rPr>
  </w:style>
  <w:style w:type="character" w:customStyle="1" w:styleId="52">
    <w:name w:val="引用 Char"/>
    <w:basedOn w:val="31"/>
    <w:link w:val="51"/>
    <w:qFormat/>
    <w:uiPriority w:val="29"/>
    <w:rPr>
      <w:i/>
      <w:iCs/>
    </w:rPr>
  </w:style>
  <w:style w:type="paragraph" w:styleId="53">
    <w:name w:val="Intense Quote"/>
    <w:basedOn w:val="1"/>
    <w:next w:val="1"/>
    <w:link w:val="54"/>
    <w:qFormat/>
    <w:uiPriority w:val="30"/>
    <w:pPr>
      <w:pBdr>
        <w:top w:val="single" w:color="auto" w:sz="4" w:space="10"/>
        <w:bottom w:val="single" w:color="auto" w:sz="4" w:space="10"/>
      </w:pBdr>
      <w:spacing w:before="240" w:after="240" w:line="300" w:lineRule="auto"/>
      <w:ind w:left="1152" w:right="1152"/>
      <w:jc w:val="both"/>
    </w:pPr>
    <w:rPr>
      <w:i/>
      <w:iCs/>
    </w:rPr>
  </w:style>
  <w:style w:type="character" w:customStyle="1" w:styleId="54">
    <w:name w:val="明显引用 Char"/>
    <w:basedOn w:val="31"/>
    <w:link w:val="53"/>
    <w:uiPriority w:val="30"/>
    <w:rPr>
      <w:i/>
      <w:iCs/>
    </w:rPr>
  </w:style>
  <w:style w:type="character" w:customStyle="1" w:styleId="55">
    <w:name w:val="Subtle Emphasis"/>
    <w:qFormat/>
    <w:uiPriority w:val="19"/>
    <w:rPr>
      <w:i/>
      <w:iCs/>
    </w:rPr>
  </w:style>
  <w:style w:type="character" w:customStyle="1" w:styleId="56">
    <w:name w:val="Intense Emphasis"/>
    <w:qFormat/>
    <w:uiPriority w:val="21"/>
    <w:rPr>
      <w:b/>
      <w:bCs/>
      <w:i/>
      <w:iCs/>
    </w:rPr>
  </w:style>
  <w:style w:type="character" w:customStyle="1" w:styleId="57">
    <w:name w:val="Subtle Reference"/>
    <w:basedOn w:val="31"/>
    <w:qFormat/>
    <w:uiPriority w:val="31"/>
    <w:rPr>
      <w:smallCaps/>
    </w:rPr>
  </w:style>
  <w:style w:type="character" w:customStyle="1" w:styleId="58">
    <w:name w:val="Intense Reference"/>
    <w:qFormat/>
    <w:uiPriority w:val="32"/>
    <w:rPr>
      <w:b/>
      <w:bCs/>
      <w:smallCaps/>
    </w:rPr>
  </w:style>
  <w:style w:type="character" w:customStyle="1" w:styleId="59">
    <w:name w:val="Book Title"/>
    <w:basedOn w:val="31"/>
    <w:qFormat/>
    <w:uiPriority w:val="33"/>
    <w:rPr>
      <w:i/>
      <w:iCs/>
      <w:smallCaps/>
      <w:spacing w:val="5"/>
    </w:rPr>
  </w:style>
  <w:style w:type="paragraph" w:customStyle="1" w:styleId="60">
    <w:name w:val="TOC Heading"/>
    <w:basedOn w:val="2"/>
    <w:next w:val="1"/>
    <w:link w:val="61"/>
    <w:semiHidden/>
    <w:unhideWhenUsed/>
    <w:qFormat/>
    <w:uiPriority w:val="39"/>
    <w:pPr>
      <w:outlineLvl w:val="9"/>
    </w:pPr>
    <w:rPr>
      <w:lang w:bidi="en-US"/>
    </w:rPr>
  </w:style>
  <w:style w:type="character" w:customStyle="1" w:styleId="61">
    <w:name w:val="TOC 标题 Char"/>
    <w:basedOn w:val="36"/>
    <w:link w:val="60"/>
    <w:semiHidden/>
    <w:uiPriority w:val="39"/>
    <w:rPr>
      <w:rFonts w:ascii="黑体" w:hAnsi="黑体" w:eastAsia="黑体" w:cs="Times New Roman"/>
      <w:spacing w:val="5"/>
      <w:sz w:val="21"/>
      <w:szCs w:val="21"/>
      <w:lang w:bidi="en-US"/>
    </w:rPr>
  </w:style>
  <w:style w:type="paragraph" w:customStyle="1" w:styleId="62">
    <w:name w:val="段"/>
    <w:link w:val="63"/>
    <w:qFormat/>
    <w:uiPriority w:val="0"/>
    <w:pPr>
      <w:autoSpaceDE w:val="0"/>
      <w:autoSpaceDN w:val="0"/>
      <w:spacing w:after="0" w:line="240" w:lineRule="auto"/>
      <w:ind w:firstLine="200" w:firstLineChars="200"/>
      <w:jc w:val="both"/>
    </w:pPr>
    <w:rPr>
      <w:rFonts w:ascii="宋体" w:hAnsi="Times New Roman" w:eastAsia="宋体" w:cs="Times New Roman"/>
      <w:sz w:val="21"/>
      <w:szCs w:val="20"/>
      <w:lang w:val="en-US" w:eastAsia="zh-CN" w:bidi="ar-SA"/>
    </w:rPr>
  </w:style>
  <w:style w:type="character" w:customStyle="1" w:styleId="63">
    <w:name w:val="段 Char"/>
    <w:link w:val="62"/>
    <w:qFormat/>
    <w:locked/>
    <w:uiPriority w:val="0"/>
    <w:rPr>
      <w:rFonts w:ascii="宋体" w:hAnsi="Times New Roman" w:eastAsia="宋体" w:cs="Times New Roman"/>
      <w:sz w:val="21"/>
      <w:szCs w:val="20"/>
    </w:rPr>
  </w:style>
  <w:style w:type="paragraph" w:customStyle="1" w:styleId="64">
    <w:name w:val="附录标识"/>
    <w:basedOn w:val="1"/>
    <w:qFormat/>
    <w:uiPriority w:val="0"/>
    <w:pPr>
      <w:numPr>
        <w:ilvl w:val="0"/>
        <w:numId w:val="1"/>
      </w:numPr>
      <w:shd w:val="clear" w:color="FFFFFF" w:fill="FFFFFF"/>
      <w:tabs>
        <w:tab w:val="left" w:pos="6405"/>
      </w:tabs>
      <w:spacing w:before="640" w:line="240" w:lineRule="auto"/>
      <w:jc w:val="center"/>
      <w:outlineLvl w:val="0"/>
    </w:pPr>
    <w:rPr>
      <w:rFonts w:ascii="黑体" w:hAnsi="Times New Roman" w:eastAsia="黑体" w:cs="Times New Roman"/>
      <w:szCs w:val="20"/>
    </w:rPr>
  </w:style>
  <w:style w:type="character" w:customStyle="1" w:styleId="65">
    <w:name w:val="页眉 Char"/>
    <w:basedOn w:val="31"/>
    <w:link w:val="21"/>
    <w:uiPriority w:val="99"/>
    <w:rPr>
      <w:sz w:val="18"/>
      <w:szCs w:val="18"/>
    </w:rPr>
  </w:style>
  <w:style w:type="character" w:customStyle="1" w:styleId="66">
    <w:name w:val="页脚 Char"/>
    <w:basedOn w:val="31"/>
    <w:link w:val="20"/>
    <w:qFormat/>
    <w:uiPriority w:val="99"/>
    <w:rPr>
      <w:sz w:val="18"/>
      <w:szCs w:val="18"/>
    </w:rPr>
  </w:style>
  <w:style w:type="character" w:customStyle="1" w:styleId="67">
    <w:name w:val="批注框文本 Char"/>
    <w:basedOn w:val="31"/>
    <w:link w:val="19"/>
    <w:semiHidden/>
    <w:uiPriority w:val="99"/>
    <w:rPr>
      <w:sz w:val="18"/>
      <w:szCs w:val="18"/>
    </w:rPr>
  </w:style>
  <w:style w:type="character" w:customStyle="1" w:styleId="68">
    <w:name w:val="文档结构图 Char"/>
    <w:basedOn w:val="31"/>
    <w:link w:val="13"/>
    <w:semiHidden/>
    <w:uiPriority w:val="99"/>
    <w:rPr>
      <w:rFonts w:ascii="宋体" w:eastAsia="宋体"/>
      <w:sz w:val="18"/>
      <w:szCs w:val="18"/>
    </w:rPr>
  </w:style>
  <w:style w:type="character" w:customStyle="1" w:styleId="69">
    <w:name w:val="apple-converted-space"/>
    <w:basedOn w:val="31"/>
    <w:qFormat/>
    <w:uiPriority w:val="0"/>
  </w:style>
  <w:style w:type="paragraph" w:customStyle="1" w:styleId="70">
    <w:name w:val="标准标志"/>
    <w:next w:val="1"/>
    <w:uiPriority w:val="0"/>
    <w:pPr>
      <w:framePr w:w="2268" w:h="1392" w:hRule="exact" w:wrap="around" w:vAnchor="margin" w:hAnchor="margin" w:x="6748" w:y="171" w:anchorLock="1"/>
      <w:shd w:val="solid" w:color="FFFFFF" w:fill="FFFFFF"/>
      <w:spacing w:after="0" w:line="0" w:lineRule="atLeast"/>
      <w:jc w:val="right"/>
    </w:pPr>
    <w:rPr>
      <w:rFonts w:ascii="Times New Roman" w:hAnsi="Times New Roman" w:eastAsia="宋体" w:cs="Times New Roman"/>
      <w:b/>
      <w:w w:val="130"/>
      <w:sz w:val="96"/>
      <w:szCs w:val="20"/>
      <w:lang w:val="en-US" w:eastAsia="zh-CN" w:bidi="ar-SA"/>
    </w:rPr>
  </w:style>
  <w:style w:type="character" w:customStyle="1" w:styleId="71">
    <w:name w:val="发布"/>
    <w:uiPriority w:val="0"/>
    <w:rPr>
      <w:rFonts w:ascii="黑体" w:eastAsia="黑体"/>
      <w:spacing w:val="22"/>
      <w:w w:val="100"/>
      <w:position w:val="3"/>
      <w:sz w:val="28"/>
    </w:rPr>
  </w:style>
  <w:style w:type="paragraph" w:customStyle="1" w:styleId="72">
    <w:name w:val="其他发布部门"/>
    <w:basedOn w:val="1"/>
    <w:uiPriority w:val="0"/>
    <w:pPr>
      <w:framePr w:w="7433" w:h="585" w:hRule="exact" w:hSpace="180" w:vSpace="180" w:wrap="around" w:vAnchor="margin" w:hAnchor="margin" w:xAlign="center" w:y="14401" w:anchorLock="1"/>
      <w:spacing w:line="0" w:lineRule="atLeast"/>
      <w:jc w:val="center"/>
    </w:pPr>
    <w:rPr>
      <w:rFonts w:ascii="黑体" w:hAnsi="Times New Roman" w:eastAsia="黑体" w:cs="Times New Roman"/>
      <w:spacing w:val="20"/>
      <w:w w:val="135"/>
      <w:sz w:val="36"/>
      <w:szCs w:val="20"/>
    </w:rPr>
  </w:style>
  <w:style w:type="paragraph" w:customStyle="1" w:styleId="73">
    <w:name w:val="目录标题"/>
    <w:basedOn w:val="60"/>
    <w:link w:val="74"/>
    <w:qFormat/>
    <w:uiPriority w:val="0"/>
    <w:pPr>
      <w:jc w:val="center"/>
    </w:pPr>
    <w:rPr>
      <w:sz w:val="32"/>
      <w:lang w:val="zh-CN"/>
    </w:rPr>
  </w:style>
  <w:style w:type="character" w:customStyle="1" w:styleId="74">
    <w:name w:val="目录标题 Char"/>
    <w:basedOn w:val="61"/>
    <w:link w:val="73"/>
    <w:uiPriority w:val="0"/>
    <w:rPr>
      <w:rFonts w:ascii="黑体" w:hAnsi="黑体" w:eastAsia="黑体" w:cs="Times New Roman"/>
      <w:spacing w:val="5"/>
      <w:sz w:val="21"/>
      <w:szCs w:val="21"/>
      <w:lang w:bidi="en-US"/>
    </w:rPr>
  </w:style>
  <w:style w:type="paragraph" w:customStyle="1" w:styleId="75">
    <w:name w:val="封面-发布实施"/>
    <w:basedOn w:val="1"/>
    <w:link w:val="76"/>
    <w:qFormat/>
    <w:uiPriority w:val="0"/>
    <w:pPr>
      <w:spacing w:line="240" w:lineRule="auto"/>
      <w:ind w:firstLine="0" w:firstLineChars="0"/>
      <w:jc w:val="both"/>
    </w:pPr>
    <w:rPr>
      <w:rFonts w:ascii="黑体" w:hAnsi="黑体" w:eastAsia="黑体"/>
      <w:sz w:val="28"/>
      <w:szCs w:val="28"/>
    </w:rPr>
  </w:style>
  <w:style w:type="character" w:customStyle="1" w:styleId="76">
    <w:name w:val="封面-发布实施 Char"/>
    <w:basedOn w:val="31"/>
    <w:link w:val="75"/>
    <w:uiPriority w:val="0"/>
    <w:rPr>
      <w:rFonts w:ascii="黑体" w:hAnsi="黑体" w:eastAsia="黑体"/>
      <w:sz w:val="28"/>
      <w:szCs w:val="28"/>
    </w:rPr>
  </w:style>
  <w:style w:type="paragraph" w:customStyle="1" w:styleId="77">
    <w:name w:val="封面-左上角样式"/>
    <w:basedOn w:val="1"/>
    <w:link w:val="78"/>
    <w:qFormat/>
    <w:uiPriority w:val="0"/>
    <w:pPr>
      <w:spacing w:line="240" w:lineRule="auto"/>
      <w:ind w:firstLine="0" w:firstLineChars="0"/>
    </w:pPr>
    <w:rPr>
      <w:rFonts w:ascii="黑体" w:hAnsi="黑体" w:eastAsia="黑体"/>
      <w:szCs w:val="21"/>
    </w:rPr>
  </w:style>
  <w:style w:type="character" w:customStyle="1" w:styleId="78">
    <w:name w:val="封面-左上角样式 Char"/>
    <w:basedOn w:val="31"/>
    <w:link w:val="77"/>
    <w:uiPriority w:val="0"/>
    <w:rPr>
      <w:rFonts w:ascii="黑体" w:hAnsi="黑体" w:eastAsia="黑体"/>
      <w:sz w:val="21"/>
      <w:szCs w:val="21"/>
    </w:rPr>
  </w:style>
  <w:style w:type="paragraph" w:customStyle="1" w:styleId="79">
    <w:name w:val="封面-标准编号"/>
    <w:basedOn w:val="1"/>
    <w:link w:val="80"/>
    <w:qFormat/>
    <w:uiPriority w:val="0"/>
    <w:pPr>
      <w:ind w:firstLine="0" w:firstLineChars="0"/>
      <w:jc w:val="right"/>
    </w:pPr>
    <w:rPr>
      <w:rFonts w:ascii="黑体" w:hAnsi="黑体" w:eastAsia="黑体"/>
      <w:b/>
      <w:sz w:val="28"/>
      <w:szCs w:val="28"/>
    </w:rPr>
  </w:style>
  <w:style w:type="character" w:customStyle="1" w:styleId="80">
    <w:name w:val="封面-标准编号 Char"/>
    <w:basedOn w:val="31"/>
    <w:link w:val="79"/>
    <w:uiPriority w:val="0"/>
    <w:rPr>
      <w:rFonts w:ascii="黑体" w:hAnsi="黑体" w:eastAsia="黑体"/>
      <w:b/>
      <w:sz w:val="28"/>
      <w:szCs w:val="28"/>
    </w:rPr>
  </w:style>
  <w:style w:type="paragraph" w:customStyle="1" w:styleId="81">
    <w:name w:val="前言"/>
    <w:basedOn w:val="2"/>
    <w:link w:val="82"/>
    <w:qFormat/>
    <w:uiPriority w:val="0"/>
    <w:pPr>
      <w:spacing w:before="50" w:after="50"/>
      <w:jc w:val="center"/>
    </w:pPr>
    <w:rPr>
      <w:sz w:val="32"/>
    </w:rPr>
  </w:style>
  <w:style w:type="character" w:customStyle="1" w:styleId="82">
    <w:name w:val="前言 Char"/>
    <w:basedOn w:val="36"/>
    <w:link w:val="81"/>
    <w:uiPriority w:val="0"/>
    <w:rPr>
      <w:rFonts w:ascii="黑体" w:hAnsi="黑体" w:eastAsia="黑体" w:cs="Times New Roman"/>
      <w:spacing w:val="5"/>
      <w:sz w:val="32"/>
      <w:szCs w:val="21"/>
    </w:rPr>
  </w:style>
  <w:style w:type="paragraph" w:customStyle="1" w:styleId="83">
    <w:name w:val="页眉格式"/>
    <w:basedOn w:val="1"/>
    <w:link w:val="84"/>
    <w:qFormat/>
    <w:uiPriority w:val="0"/>
    <w:pPr>
      <w:ind w:firstLine="0" w:firstLineChars="0"/>
    </w:pPr>
    <w:rPr>
      <w:rFonts w:asciiTheme="minorEastAsia" w:hAnsiTheme="minorEastAsia" w:eastAsiaTheme="minorEastAsia"/>
      <w:b/>
    </w:rPr>
  </w:style>
  <w:style w:type="character" w:customStyle="1" w:styleId="84">
    <w:name w:val="页眉格式 Char"/>
    <w:basedOn w:val="31"/>
    <w:link w:val="83"/>
    <w:uiPriority w:val="0"/>
    <w:rPr>
      <w:rFonts w:asciiTheme="minorEastAsia" w:hAnsiTheme="minorEastAsia" w:eastAsiaTheme="minorEastAsia"/>
      <w:b/>
      <w:sz w:val="21"/>
    </w:rPr>
  </w:style>
  <w:style w:type="paragraph" w:customStyle="1" w:styleId="85">
    <w:name w:val="奇数页页面格式"/>
    <w:basedOn w:val="1"/>
    <w:link w:val="86"/>
    <w:qFormat/>
    <w:uiPriority w:val="0"/>
    <w:pPr>
      <w:ind w:firstLine="0" w:firstLineChars="0"/>
      <w:jc w:val="right"/>
    </w:pPr>
    <w:rPr>
      <w:rFonts w:asciiTheme="minorEastAsia" w:hAnsiTheme="minorEastAsia" w:eastAsiaTheme="minorEastAsia"/>
      <w:b/>
    </w:rPr>
  </w:style>
  <w:style w:type="character" w:customStyle="1" w:styleId="86">
    <w:name w:val="奇数页页面格式 Char"/>
    <w:basedOn w:val="31"/>
    <w:link w:val="85"/>
    <w:uiPriority w:val="0"/>
    <w:rPr>
      <w:rFonts w:asciiTheme="minorEastAsia" w:hAnsiTheme="minorEastAsia" w:eastAsiaTheme="minorEastAsia"/>
      <w:b/>
      <w:sz w:val="21"/>
    </w:rPr>
  </w:style>
  <w:style w:type="paragraph" w:customStyle="1" w:styleId="87">
    <w:name w:val="图标题"/>
    <w:basedOn w:val="12"/>
    <w:link w:val="88"/>
    <w:qFormat/>
    <w:uiPriority w:val="0"/>
    <w:pPr>
      <w:ind w:firstLine="460"/>
      <w:jc w:val="center"/>
    </w:pPr>
    <w:rPr>
      <w:rFonts w:ascii="黑体" w:hAnsi="黑体" w:eastAsia="黑体"/>
      <w:sz w:val="21"/>
      <w:szCs w:val="21"/>
    </w:rPr>
  </w:style>
  <w:style w:type="character" w:customStyle="1" w:styleId="88">
    <w:name w:val="图标题 Char"/>
    <w:basedOn w:val="45"/>
    <w:link w:val="87"/>
    <w:uiPriority w:val="0"/>
    <w:rPr>
      <w:rFonts w:ascii="黑体" w:hAnsi="黑体" w:eastAsia="黑体"/>
      <w:spacing w:val="10"/>
      <w:sz w:val="21"/>
      <w:szCs w:val="21"/>
    </w:rPr>
  </w:style>
  <w:style w:type="paragraph" w:customStyle="1" w:styleId="89">
    <w:name w:val="附录"/>
    <w:basedOn w:val="2"/>
    <w:link w:val="90"/>
    <w:qFormat/>
    <w:uiPriority w:val="0"/>
    <w:pPr>
      <w:jc w:val="center"/>
    </w:pPr>
  </w:style>
  <w:style w:type="character" w:customStyle="1" w:styleId="90">
    <w:name w:val="附录 Char"/>
    <w:basedOn w:val="36"/>
    <w:link w:val="89"/>
    <w:uiPriority w:val="0"/>
    <w:rPr>
      <w:rFonts w:ascii="黑体" w:hAnsi="黑体" w:eastAsia="黑体" w:cs="Times New Roman"/>
      <w:spacing w:val="5"/>
      <w:sz w:val="21"/>
      <w:szCs w:val="21"/>
    </w:rPr>
  </w:style>
  <w:style w:type="character" w:customStyle="1" w:styleId="91">
    <w:name w:val="日期 Char"/>
    <w:basedOn w:val="31"/>
    <w:link w:val="18"/>
    <w:semiHidden/>
    <w:uiPriority w:val="99"/>
  </w:style>
  <w:style w:type="character" w:customStyle="1" w:styleId="92">
    <w:name w:val="批注文字 Char"/>
    <w:basedOn w:val="31"/>
    <w:link w:val="14"/>
    <w:semiHidden/>
    <w:uiPriority w:val="99"/>
  </w:style>
  <w:style w:type="character" w:customStyle="1" w:styleId="93">
    <w:name w:val="批注主题 Char"/>
    <w:basedOn w:val="92"/>
    <w:link w:val="29"/>
    <w:semiHidden/>
    <w:uiPriority w:val="99"/>
    <w:rPr>
      <w:b/>
      <w:bCs/>
    </w:rPr>
  </w:style>
  <w:style w:type="paragraph" w:customStyle="1" w:styleId="94">
    <w:name w:val="reader-word-layer"/>
    <w:basedOn w:val="1"/>
    <w:uiPriority w:val="0"/>
    <w:pPr>
      <w:spacing w:before="100" w:beforeAutospacing="1" w:after="100" w:afterAutospacing="1" w:line="240" w:lineRule="auto"/>
      <w:ind w:firstLine="0" w:firstLineChars="0"/>
    </w:pPr>
    <w:rPr>
      <w:rFonts w:ascii="宋体" w:hAnsi="宋体" w:cs="宋体"/>
      <w:sz w:val="24"/>
      <w:szCs w:val="24"/>
    </w:rPr>
  </w:style>
  <w:style w:type="paragraph" w:customStyle="1" w:styleId="95">
    <w:name w:val="前言、引言标题"/>
    <w:next w:val="62"/>
    <w:uiPriority w:val="0"/>
    <w:pPr>
      <w:keepNext/>
      <w:pageBreakBefore/>
      <w:shd w:val="clear" w:color="FFFFFF" w:fill="FFFFFF"/>
      <w:spacing w:before="640" w:after="560" w:line="240" w:lineRule="auto"/>
      <w:jc w:val="center"/>
      <w:outlineLvl w:val="0"/>
    </w:pPr>
    <w:rPr>
      <w:rFonts w:ascii="黑体" w:hAnsi="Times New Roman" w:eastAsia="黑体" w:cs="Times New Roman"/>
      <w:sz w:val="32"/>
      <w:szCs w:val="20"/>
      <w:lang w:val="en-US" w:eastAsia="zh-CN" w:bidi="ar-SA"/>
    </w:rPr>
  </w:style>
  <w:style w:type="paragraph" w:customStyle="1" w:styleId="96">
    <w:name w:val="一级条标题"/>
    <w:next w:val="62"/>
    <w:link w:val="101"/>
    <w:qFormat/>
    <w:uiPriority w:val="99"/>
    <w:pPr>
      <w:numPr>
        <w:ilvl w:val="1"/>
        <w:numId w:val="2"/>
      </w:numPr>
      <w:spacing w:beforeLines="50" w:after="0" w:afterLines="50" w:line="240" w:lineRule="auto"/>
      <w:outlineLvl w:val="2"/>
    </w:pPr>
    <w:rPr>
      <w:rFonts w:ascii="黑体" w:hAnsi="Times New Roman" w:eastAsia="黑体" w:cs="Times New Roman"/>
      <w:sz w:val="21"/>
      <w:szCs w:val="21"/>
      <w:lang w:val="en-US" w:eastAsia="zh-CN" w:bidi="ar-SA"/>
    </w:rPr>
  </w:style>
  <w:style w:type="paragraph" w:customStyle="1" w:styleId="97">
    <w:name w:val="章标题"/>
    <w:next w:val="62"/>
    <w:qFormat/>
    <w:uiPriority w:val="0"/>
    <w:pPr>
      <w:numPr>
        <w:ilvl w:val="0"/>
        <w:numId w:val="2"/>
      </w:numPr>
      <w:spacing w:beforeLines="100" w:after="0" w:afterLines="100" w:line="240" w:lineRule="auto"/>
      <w:jc w:val="both"/>
      <w:outlineLvl w:val="1"/>
    </w:pPr>
    <w:rPr>
      <w:rFonts w:ascii="黑体" w:hAnsi="Times New Roman" w:eastAsia="黑体" w:cs="Times New Roman"/>
      <w:sz w:val="21"/>
      <w:szCs w:val="20"/>
      <w:lang w:val="en-US" w:eastAsia="zh-CN" w:bidi="ar-SA"/>
    </w:rPr>
  </w:style>
  <w:style w:type="paragraph" w:customStyle="1" w:styleId="98">
    <w:name w:val="二级条标题"/>
    <w:basedOn w:val="96"/>
    <w:next w:val="62"/>
    <w:qFormat/>
    <w:uiPriority w:val="99"/>
    <w:pPr>
      <w:numPr>
        <w:ilvl w:val="2"/>
      </w:numPr>
      <w:spacing w:before="50" w:after="50"/>
      <w:outlineLvl w:val="3"/>
    </w:pPr>
  </w:style>
  <w:style w:type="paragraph" w:customStyle="1" w:styleId="99">
    <w:name w:val="四级条标题"/>
    <w:basedOn w:val="1"/>
    <w:next w:val="62"/>
    <w:uiPriority w:val="99"/>
    <w:pPr>
      <w:numPr>
        <w:ilvl w:val="4"/>
        <w:numId w:val="2"/>
      </w:numPr>
      <w:spacing w:before="50" w:beforeLines="50" w:after="50" w:afterLines="50" w:line="240" w:lineRule="auto"/>
      <w:ind w:firstLineChars="0"/>
      <w:outlineLvl w:val="5"/>
    </w:pPr>
    <w:rPr>
      <w:rFonts w:ascii="黑体" w:hAnsi="Times New Roman" w:eastAsia="黑体" w:cs="Times New Roman"/>
      <w:szCs w:val="21"/>
    </w:rPr>
  </w:style>
  <w:style w:type="paragraph" w:customStyle="1" w:styleId="100">
    <w:name w:val="五级条标题"/>
    <w:basedOn w:val="99"/>
    <w:next w:val="62"/>
    <w:uiPriority w:val="99"/>
    <w:pPr>
      <w:numPr>
        <w:ilvl w:val="5"/>
      </w:numPr>
      <w:outlineLvl w:val="6"/>
    </w:pPr>
  </w:style>
  <w:style w:type="character" w:customStyle="1" w:styleId="101">
    <w:name w:val="一级条标题 Char"/>
    <w:link w:val="96"/>
    <w:uiPriority w:val="99"/>
    <w:rPr>
      <w:rFonts w:ascii="黑体" w:hAnsi="Times New Roman" w:eastAsia="黑体" w:cs="Times New Roman"/>
      <w:sz w:val="21"/>
      <w:szCs w:val="21"/>
    </w:rPr>
  </w:style>
  <w:style w:type="paragraph" w:customStyle="1" w:styleId="102">
    <w:name w:val="彩色列表 - 强调文字颜色 11"/>
    <w:basedOn w:val="1"/>
    <w:link w:val="103"/>
    <w:qFormat/>
    <w:uiPriority w:val="34"/>
    <w:pPr>
      <w:widowControl w:val="0"/>
      <w:spacing w:line="240" w:lineRule="auto"/>
      <w:ind w:firstLine="420"/>
      <w:jc w:val="both"/>
    </w:pPr>
    <w:rPr>
      <w:rFonts w:ascii="Calibri" w:hAnsi="Calibri" w:cs="Times New Roman"/>
      <w:kern w:val="2"/>
    </w:rPr>
  </w:style>
  <w:style w:type="character" w:customStyle="1" w:styleId="103">
    <w:name w:val="彩色列表 - 强调文字颜色 1字符"/>
    <w:link w:val="102"/>
    <w:locked/>
    <w:uiPriority w:val="34"/>
    <w:rPr>
      <w:rFonts w:ascii="Calibri" w:hAnsi="Calibri" w:eastAsia="宋体" w:cs="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66"/>
    <customShpInfo spid="_x0000_s1068"/>
    <customShpInfo spid="_x0000_s1070"/>
    <customShpInfo spid="_x0000_s1081"/>
    <customShpInfo spid="_x0000_s1067"/>
    <customShpInfo spid="_x0000_s1069"/>
    <customShpInfo spid="_x0000_s1073"/>
    <customShpInfo spid="_x0000_s1076"/>
    <customShpInfo spid="_x0000_s1077"/>
    <customShpInfo spid="_x0000_s10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B5969-BF52-4DA4-ACAC-5A9122615610}">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1279</Words>
  <Characters>7294</Characters>
  <Lines>60</Lines>
  <Paragraphs>17</Paragraphs>
  <TotalTime>5</TotalTime>
  <ScaleCrop>false</ScaleCrop>
  <LinksUpToDate>false</LinksUpToDate>
  <CharactersWithSpaces>8556</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2017-11-11T15:40:00Z</dcterms:created>
  <dc:creator>ZHR</dc:creator>
  <cp:lastModifiedBy>Administrator</cp:lastModifiedBy>
  <cp:lastPrinted>2018-12-11T01:50:00Z</cp:lastPrinted>
  <dcterms:modified xsi:type="dcterms:W3CDTF">2019-06-20T08:32:26Z</dcterms:modified>
  <cp:revision>1403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