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0" w:after="0" w:line="640" w:lineRule="exact"/>
        <w:ind w:firstLine="420"/>
        <w:rPr>
          <w:rFonts w:ascii="方正小标宋简体" w:hAnsi="方正小标宋简体" w:eastAsia="方正小标宋简体" w:cs="方正小标宋简体"/>
          <w:b w:val="0"/>
          <w:sz w:val="44"/>
          <w:szCs w:val="44"/>
        </w:rPr>
      </w:pPr>
      <w:r>
        <w:rPr>
          <w:rFonts w:ascii="方正小标宋简体" w:hAnsi="方正小标宋简体" w:eastAsia="方正小标宋简体" w:cs="方正小标宋简体"/>
          <w:b w:val="0"/>
          <w:bCs w:val="0"/>
          <w:sz w:val="44"/>
          <w:szCs w:val="44"/>
        </w:rPr>
        <w:t>《贵州省基层医疗机构肠道传染病病例管理规范》</w:t>
      </w:r>
      <w:r>
        <w:rPr>
          <w:rFonts w:ascii="方正小标宋简体" w:hAnsi="方正小标宋简体" w:eastAsia="方正小标宋简体" w:cs="方正小标宋简体"/>
          <w:b w:val="0"/>
          <w:sz w:val="44"/>
          <w:szCs w:val="44"/>
        </w:rPr>
        <w:t>（征求意见稿）</w:t>
      </w:r>
    </w:p>
    <w:p>
      <w:pPr>
        <w:pStyle w:val="9"/>
        <w:spacing w:beforeAutospacing="0" w:afterAutospacing="0" w:line="64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地方标准</w:t>
      </w:r>
      <w:r>
        <w:rPr>
          <w:rFonts w:ascii="方正小标宋简体" w:hAnsi="方正小标宋简体" w:eastAsia="方正小标宋简体" w:cs="方正小标宋简体"/>
          <w:bCs/>
          <w:sz w:val="44"/>
          <w:szCs w:val="44"/>
        </w:rPr>
        <w:t>编制说明</w:t>
      </w:r>
    </w:p>
    <w:p>
      <w:pPr>
        <w:pStyle w:val="9"/>
        <w:spacing w:beforeAutospacing="0" w:afterAutospacing="0" w:line="640" w:lineRule="exact"/>
        <w:jc w:val="center"/>
        <w:rPr>
          <w:rFonts w:ascii="方正小标宋简体" w:hAnsi="方正小标宋简体" w:eastAsia="方正小标宋简体" w:cs="方正小标宋简体"/>
          <w:b/>
          <w:bCs/>
          <w:sz w:val="44"/>
          <w:szCs w:val="44"/>
        </w:rPr>
      </w:pPr>
    </w:p>
    <w:p>
      <w:pPr>
        <w:pStyle w:val="9"/>
        <w:spacing w:beforeAutospacing="0" w:afterAutospacing="0" w:line="620" w:lineRule="exact"/>
        <w:ind w:firstLine="560" w:firstLineChars="200"/>
        <w:rPr>
          <w:rFonts w:ascii="仿宋" w:hAnsi="仿宋" w:eastAsia="仿宋"/>
          <w:sz w:val="28"/>
          <w:szCs w:val="28"/>
        </w:rPr>
      </w:pPr>
      <w:r>
        <w:rPr>
          <w:rFonts w:ascii="黑体" w:hAnsi="黑体" w:eastAsia="黑体" w:cs="黑体"/>
          <w:sz w:val="28"/>
          <w:szCs w:val="28"/>
        </w:rPr>
        <w:t>（一）项目背景</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肠道传染病是一组由细菌、肠道病毒或寄生虫引起的，以腹泻、发热为主要症状的急性传染病，是全球公共卫生问题之一，在医疗卫生条件较差的不发达国家和（或）地区尤为突出。贵州省地处我国西南山区，经济文化发展水平较落后，卫生基础设施薄弱；加上多民族聚居，饮食习惯各异，农村居民卫生习惯较差，导致我省肠道传染病防控形势十分严峻。2018年贵州省法定肠道传染病共报告52544例，占全省法定传染病报告总数的33.85%，发病率为149.57/10万。其中，手足口病、其他感染性腹泻占肠道传染病发病人数的96.98%。在肠道传染病流行季节，学校、托幼机构内经常发生手足口病、其他感染性腹泻的聚集性/暴发疫情，引起社会普遍关注。由此可见，我省肠道传染病发病率较高，存在疫情暴发的风险，一旦处置不及时、不规范，疫情容易扩大，可能会给个人、家庭甚至社会带来较大的负担。</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既往对我省基层医疗机构传染病防控工作考核中发现，由于缺少规范肠道传染病病例管理的文件，基层医疗机构存在以下问题：忽略对可能传染源的追溯、密切接触者的医学观察；对普通人群健康教育服务质量参差不齐；对病家的消毒方法不规范；病例管理信息的数据格式不统一，易导致数据汇总、利用困难。此外，传染病病例管理还普遍存在重复填写不同来源的表格的情况，浪费人力时间成本，降低工作效率。加之基层医疗机构卫生技术人员流动性大、人才匮乏、专业技术能力不强、经验不足、服务供给质量较差、“重医轻防”的观念普遍存在，导致基层卫生技术人员对社区和（或）乡村的肠道传染病病例管理长期处于被忽视，疲于应付的状态。</w:t>
      </w:r>
    </w:p>
    <w:p>
      <w:pPr>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省针对基层医疗机构防控措施仅有《贵州省伤寒副伤寒暴发疫情处置规范》《贵州省霍乱疫情现场处置规范》《贵州省菌痢疫情现场处置技术规范》等应对突发公共卫生事件的规范性文件，针对常见肠道传染病病例管理的规范性文件还是空白。</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综上，结合我省的基层医疗卫生服务现状制定本标准，对规范基层医疗机构肠道传染病管理具有重要意义。</w:t>
      </w:r>
    </w:p>
    <w:p>
      <w:pPr>
        <w:pStyle w:val="9"/>
        <w:spacing w:beforeAutospacing="0" w:afterAutospacing="0" w:line="620" w:lineRule="exact"/>
        <w:ind w:firstLine="560" w:firstLineChars="200"/>
        <w:rPr>
          <w:rFonts w:ascii="仿宋" w:hAnsi="仿宋" w:eastAsia="仿宋"/>
          <w:sz w:val="28"/>
          <w:szCs w:val="28"/>
        </w:rPr>
      </w:pPr>
      <w:r>
        <w:rPr>
          <w:rFonts w:ascii="黑体" w:hAnsi="黑体" w:eastAsia="黑体" w:cs="黑体"/>
          <w:sz w:val="28"/>
          <w:szCs w:val="28"/>
        </w:rPr>
        <w:t>（二）工作简况</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任务来源与项目编号：本标准参与2018年贵州省第一批地方标准制修订项目申请，并通过贵州省标准委员会专家评审及网上征求意见后立项。本项目为黔质技监标函〔2018〕128号文下达的地方标准制修订项目，项目编号为2018-130。</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2.简要起草过程：</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贵州省疾病预防控制中心传染病防治所主要承担并负责本标准的起草编制工作。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2018年3月，向贵州省质量监督局申请立项。</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2018年7月，经标准委员会专家评审批准立项。同期成立编制项目组，黄荷为地方标准编制项目负责人，成员：胡灿、王丹、姚光海、黄艳萍、聂炜、雷明玉、孙洁、袁茂阳、蒋有琴、刘平涛、蒋家立。</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2018年8月至2019年4月，数据收集和对既往肠道传染病管理资料的整理，分不同病种拟出管理标准的初稿后，组织两次组内讨论会，对标准各部分的适用性、科学性和协调性进行讨论和修改，形成征求意见稿。</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2019年5月至6月，与安顺市西秀区疾控、六盘水六枝特区疾控、贵阳市修文县疾控协作，分别在每个区/县的两个基层医疗机构开展本标准征求意见稿的现场测试，完成前期评估及测试报告。收集试用阶段的效果及基层卫生技术人员的建议和意见，调整、完善标准的相关条款，形成最终的送审稿。</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本标准的起草单位为贵州省疾病预防控制中心。协作单位为：安顺市西秀区疾病预防控制中心、修文县疾病预防控制中心、六枝特区疾病预防控制中心、修文县龙场镇和久长镇卫生院、西秀区宁谷镇、轿子山镇卫生院、六枝特区银壶社区卫生服务中心和新窑镇卫生院。</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4.本标准主要起草人、分工及其所承担的工作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黄荷，主管医师，贵州省疾病预防控制中心传染病防治研究所肠道传染病科科员，主要从事伤寒、副伤寒、痢疾防控工作。负责本标准起草大纲、标准征求意见稿编写，完成编制说明，向社会征求意见、并整理意见汇总，标准送审稿的修改工作，参加各个阶段标准指标讨论工作。为本项目负责人。</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胡灿，主管医师，贵州省疾病预防控制中心传染病防治研究所肠道传染病科科员，主要从事其他感染性腹泻、霍乱防控工作；参与标准征求意见稿编写、现场测试及标准研讨工作。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王丹，副主任医师，贵州省疾病预防控制中心传染病防治研究所肠道传染病科科员，主要从事手足口病、甲肝防控工作。参与标准征求意见稿编写、现场测试及标准研讨工作。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姚光海，主任医师，贵州省疾病预防控制中心传染病防治研究所肠道传染病科科长，主要从事肠道传染病防控工作；参与标准研讨、审核本标准征求意见稿的工作。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黄艳萍，主任医师，贵州省疾病预防控制中心传染病防治研究所肠道传染病科科员，主要从事肠道传染病防控工作；参与标准研讨、审核本标准征求意见稿的工作。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聂炜，主管医师，贵州省疾病预防控制中心传染病防治研究所肠道传染病科副科长，主要从事肠道传染病防控工作；负责现场测试及征求意见汇总，标准送审稿的修改工作及各个阶段标准指标讨论工作。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雷明玉，主管医师，贵州省疾病预防控制中心传染病防治研究所呼吸道传染病科科员，主要从事传染病预防与控制工作。主要负责流行病学和传染病防控工作的相关技术制定、方案讨论、修订等工作。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孙洁，主管医师，贵州省疾病预防控制中心传染病防治研究所呼吸道传染病科科员，主要从事传染病预防与控制。主要负责流行病学和传染病防控工作的相关技术制定、方案讨论，资料送审等工作。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袁茂阳，主管医师，贵州省疾病预防控制中心公共卫生监测评价研究所爱国卫生技术指导办科员，主要从事职业卫生监测和国家卫生城镇创建指导工作；参与征求并整理意见汇总，撰写和修改标准编制说明，参加各个阶段标准指标讨论工作。</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蒋有琴，主任医师，西秀区疾病预防控制中心副主任，主要从事传染病防治、应急管理工作；参与征求意见稿现场测试工作（西秀区测试点）及测试后修订。</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刘平涛，主管医师，修文县疾病预防控制中心流行病科科长，主要从事传染病防治、应急管理工作；参与征求意见稿现场测试工作（修文县测试点）及测试后修订。</w:t>
      </w:r>
    </w:p>
    <w:p>
      <w:pPr>
        <w:spacing w:line="62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蒋家立，医师，六枝特区疾病预防控制中心流行病科科长，主要从事传染病防治、应急管理工作；参与征求意见稿现场测试工作（六枝特区测试点）及测试后修订。</w:t>
      </w:r>
    </w:p>
    <w:p>
      <w:pPr>
        <w:spacing w:line="620" w:lineRule="exact"/>
        <w:ind w:firstLine="560" w:firstLineChars="200"/>
        <w:rPr>
          <w:rFonts w:hint="eastAsia" w:ascii="黑体" w:hAnsi="黑体" w:eastAsia="黑体" w:cs="黑体"/>
          <w:sz w:val="28"/>
          <w:szCs w:val="28"/>
        </w:rPr>
      </w:pPr>
      <w:r>
        <w:rPr>
          <w:rFonts w:hint="eastAsia" w:ascii="黑体" w:hAnsi="黑体" w:eastAsia="黑体" w:cs="黑体"/>
          <w:sz w:val="28"/>
          <w:szCs w:val="28"/>
          <w:lang w:eastAsia="zh-CN"/>
        </w:rPr>
        <w:t>（</w:t>
      </w:r>
      <w:r>
        <w:rPr>
          <w:rFonts w:hint="eastAsia" w:ascii="黑体" w:hAnsi="黑体" w:eastAsia="黑体" w:cs="黑体"/>
          <w:sz w:val="28"/>
          <w:szCs w:val="28"/>
          <w:lang w:val="en-US" w:eastAsia="zh-CN"/>
        </w:rPr>
        <w:t>三</w:t>
      </w:r>
      <w:r>
        <w:rPr>
          <w:rFonts w:hint="eastAsia" w:ascii="黑体" w:hAnsi="黑体" w:eastAsia="黑体" w:cs="黑体"/>
          <w:sz w:val="28"/>
          <w:szCs w:val="28"/>
          <w:lang w:eastAsia="zh-CN"/>
        </w:rPr>
        <w:t>）</w:t>
      </w:r>
      <w:r>
        <w:rPr>
          <w:rFonts w:hint="eastAsia" w:ascii="黑体" w:hAnsi="黑体" w:eastAsia="黑体" w:cs="黑体"/>
          <w:sz w:val="28"/>
          <w:szCs w:val="28"/>
        </w:rPr>
        <w:t>制定标准的原则和依据</w:t>
      </w:r>
    </w:p>
    <w:p>
      <w:pPr>
        <w:pStyle w:val="24"/>
        <w:spacing w:before="156" w:after="156" w:line="360" w:lineRule="auto"/>
        <w:ind w:firstLine="560"/>
        <w:rPr>
          <w:rFonts w:hint="eastAsia" w:ascii="仿宋_GB2312" w:hAnsi="仿宋_GB2312" w:eastAsia="仿宋_GB2312" w:cs="仿宋_GB2312"/>
          <w:color w:val="auto"/>
          <w:sz w:val="28"/>
          <w:szCs w:val="28"/>
          <w:lang w:val="zh-TW"/>
        </w:rPr>
      </w:pPr>
      <w:r>
        <w:rPr>
          <w:rFonts w:hint="eastAsia" w:ascii="仿宋_GB2312" w:hAnsi="仿宋_GB2312" w:eastAsia="仿宋_GB2312" w:cs="仿宋_GB2312"/>
          <w:color w:val="auto"/>
          <w:sz w:val="28"/>
          <w:szCs w:val="28"/>
          <w:lang w:val="zh-TW"/>
        </w:rPr>
        <w:t>按照GB/T 1.1—2009《标准化工作导则 第1部分：标准的结构和编写》给出的规则起草。规范的编写原则注重完整性、科学性、实用性和可操作性。有利于</w:t>
      </w:r>
      <w:r>
        <w:rPr>
          <w:rFonts w:hint="eastAsia" w:ascii="仿宋_GB2312" w:hAnsi="仿宋_GB2312" w:eastAsia="仿宋_GB2312" w:cs="仿宋_GB2312"/>
          <w:color w:val="auto"/>
          <w:sz w:val="28"/>
          <w:szCs w:val="28"/>
          <w:lang w:val="en-US" w:eastAsia="zh-CN"/>
        </w:rPr>
        <w:t>对肠道传染病的管理和控制</w:t>
      </w:r>
      <w:r>
        <w:rPr>
          <w:rFonts w:hint="eastAsia" w:ascii="仿宋_GB2312" w:hAnsi="仿宋_GB2312" w:eastAsia="仿宋_GB2312" w:cs="仿宋_GB2312"/>
          <w:color w:val="auto"/>
          <w:sz w:val="28"/>
          <w:szCs w:val="28"/>
          <w:lang w:val="zh-TW"/>
        </w:rPr>
        <w:t>，保护公众</w:t>
      </w:r>
      <w:r>
        <w:rPr>
          <w:rFonts w:hint="eastAsia" w:ascii="仿宋_GB2312" w:hAnsi="仿宋_GB2312" w:eastAsia="仿宋_GB2312" w:cs="仿宋_GB2312"/>
          <w:color w:val="auto"/>
          <w:sz w:val="28"/>
          <w:szCs w:val="28"/>
          <w:lang w:val="en-US" w:eastAsia="zh-CN"/>
        </w:rPr>
        <w:t>健康</w:t>
      </w:r>
      <w:r>
        <w:rPr>
          <w:rFonts w:hint="eastAsia" w:ascii="仿宋_GB2312" w:hAnsi="仿宋_GB2312" w:eastAsia="仿宋_GB2312" w:cs="仿宋_GB2312"/>
          <w:color w:val="auto"/>
          <w:sz w:val="28"/>
          <w:szCs w:val="28"/>
          <w:lang w:val="zh-TW"/>
        </w:rPr>
        <w:t>。规范注意与国家颁布的法律法规、以及其他相关标准相协调。</w:t>
      </w:r>
    </w:p>
    <w:p>
      <w:pPr>
        <w:pStyle w:val="24"/>
        <w:spacing w:before="156" w:after="156" w:line="360" w:lineRule="auto"/>
        <w:ind w:firstLine="560" w:firstLineChars="200"/>
        <w:rPr>
          <w:rFonts w:hint="default" w:ascii="仿宋_GB2312" w:hAnsi="仿宋_GB2312" w:eastAsia="宋体" w:cs="仿宋_GB2312"/>
          <w:b w:val="0"/>
          <w:bCs w:val="0"/>
          <w:color w:val="auto"/>
          <w:sz w:val="28"/>
          <w:szCs w:val="28"/>
          <w:lang w:val="en-US" w:eastAsia="zh-CN"/>
        </w:rPr>
      </w:pPr>
      <w:r>
        <w:rPr>
          <w:rFonts w:hint="eastAsia" w:ascii="黑体" w:hAnsi="黑体" w:eastAsia="黑体" w:cs="黑体"/>
          <w:b w:val="0"/>
          <w:bCs w:val="0"/>
          <w:color w:val="auto"/>
          <w:sz w:val="28"/>
          <w:szCs w:val="28"/>
          <w:lang w:val="zh-TW" w:eastAsia="zh-CN"/>
        </w:rPr>
        <w:t>（</w:t>
      </w:r>
      <w:r>
        <w:rPr>
          <w:rFonts w:hint="eastAsia" w:ascii="黑体" w:hAnsi="黑体" w:eastAsia="黑体" w:cs="黑体"/>
          <w:b w:val="0"/>
          <w:bCs w:val="0"/>
          <w:color w:val="auto"/>
          <w:sz w:val="28"/>
          <w:szCs w:val="28"/>
          <w:lang w:val="en-US" w:eastAsia="zh-CN"/>
        </w:rPr>
        <w:t>四</w:t>
      </w:r>
      <w:r>
        <w:rPr>
          <w:rFonts w:hint="eastAsia" w:ascii="黑体" w:hAnsi="黑体" w:eastAsia="黑体" w:cs="黑体"/>
          <w:b w:val="0"/>
          <w:bCs w:val="0"/>
          <w:color w:val="auto"/>
          <w:sz w:val="28"/>
          <w:szCs w:val="28"/>
          <w:lang w:val="zh-TW" w:eastAsia="zh-CN"/>
        </w:rPr>
        <w:t>）</w:t>
      </w:r>
      <w:r>
        <w:rPr>
          <w:rFonts w:hint="eastAsia" w:ascii="黑体" w:hAnsi="黑体" w:eastAsia="黑体" w:cs="黑体"/>
          <w:b w:val="0"/>
          <w:bCs w:val="0"/>
          <w:sz w:val="28"/>
          <w:szCs w:val="28"/>
          <w:highlight w:val="none"/>
        </w:rPr>
        <w:t>与现行相关法律、法规、规章及相关标准</w:t>
      </w:r>
      <w:r>
        <w:rPr>
          <w:rFonts w:hint="eastAsia" w:ascii="黑体" w:hAnsi="黑体" w:eastAsia="黑体" w:cs="黑体"/>
          <w:b w:val="0"/>
          <w:bCs w:val="0"/>
          <w:sz w:val="28"/>
          <w:szCs w:val="28"/>
          <w:highlight w:val="none"/>
          <w:lang w:val="en-US" w:eastAsia="zh-CN"/>
        </w:rPr>
        <w:t>的协调性</w:t>
      </w:r>
    </w:p>
    <w:p>
      <w:pPr>
        <w:ind w:firstLine="560" w:firstLineChars="200"/>
        <w:rPr>
          <w:rFonts w:hint="eastAsia" w:ascii="仿宋_GB2312" w:hAnsi="仿宋_GB2312" w:eastAsia="仿宋_GB2312" w:cs="仿宋_GB2312"/>
          <w:color w:val="FF0000"/>
          <w:sz w:val="28"/>
          <w:szCs w:val="28"/>
          <w:lang w:val="en-US" w:eastAsia="zh-CN"/>
        </w:rPr>
      </w:pPr>
      <w:r>
        <w:rPr>
          <w:rFonts w:hint="eastAsia" w:ascii="仿宋_GB2312" w:hAnsi="仿宋_GB2312" w:eastAsia="仿宋_GB2312" w:cs="仿宋_GB2312"/>
          <w:color w:val="FF0000"/>
          <w:sz w:val="28"/>
          <w:szCs w:val="28"/>
        </w:rPr>
        <w:t>本标准在省内基层医疗机构肠道传染病管理水平的基础上，根据</w:t>
      </w:r>
      <w:r>
        <w:rPr>
          <w:rFonts w:hint="eastAsia" w:ascii="仿宋_GB2312" w:hAnsi="仿宋_GB2312" w:eastAsia="仿宋_GB2312" w:cs="仿宋_GB2312"/>
          <w:color w:val="FF0000"/>
          <w:sz w:val="28"/>
          <w:szCs w:val="28"/>
          <w:lang w:val="en-US" w:eastAsia="zh-CN"/>
        </w:rPr>
        <w:t>中华人民共和国主席（2013）令第五号</w:t>
      </w:r>
      <w:r>
        <w:rPr>
          <w:rFonts w:hint="eastAsia" w:ascii="仿宋_GB2312" w:hAnsi="仿宋_GB2312" w:eastAsia="仿宋_GB2312" w:cs="仿宋_GB2312"/>
          <w:color w:val="FF0000"/>
          <w:sz w:val="28"/>
          <w:szCs w:val="28"/>
        </w:rPr>
        <w:t>《中华人民共和国传染病防治法》</w:t>
      </w:r>
      <w:r>
        <w:rPr>
          <w:rFonts w:hint="eastAsia" w:ascii="仿宋_GB2312" w:hAnsi="仿宋_GB2312" w:eastAsia="仿宋_GB2312" w:cs="仿宋_GB2312"/>
          <w:color w:val="FF0000"/>
          <w:sz w:val="28"/>
          <w:szCs w:val="28"/>
          <w:lang w:eastAsia="zh-CN"/>
        </w:rPr>
        <w:t>、</w:t>
      </w:r>
      <w:r>
        <w:rPr>
          <w:rFonts w:hint="eastAsia" w:ascii="仿宋_GB2312" w:hAnsi="仿宋_GB2312" w:eastAsia="仿宋_GB2312" w:cs="仿宋_GB2312"/>
          <w:color w:val="FF0000"/>
          <w:sz w:val="28"/>
          <w:szCs w:val="28"/>
          <w:lang w:val="en-US" w:eastAsia="zh-CN"/>
        </w:rPr>
        <w:t>国家卫生部（2006）令第37号《</w:t>
      </w:r>
      <w:r>
        <w:rPr>
          <w:rFonts w:hint="eastAsia" w:ascii="仿宋_GB2312" w:hAnsi="仿宋_GB2312" w:eastAsia="仿宋_GB2312" w:cs="仿宋_GB2312"/>
          <w:color w:val="FF0000"/>
          <w:sz w:val="28"/>
          <w:szCs w:val="28"/>
        </w:rPr>
        <w:t>突发公共卫生事件与传染病疫情监测信息报告管理办法》、</w:t>
      </w:r>
      <w:r>
        <w:rPr>
          <w:rFonts w:hint="eastAsia" w:ascii="仿宋_GB2312" w:hAnsi="仿宋_GB2312" w:eastAsia="仿宋_GB2312" w:cs="仿宋_GB2312"/>
          <w:color w:val="FF0000"/>
          <w:sz w:val="28"/>
          <w:szCs w:val="28"/>
          <w:lang w:val="en-US" w:eastAsia="zh-CN"/>
        </w:rPr>
        <w:t>国家卫生计生委疾病预防控制局（2015）发53号</w:t>
      </w:r>
      <w:r>
        <w:rPr>
          <w:rFonts w:hint="eastAsia" w:ascii="仿宋_GB2312" w:hAnsi="仿宋_GB2312" w:eastAsia="仿宋_GB2312" w:cs="仿宋_GB2312"/>
          <w:color w:val="FF0000"/>
          <w:sz w:val="28"/>
          <w:szCs w:val="28"/>
        </w:rPr>
        <w:t>《传染病信息报告管理规范（2015年版）》、中华人民共和国国务院</w:t>
      </w:r>
      <w:r>
        <w:rPr>
          <w:rFonts w:hint="eastAsia" w:ascii="仿宋_GB2312" w:hAnsi="仿宋_GB2312" w:eastAsia="仿宋_GB2312" w:cs="仿宋_GB2312"/>
          <w:color w:val="FF0000"/>
          <w:sz w:val="28"/>
          <w:szCs w:val="28"/>
          <w:lang w:eastAsia="zh-CN"/>
        </w:rPr>
        <w:t>（</w:t>
      </w:r>
      <w:r>
        <w:rPr>
          <w:rFonts w:hint="eastAsia" w:ascii="仿宋_GB2312" w:hAnsi="仿宋_GB2312" w:eastAsia="仿宋_GB2312" w:cs="仿宋_GB2312"/>
          <w:color w:val="FF0000"/>
          <w:sz w:val="28"/>
          <w:szCs w:val="28"/>
          <w:lang w:val="en-US" w:eastAsia="zh-CN"/>
        </w:rPr>
        <w:t>2003</w:t>
      </w:r>
      <w:r>
        <w:rPr>
          <w:rFonts w:hint="eastAsia" w:ascii="仿宋_GB2312" w:hAnsi="仿宋_GB2312" w:eastAsia="仿宋_GB2312" w:cs="仿宋_GB2312"/>
          <w:color w:val="FF0000"/>
          <w:sz w:val="28"/>
          <w:szCs w:val="28"/>
          <w:lang w:eastAsia="zh-CN"/>
        </w:rPr>
        <w:t>）</w:t>
      </w:r>
      <w:r>
        <w:rPr>
          <w:rFonts w:hint="eastAsia" w:ascii="仿宋_GB2312" w:hAnsi="仿宋_GB2312" w:eastAsia="仿宋_GB2312" w:cs="仿宋_GB2312"/>
          <w:color w:val="FF0000"/>
          <w:sz w:val="28"/>
          <w:szCs w:val="28"/>
        </w:rPr>
        <w:t>令第</w:t>
      </w:r>
      <w:r>
        <w:rPr>
          <w:rFonts w:hint="eastAsia" w:ascii="仿宋_GB2312" w:hAnsi="仿宋_GB2312" w:eastAsia="仿宋_GB2312" w:cs="仿宋_GB2312"/>
          <w:color w:val="FF0000"/>
          <w:sz w:val="28"/>
          <w:szCs w:val="28"/>
          <w:lang w:val="en-US" w:eastAsia="zh-CN"/>
        </w:rPr>
        <w:t>376</w:t>
      </w:r>
      <w:r>
        <w:rPr>
          <w:rFonts w:hint="eastAsia" w:ascii="仿宋_GB2312" w:hAnsi="仿宋_GB2312" w:eastAsia="仿宋_GB2312" w:cs="仿宋_GB2312"/>
          <w:color w:val="FF0000"/>
          <w:sz w:val="28"/>
          <w:szCs w:val="28"/>
        </w:rPr>
        <w:t>号《突发公共卫生事件应急条例》</w:t>
      </w:r>
      <w:r>
        <w:rPr>
          <w:rFonts w:hint="eastAsia" w:ascii="仿宋_GB2312" w:hAnsi="仿宋_GB2312" w:eastAsia="仿宋_GB2312" w:cs="仿宋_GB2312"/>
          <w:color w:val="FF0000"/>
          <w:sz w:val="28"/>
          <w:szCs w:val="28"/>
          <w:lang w:eastAsia="zh-CN"/>
        </w:rPr>
        <w:t>、</w:t>
      </w:r>
      <w:r>
        <w:rPr>
          <w:rFonts w:hint="eastAsia" w:ascii="仿宋_GB2312" w:hAnsi="仿宋_GB2312" w:eastAsia="仿宋_GB2312" w:cs="仿宋_GB2312"/>
          <w:color w:val="FF0000"/>
          <w:sz w:val="28"/>
          <w:szCs w:val="28"/>
          <w:lang w:val="en-US" w:eastAsia="zh-CN"/>
        </w:rPr>
        <w:t>国家卫生计生委基层卫生健康司（2017）发第13号</w:t>
      </w:r>
      <w:r>
        <w:rPr>
          <w:rFonts w:hint="eastAsia" w:ascii="仿宋_GB2312" w:hAnsi="仿宋_GB2312" w:eastAsia="仿宋_GB2312" w:cs="仿宋_GB2312"/>
          <w:color w:val="FF0000"/>
          <w:sz w:val="28"/>
          <w:szCs w:val="28"/>
          <w:lang w:eastAsia="zh-CN"/>
        </w:rPr>
        <w:t>《</w:t>
      </w:r>
      <w:r>
        <w:rPr>
          <w:rFonts w:hint="eastAsia" w:ascii="仿宋_GB2312" w:hAnsi="仿宋_GB2312" w:eastAsia="仿宋_GB2312" w:cs="仿宋_GB2312"/>
          <w:color w:val="FF0000"/>
          <w:sz w:val="28"/>
          <w:szCs w:val="28"/>
        </w:rPr>
        <w:t>国家基本公共卫生服务规范（第三版）</w:t>
      </w:r>
      <w:r>
        <w:rPr>
          <w:rFonts w:hint="eastAsia" w:ascii="仿宋_GB2312" w:hAnsi="仿宋_GB2312" w:eastAsia="仿宋_GB2312" w:cs="仿宋_GB2312"/>
          <w:color w:val="FF0000"/>
          <w:sz w:val="28"/>
          <w:szCs w:val="28"/>
          <w:lang w:eastAsia="zh-CN"/>
        </w:rPr>
        <w:t>》</w:t>
      </w:r>
      <w:r>
        <w:rPr>
          <w:rFonts w:hint="eastAsia" w:ascii="仿宋_GB2312" w:hAnsi="仿宋_GB2312" w:eastAsia="仿宋_GB2312" w:cs="仿宋_GB2312"/>
          <w:color w:val="FF0000"/>
          <w:sz w:val="28"/>
          <w:szCs w:val="28"/>
        </w:rPr>
        <w:t>中关于</w:t>
      </w:r>
      <w:r>
        <w:rPr>
          <w:rFonts w:hint="eastAsia" w:ascii="仿宋_GB2312" w:hAnsi="仿宋_GB2312" w:eastAsia="仿宋_GB2312" w:cs="仿宋_GB2312"/>
          <w:color w:val="FF0000"/>
          <w:sz w:val="28"/>
          <w:szCs w:val="28"/>
          <w:lang w:val="en-US" w:eastAsia="zh-CN"/>
        </w:rPr>
        <w:t>传染病</w:t>
      </w:r>
      <w:r>
        <w:rPr>
          <w:rFonts w:hint="eastAsia" w:ascii="仿宋_GB2312" w:hAnsi="仿宋_GB2312" w:eastAsia="仿宋_GB2312" w:cs="仿宋_GB2312"/>
          <w:color w:val="FF0000"/>
          <w:sz w:val="28"/>
          <w:szCs w:val="28"/>
        </w:rPr>
        <w:t>病例管理的条款要求</w:t>
      </w:r>
      <w:r>
        <w:rPr>
          <w:rFonts w:hint="eastAsia" w:ascii="仿宋_GB2312" w:hAnsi="仿宋_GB2312" w:eastAsia="仿宋_GB2312" w:cs="仿宋_GB2312"/>
          <w:color w:val="FF0000"/>
          <w:sz w:val="28"/>
          <w:szCs w:val="28"/>
          <w:lang w:val="en-US" w:eastAsia="zh-CN"/>
        </w:rPr>
        <w:t>和规定</w:t>
      </w:r>
      <w:r>
        <w:rPr>
          <w:rFonts w:hint="eastAsia" w:ascii="仿宋_GB2312" w:hAnsi="仿宋_GB2312" w:eastAsia="仿宋_GB2312" w:cs="仿宋_GB2312"/>
          <w:color w:val="FF0000"/>
          <w:sz w:val="28"/>
          <w:szCs w:val="28"/>
        </w:rPr>
        <w:t>进行编写。同时，</w:t>
      </w:r>
      <w:r>
        <w:rPr>
          <w:rFonts w:hint="eastAsia" w:ascii="仿宋_GB2312" w:hAnsi="仿宋_GB2312" w:eastAsia="仿宋_GB2312" w:cs="仿宋_GB2312"/>
          <w:color w:val="FF0000"/>
          <w:sz w:val="28"/>
          <w:szCs w:val="28"/>
          <w:lang w:val="en-US" w:eastAsia="zh-CN"/>
        </w:rPr>
        <w:t>本标准中</w:t>
      </w:r>
      <w:r>
        <w:rPr>
          <w:rFonts w:hint="eastAsia" w:ascii="仿宋_GB2312" w:hAnsi="仿宋_GB2312" w:eastAsia="仿宋_GB2312" w:cs="仿宋_GB2312"/>
          <w:color w:val="FF0000"/>
          <w:sz w:val="28"/>
          <w:szCs w:val="28"/>
        </w:rPr>
        <w:t>消毒技术要点依据GB 19193-2015《疫源地消毒总则》中有关病家及场所消毒的技术要求编制。本标准的疾病定义</w:t>
      </w:r>
      <w:r>
        <w:rPr>
          <w:rFonts w:hint="eastAsia" w:ascii="仿宋_GB2312" w:hAnsi="仿宋_GB2312" w:eastAsia="仿宋_GB2312" w:cs="仿宋_GB2312"/>
          <w:color w:val="FF0000"/>
          <w:sz w:val="28"/>
          <w:szCs w:val="28"/>
          <w:lang w:eastAsia="zh-CN"/>
        </w:rPr>
        <w:t>符合</w:t>
      </w:r>
      <w:r>
        <w:rPr>
          <w:rFonts w:hint="eastAsia" w:ascii="仿宋_GB2312" w:hAnsi="仿宋_GB2312" w:eastAsia="仿宋_GB2312" w:cs="仿宋_GB2312"/>
          <w:color w:val="FF0000"/>
          <w:sz w:val="28"/>
          <w:szCs w:val="28"/>
        </w:rPr>
        <w:t>肠道传染病的诊断</w:t>
      </w:r>
      <w:r>
        <w:rPr>
          <w:rFonts w:hint="eastAsia" w:ascii="仿宋_GB2312" w:hAnsi="仿宋_GB2312" w:eastAsia="仿宋_GB2312" w:cs="仿宋_GB2312"/>
          <w:color w:val="FF0000"/>
          <w:sz w:val="28"/>
          <w:szCs w:val="28"/>
          <w:lang w:val="en-US" w:eastAsia="zh-CN"/>
        </w:rPr>
        <w:t>行业</w:t>
      </w:r>
      <w:r>
        <w:rPr>
          <w:rFonts w:hint="eastAsia" w:ascii="仿宋_GB2312" w:hAnsi="仿宋_GB2312" w:eastAsia="仿宋_GB2312" w:cs="仿宋_GB2312"/>
          <w:color w:val="FF0000"/>
          <w:sz w:val="28"/>
          <w:szCs w:val="28"/>
        </w:rPr>
        <w:t>标准，如</w:t>
      </w:r>
      <w:r>
        <w:rPr>
          <w:rFonts w:hint="eastAsia" w:ascii="仿宋_GB2312" w:hAnsi="仿宋_GB2312" w:eastAsia="仿宋_GB2312" w:cs="仿宋_GB2312"/>
          <w:color w:val="FF0000"/>
          <w:sz w:val="28"/>
          <w:szCs w:val="28"/>
          <w:lang w:eastAsia="zh-CN"/>
        </w:rPr>
        <w:t>：</w:t>
      </w:r>
      <w:r>
        <w:rPr>
          <w:rFonts w:hint="eastAsia" w:ascii="仿宋_GB2312" w:hAnsi="仿宋_GB2312" w:eastAsia="仿宋_GB2312" w:cs="仿宋_GB2312"/>
          <w:color w:val="FF0000"/>
          <w:sz w:val="28"/>
          <w:szCs w:val="28"/>
        </w:rPr>
        <w:t>WS 289-2008《霍乱诊断标准》、WS 298-2008《甲型病毒性肝炎诊断标准》、WS 287-2008《细菌性和阿米巴性痢疾诊断标准》、WS 271-2007《感染性腹泻诊断标准》、WS 280-2008《伤寒和副伤寒诊断标准》、WS 589-2018《手足口病诊断标准》</w:t>
      </w:r>
      <w:r>
        <w:rPr>
          <w:rFonts w:hint="eastAsia" w:ascii="仿宋_GB2312" w:hAnsi="仿宋_GB2312" w:eastAsia="仿宋_GB2312" w:cs="仿宋_GB2312"/>
          <w:color w:val="FF0000"/>
          <w:sz w:val="28"/>
          <w:szCs w:val="28"/>
          <w:lang w:eastAsia="zh-CN"/>
        </w:rPr>
        <w:t>。</w:t>
      </w:r>
    </w:p>
    <w:p>
      <w:pPr>
        <w:pStyle w:val="9"/>
        <w:spacing w:beforeAutospacing="0" w:afterAutospacing="0" w:line="620" w:lineRule="exact"/>
        <w:rPr>
          <w:rFonts w:ascii="仿宋" w:hAnsi="仿宋" w:eastAsia="仿宋"/>
          <w:sz w:val="28"/>
          <w:szCs w:val="28"/>
        </w:rPr>
      </w:pPr>
      <w:r>
        <w:rPr>
          <w:rFonts w:ascii="黑体" w:hAnsi="黑体" w:eastAsia="黑体" w:cs="黑体"/>
          <w:sz w:val="28"/>
          <w:szCs w:val="28"/>
        </w:rPr>
        <w:t>（</w:t>
      </w:r>
      <w:r>
        <w:rPr>
          <w:rFonts w:hint="eastAsia" w:ascii="黑体" w:hAnsi="黑体" w:eastAsia="黑体" w:cs="黑体"/>
          <w:sz w:val="28"/>
          <w:szCs w:val="28"/>
          <w:lang w:val="en-US" w:eastAsia="zh-CN"/>
        </w:rPr>
        <w:t>五</w:t>
      </w:r>
      <w:r>
        <w:rPr>
          <w:rFonts w:ascii="黑体" w:hAnsi="黑体" w:eastAsia="黑体" w:cs="黑体"/>
          <w:sz w:val="28"/>
          <w:szCs w:val="28"/>
        </w:rPr>
        <w:t>）主要条款的说明及确定依据</w:t>
      </w:r>
    </w:p>
    <w:p>
      <w:pPr>
        <w:spacing w:line="620" w:lineRule="exact"/>
        <w:ind w:firstLine="560" w:firstLineChars="200"/>
        <w:rPr>
          <w:rFonts w:hint="eastAsia" w:ascii="仿宋_GB2312" w:hAnsi="仿宋_GB2312" w:eastAsia="仿宋_GB2312" w:cs="仿宋_GB2312"/>
          <w:sz w:val="28"/>
          <w:szCs w:val="28"/>
          <w:highlight w:val="yellow"/>
        </w:rPr>
      </w:pPr>
      <w:r>
        <w:rPr>
          <w:rFonts w:hint="eastAsia" w:ascii="仿宋_GB2312" w:hAnsi="仿宋_GB2312" w:eastAsia="仿宋_GB2312" w:cs="仿宋_GB2312"/>
          <w:sz w:val="28"/>
          <w:szCs w:val="28"/>
        </w:rPr>
        <w:t>1.肠道传染病病例管理主要流程和内容，如“流行病学调查”“病例搜索”“密切接触者医学观察”“病例随访”、“疫源地消毒”“健康教育”，依据《国家基本公共卫生服务规范》（第三版）“传染病及突发公共卫生事件报告与处理服务规范”中“四、传染病和突发公共卫生事件的处理”的相关要求编写，适用于基层卫生技术人员日常对散发肠道传染病病例的管理。</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肠道传染病的流行病学调查内容参考《贵州省霍乱疫情现场处置规范》《贵州省伤寒副伤寒疫情现场处置规范》《贵州省菌痢疫情现场处置规范》《2018年贵州省中央转移支付手足口病防控项目工作方案》综合制定。</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3.附录D消毒技术要点依据GB 19193-2015《疫源地消毒总则》中有关病家及场所消毒的技术要求，摘录、汇总常见的消毒剂和消毒方法编制。</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4．健康宣教部分的内容参考“中国公民健康素养66条”中与预防肠道传染病相关的内容及伤寒、手足口病护理的特殊要点编制。</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附录B中肠道传染病潜伏期、隔离期、医学观察期等，依据《进一步加强学校和托幼机构传染病防控工作的通知》（黔卫计函〔2018〕137号）的相关要求，同时参考人民卫生出版社出版的《传染病学》（第八版）及相应病种的诊断标准，如WS 589-2018《手足口病诊断标准》、WS 289-2008《甲型病毒性肝炎诊断标准》制定。</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病例随访的相关要求根据各病种的临床特征和病程长短确定相应的随访内容和随访频次。标注说明伤寒、霍乱、手足口病随访时的特殊要求，符合法定传染病分类管理要求，突出重点，同时结合基层卫生技术人员对患者及家属的健康宣教。本标准既要求医务人员及时、规范管理，又强调患者或其家属的自我管理，自我监测。最大限度发挥基层医疗资源的作用，提高管理效率。</w:t>
      </w:r>
    </w:p>
    <w:p>
      <w:pPr>
        <w:spacing w:line="620" w:lineRule="exact"/>
        <w:rPr>
          <w:rFonts w:hint="eastAsia"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8"/>
          <w:szCs w:val="28"/>
          <w:lang w:val="en-US" w:eastAsia="zh-CN"/>
        </w:rPr>
        <w:t>六</w:t>
      </w:r>
      <w:r>
        <w:rPr>
          <w:rFonts w:hint="eastAsia" w:ascii="黑体" w:hAnsi="黑体" w:eastAsia="黑体" w:cs="黑体"/>
          <w:sz w:val="28"/>
          <w:szCs w:val="28"/>
        </w:rPr>
        <w:t>）主要试验（或验证）的测试报告、相关技术和经济影响论证</w:t>
      </w:r>
    </w:p>
    <w:p>
      <w:pPr>
        <w:pStyle w:val="9"/>
        <w:spacing w:beforeAutospacing="0" w:afterAutospacing="0"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测试拟定的《贵州省基层医疗机构肠道传染病病例管理规范》可行性和规范执行效果，标准起草人员与协作单位的工作人员进行为期1个月的标准测试。根据2019年以来报告病例情况及传染病防控工作基础情况，选取既往传染病防控工作基础较好，且辖区肠道传染病报告病例较多的修文县龙场镇和久长镇卫生院，西秀区宁谷镇和轿子山镇卫生院，六枝特区银壶社区卫生服务中心和新窑镇卫生院作为测试点。</w:t>
      </w:r>
    </w:p>
    <w:p>
      <w:pPr>
        <w:pStyle w:val="9"/>
        <w:spacing w:beforeAutospacing="0" w:afterAutospacing="0"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测试前评估：于2019年5月6日至5月10日对以上机构的肠道传染病病例管理模式、质量及存在的问题进行标准测试前评估。分析2019年以来试点辖区的传染病类型和数量，6个试点4月份共登记管理手足口病例192例，1月至4月共登记管理伤寒3例，甲肝2例，其他感染性腹泻9例，菌痢2例。评估发现普遍存在除手足口病外的其他肠道传染病管理率较低，对伤寒等病程较长的疾病随访次数不够的问题。卫生技术人员缺乏对密切接触者医学观察的意识，对病例管理内容重复登记、手足口病管理需填写多张表格等现象。个别基层医疗机构把病例信息在填写病例搜索表中，随访次数不够或两次随访时间间隔过长，病例登记有缺漏项等问题。按照《肠道传染病规范管理评估表》（附件1）考察以上基层医疗机构，平均得分为89.67分。</w:t>
      </w:r>
    </w:p>
    <w:p>
      <w:pPr>
        <w:pStyle w:val="9"/>
        <w:spacing w:beforeAutospacing="0" w:afterAutospacing="0"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随后对测试点负责病例管理的卫生技术人员进行标准相关内容培训，要求培训后测试点的卫生技术人员按照标准征求意见稿开展为期一个月的肠道传染病病例管理。测试期结束后，标准起草人员进行现场验收，评估标准的执行效果，收集基层医疗机构卫生技术人员使用后的意见和建议（参见附件2）。</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现场验收结果：截止现场验收时，测试点共按照标准征求意见稿要求规范管理了190例肠道传染病。病种涉及手足口病、其他感染性腹泻和细菌性痢疾（参见表1），甲肝、伤寒副伤寒由于测试阶段辖区内无病例报告，故无相关管理记录。标准起草人员对各测试点按《肠道传染病规范管理评估表》进行评估得分均有所提高（平均分92.83）。基层卫生技术人员对密切接触者管理意识提高，能发现、追踪调查肠道传染病患者的密切接触者发生类似症状者，有相应管理记录。问卷调查测试点地区的卫生技术人员，均认为使用此规范后，肠道传染病管理规范程度较之前有改善，管理方式更简单，病例管理更有条理。使用本标准可减少基层卫生人员的工作量，管理记录表同时收集肠道传染病人及其密切接触者的详细信息，而汇总表简要的汇总了病例管理的关键信息。</w:t>
      </w:r>
    </w:p>
    <w:p>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测试后收集了试点的基层卫生技术人员的建议，做出了以下修改：在随访记录表中增加消毒方法和健康教育的要点，方便现场随访使用。对密切接触者的定义更具体，易于理解和掌握，对病例随访频次和期限的要求更符合实际情况，更有可行性。</w:t>
      </w:r>
    </w:p>
    <w:p>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表1 病例管理完成情况</w:t>
      </w:r>
    </w:p>
    <w:tbl>
      <w:tblPr>
        <w:tblStyle w:val="11"/>
        <w:tblW w:w="8522" w:type="dxa"/>
        <w:tblInd w:w="0" w:type="dxa"/>
        <w:tblLayout w:type="fixed"/>
        <w:tblCellMar>
          <w:top w:w="0" w:type="dxa"/>
          <w:left w:w="108" w:type="dxa"/>
          <w:bottom w:w="0" w:type="dxa"/>
          <w:right w:w="108" w:type="dxa"/>
        </w:tblCellMar>
      </w:tblPr>
      <w:tblGrid>
        <w:gridCol w:w="1471"/>
        <w:gridCol w:w="1471"/>
        <w:gridCol w:w="1471"/>
        <w:gridCol w:w="1280"/>
        <w:gridCol w:w="1362"/>
        <w:gridCol w:w="1467"/>
      </w:tblGrid>
      <w:tr>
        <w:tblPrEx>
          <w:tblLayout w:type="fixed"/>
          <w:tblCellMar>
            <w:top w:w="0" w:type="dxa"/>
            <w:left w:w="108" w:type="dxa"/>
            <w:bottom w:w="0" w:type="dxa"/>
            <w:right w:w="108" w:type="dxa"/>
          </w:tblCellMar>
        </w:tblPrEx>
        <w:trPr>
          <w:trHeight w:val="570" w:hRule="atLeast"/>
        </w:trPr>
        <w:tc>
          <w:tcPr>
            <w:tcW w:w="1471" w:type="dxa"/>
            <w:tcBorders>
              <w:top w:val="single" w:color="auto" w:sz="4" w:space="0"/>
              <w:left w:val="nil"/>
              <w:bottom w:val="single" w:color="auto" w:sz="4" w:space="0"/>
              <w:right w:val="nil"/>
            </w:tcBorders>
            <w:shd w:val="clear" w:color="auto" w:fill="auto"/>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乡（镇、社区）</w:t>
            </w:r>
          </w:p>
        </w:tc>
        <w:tc>
          <w:tcPr>
            <w:tcW w:w="1471" w:type="dxa"/>
            <w:tcBorders>
              <w:top w:val="single" w:color="auto" w:sz="4" w:space="0"/>
              <w:left w:val="nil"/>
              <w:bottom w:val="single" w:color="auto" w:sz="4" w:space="0"/>
              <w:right w:val="nil"/>
            </w:tcBorders>
            <w:shd w:val="clear" w:color="auto" w:fill="auto"/>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手足口病</w:t>
            </w:r>
          </w:p>
        </w:tc>
        <w:tc>
          <w:tcPr>
            <w:tcW w:w="1471" w:type="dxa"/>
            <w:tcBorders>
              <w:top w:val="single" w:color="auto" w:sz="4" w:space="0"/>
              <w:left w:val="nil"/>
              <w:bottom w:val="single" w:color="auto" w:sz="4" w:space="0"/>
              <w:right w:val="nil"/>
            </w:tcBorders>
            <w:shd w:val="clear" w:color="auto" w:fill="auto"/>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其它感染性腹泻</w:t>
            </w:r>
          </w:p>
        </w:tc>
        <w:tc>
          <w:tcPr>
            <w:tcW w:w="1280" w:type="dxa"/>
            <w:tcBorders>
              <w:top w:val="single" w:color="auto" w:sz="4" w:space="0"/>
              <w:left w:val="nil"/>
              <w:bottom w:val="single" w:color="auto" w:sz="4" w:space="0"/>
              <w:right w:val="nil"/>
            </w:tcBorders>
            <w:shd w:val="clear" w:color="auto" w:fill="auto"/>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细菌性痢疾</w:t>
            </w:r>
          </w:p>
        </w:tc>
        <w:tc>
          <w:tcPr>
            <w:tcW w:w="1362" w:type="dxa"/>
            <w:tcBorders>
              <w:top w:val="single" w:color="auto" w:sz="4" w:space="0"/>
              <w:left w:val="nil"/>
              <w:bottom w:val="single" w:color="auto" w:sz="4" w:space="0"/>
              <w:right w:val="nil"/>
            </w:tcBorders>
            <w:shd w:val="clear" w:color="auto" w:fill="auto"/>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伤寒/副伤寒</w:t>
            </w:r>
          </w:p>
        </w:tc>
        <w:tc>
          <w:tcPr>
            <w:tcW w:w="1467" w:type="dxa"/>
            <w:tcBorders>
              <w:top w:val="single" w:color="auto" w:sz="4" w:space="0"/>
              <w:left w:val="nil"/>
              <w:bottom w:val="single" w:color="auto" w:sz="4" w:space="0"/>
              <w:right w:val="nil"/>
            </w:tcBorders>
            <w:shd w:val="clear" w:color="auto" w:fill="auto"/>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甲肝</w:t>
            </w:r>
          </w:p>
        </w:tc>
      </w:tr>
      <w:tr>
        <w:tblPrEx>
          <w:tblLayout w:type="fixed"/>
          <w:tblCellMar>
            <w:top w:w="0" w:type="dxa"/>
            <w:left w:w="108" w:type="dxa"/>
            <w:bottom w:w="0" w:type="dxa"/>
            <w:right w:w="108" w:type="dxa"/>
          </w:tblCellMar>
        </w:tblPrEx>
        <w:trPr>
          <w:trHeight w:val="285" w:hRule="atLeast"/>
        </w:trPr>
        <w:tc>
          <w:tcPr>
            <w:tcW w:w="1471" w:type="dxa"/>
            <w:tcBorders>
              <w:top w:val="nil"/>
              <w:left w:val="nil"/>
              <w:bottom w:val="nil"/>
              <w:right w:val="nil"/>
            </w:tcBorders>
            <w:shd w:val="clear" w:color="auto" w:fill="auto"/>
            <w:noWrap/>
            <w:vAlign w:val="bottom"/>
          </w:tcPr>
          <w:p>
            <w:pPr>
              <w:widowControl/>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龙场镇</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120/120</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280"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362"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467"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r>
      <w:tr>
        <w:tblPrEx>
          <w:tblLayout w:type="fixed"/>
          <w:tblCellMar>
            <w:top w:w="0" w:type="dxa"/>
            <w:left w:w="108" w:type="dxa"/>
            <w:bottom w:w="0" w:type="dxa"/>
            <w:right w:w="108" w:type="dxa"/>
          </w:tblCellMar>
        </w:tblPrEx>
        <w:trPr>
          <w:trHeight w:val="285" w:hRule="atLeast"/>
        </w:trPr>
        <w:tc>
          <w:tcPr>
            <w:tcW w:w="1471" w:type="dxa"/>
            <w:tcBorders>
              <w:top w:val="nil"/>
              <w:left w:val="nil"/>
              <w:bottom w:val="nil"/>
              <w:right w:val="nil"/>
            </w:tcBorders>
            <w:shd w:val="clear" w:color="auto" w:fill="auto"/>
            <w:noWrap/>
            <w:vAlign w:val="bottom"/>
          </w:tcPr>
          <w:p>
            <w:pPr>
              <w:widowControl/>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久长镇</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33/33</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280"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362"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467"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r>
      <w:tr>
        <w:tblPrEx>
          <w:tblLayout w:type="fixed"/>
          <w:tblCellMar>
            <w:top w:w="0" w:type="dxa"/>
            <w:left w:w="108" w:type="dxa"/>
            <w:bottom w:w="0" w:type="dxa"/>
            <w:right w:w="108" w:type="dxa"/>
          </w:tblCellMar>
        </w:tblPrEx>
        <w:trPr>
          <w:trHeight w:val="493" w:hRule="atLeast"/>
        </w:trPr>
        <w:tc>
          <w:tcPr>
            <w:tcW w:w="1471" w:type="dxa"/>
            <w:tcBorders>
              <w:top w:val="nil"/>
              <w:left w:val="nil"/>
              <w:bottom w:val="nil"/>
              <w:right w:val="nil"/>
            </w:tcBorders>
            <w:shd w:val="clear" w:color="auto" w:fill="auto"/>
            <w:noWrap/>
            <w:vAlign w:val="bottom"/>
          </w:tcPr>
          <w:p>
            <w:pPr>
              <w:widowControl/>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宁谷镇</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7/7</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4/4</w:t>
            </w:r>
          </w:p>
        </w:tc>
        <w:tc>
          <w:tcPr>
            <w:tcW w:w="1280"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362"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467"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r>
      <w:tr>
        <w:tblPrEx>
          <w:tblLayout w:type="fixed"/>
          <w:tblCellMar>
            <w:top w:w="0" w:type="dxa"/>
            <w:left w:w="108" w:type="dxa"/>
            <w:bottom w:w="0" w:type="dxa"/>
            <w:right w:w="108" w:type="dxa"/>
          </w:tblCellMar>
        </w:tblPrEx>
        <w:trPr>
          <w:trHeight w:val="285" w:hRule="atLeast"/>
        </w:trPr>
        <w:tc>
          <w:tcPr>
            <w:tcW w:w="1471" w:type="dxa"/>
            <w:tcBorders>
              <w:top w:val="nil"/>
              <w:left w:val="nil"/>
              <w:bottom w:val="nil"/>
              <w:right w:val="nil"/>
            </w:tcBorders>
            <w:shd w:val="clear" w:color="auto" w:fill="auto"/>
            <w:noWrap/>
            <w:vAlign w:val="bottom"/>
          </w:tcPr>
          <w:p>
            <w:pPr>
              <w:widowControl/>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轿子山镇</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5/5</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280"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362"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467"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r>
      <w:tr>
        <w:tblPrEx>
          <w:tblLayout w:type="fixed"/>
          <w:tblCellMar>
            <w:top w:w="0" w:type="dxa"/>
            <w:left w:w="108" w:type="dxa"/>
            <w:bottom w:w="0" w:type="dxa"/>
            <w:right w:w="108" w:type="dxa"/>
          </w:tblCellMar>
        </w:tblPrEx>
        <w:trPr>
          <w:trHeight w:val="285" w:hRule="atLeast"/>
        </w:trPr>
        <w:tc>
          <w:tcPr>
            <w:tcW w:w="1471" w:type="dxa"/>
            <w:tcBorders>
              <w:top w:val="nil"/>
              <w:left w:val="nil"/>
              <w:bottom w:val="nil"/>
              <w:right w:val="nil"/>
            </w:tcBorders>
            <w:shd w:val="clear" w:color="auto" w:fill="auto"/>
            <w:noWrap/>
            <w:vAlign w:val="bottom"/>
          </w:tcPr>
          <w:p>
            <w:pPr>
              <w:widowControl/>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银壶社区</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22/30</w:t>
            </w:r>
            <w:r>
              <w:rPr>
                <w:rFonts w:hint="eastAsia" w:ascii="仿宋_GB2312" w:hAnsi="仿宋_GB2312" w:eastAsia="仿宋_GB2312" w:cs="仿宋_GB2312"/>
                <w:sz w:val="28"/>
                <w:szCs w:val="28"/>
                <w:vertAlign w:val="superscript"/>
              </w:rPr>
              <w:t>*</w:t>
            </w:r>
          </w:p>
        </w:tc>
        <w:tc>
          <w:tcPr>
            <w:tcW w:w="1471"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280"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362"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467" w:type="dxa"/>
            <w:tcBorders>
              <w:top w:val="nil"/>
              <w:left w:val="nil"/>
              <w:bottom w:val="nil"/>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r>
      <w:tr>
        <w:tblPrEx>
          <w:tblLayout w:type="fixed"/>
          <w:tblCellMar>
            <w:top w:w="0" w:type="dxa"/>
            <w:left w:w="108" w:type="dxa"/>
            <w:bottom w:w="0" w:type="dxa"/>
            <w:right w:w="108" w:type="dxa"/>
          </w:tblCellMar>
        </w:tblPrEx>
        <w:trPr>
          <w:trHeight w:val="285" w:hRule="atLeast"/>
        </w:trPr>
        <w:tc>
          <w:tcPr>
            <w:tcW w:w="1471" w:type="dxa"/>
            <w:tcBorders>
              <w:top w:val="nil"/>
              <w:left w:val="nil"/>
              <w:bottom w:val="single" w:color="auto" w:sz="4" w:space="0"/>
              <w:right w:val="nil"/>
            </w:tcBorders>
            <w:shd w:val="clear" w:color="auto" w:fill="auto"/>
            <w:noWrap/>
            <w:vAlign w:val="bottom"/>
          </w:tcPr>
          <w:p>
            <w:pPr>
              <w:widowControl/>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新窑镇</w:t>
            </w:r>
          </w:p>
        </w:tc>
        <w:tc>
          <w:tcPr>
            <w:tcW w:w="1471" w:type="dxa"/>
            <w:tcBorders>
              <w:top w:val="nil"/>
              <w:left w:val="nil"/>
              <w:bottom w:val="single" w:color="auto" w:sz="4" w:space="0"/>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3/3</w:t>
            </w:r>
          </w:p>
        </w:tc>
        <w:tc>
          <w:tcPr>
            <w:tcW w:w="1471" w:type="dxa"/>
            <w:tcBorders>
              <w:top w:val="nil"/>
              <w:left w:val="nil"/>
              <w:bottom w:val="single" w:color="auto" w:sz="4" w:space="0"/>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1280" w:type="dxa"/>
            <w:tcBorders>
              <w:top w:val="nil"/>
              <w:left w:val="nil"/>
              <w:bottom w:val="single" w:color="auto" w:sz="4" w:space="0"/>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1362" w:type="dxa"/>
            <w:tcBorders>
              <w:top w:val="nil"/>
              <w:left w:val="nil"/>
              <w:bottom w:val="single" w:color="auto" w:sz="4" w:space="0"/>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c>
          <w:tcPr>
            <w:tcW w:w="1467" w:type="dxa"/>
            <w:tcBorders>
              <w:top w:val="nil"/>
              <w:left w:val="nil"/>
              <w:bottom w:val="single" w:color="auto" w:sz="4" w:space="0"/>
              <w:right w:val="nil"/>
            </w:tcBorders>
            <w:shd w:val="clear" w:color="auto" w:fill="auto"/>
            <w:noWrap/>
            <w:vAlign w:val="center"/>
          </w:tcPr>
          <w:p>
            <w:pPr>
              <w:widowControl/>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r>
    </w:tbl>
    <w:p>
      <w:pPr>
        <w:ind w:firstLine="360" w:firstLine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*该社区的8例手足口病例失访，原因是未能联系上或病例不在本地。</w:t>
      </w:r>
    </w:p>
    <w:p>
      <w:pPr>
        <w:spacing w:line="620" w:lineRule="exact"/>
        <w:rPr>
          <w:rFonts w:hint="eastAsia"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8"/>
          <w:szCs w:val="28"/>
          <w:lang w:val="en-US" w:eastAsia="zh-CN"/>
        </w:rPr>
        <w:t>七</w:t>
      </w:r>
      <w:r>
        <w:rPr>
          <w:rFonts w:hint="eastAsia" w:ascii="黑体" w:hAnsi="黑体" w:eastAsia="黑体" w:cs="黑体"/>
          <w:sz w:val="28"/>
          <w:szCs w:val="28"/>
        </w:rPr>
        <w:t>）专利及涉及知识产权情况</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本标准不涉及专利和知识产权。</w:t>
      </w:r>
    </w:p>
    <w:p>
      <w:pPr>
        <w:spacing w:line="620" w:lineRule="exact"/>
        <w:rPr>
          <w:rFonts w:hint="eastAsia"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8"/>
          <w:szCs w:val="28"/>
          <w:lang w:val="en-US" w:eastAsia="zh-CN"/>
        </w:rPr>
        <w:t>八</w:t>
      </w:r>
      <w:r>
        <w:rPr>
          <w:rFonts w:hint="eastAsia" w:ascii="黑体" w:hAnsi="黑体" w:eastAsia="黑体" w:cs="黑体"/>
          <w:sz w:val="28"/>
          <w:szCs w:val="28"/>
        </w:rPr>
        <w:t>）重大意见分歧的处理依据和结果</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起草组成员和征求意见反馈中无重大意见分歧。</w:t>
      </w:r>
    </w:p>
    <w:p>
      <w:pPr>
        <w:spacing w:line="620" w:lineRule="exact"/>
        <w:rPr>
          <w:rFonts w:hint="eastAsia"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8"/>
          <w:szCs w:val="28"/>
          <w:lang w:val="en-US" w:eastAsia="zh-CN"/>
        </w:rPr>
        <w:t>九</w:t>
      </w:r>
      <w:r>
        <w:rPr>
          <w:rFonts w:hint="eastAsia" w:ascii="黑体" w:hAnsi="黑体" w:eastAsia="黑体" w:cs="黑体"/>
          <w:sz w:val="28"/>
          <w:szCs w:val="28"/>
        </w:rPr>
        <w:t>）预期的社会经济效益及贯彻实施标准的要求、措施等建议</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标准如获批发布实施，将可以规范贵州省基层医疗机构的肠道传染病病例管理工作，使基层卫生技术人员进行肠道传染病病例管理工作时有统一、科学且便于实际操作的标准作为参考；减少各病种管理时重复填写表格，减轻因此造成的基层卫生人员人力、时间的浪费，提高工作效率。让每个肠道传染病人都获得规范的服务，让病家消毒和肠道传染病防控知识的健康教育有据可依，真正将防控措施落地；通过基层卫生服务人员面对面宣教的方式，可以增强人群的防病意识，提高健康素养。同时，按照本规范对法定肠道传染病病例进行病例管理工作，可在基层卫生技术人员中树立疾病监测的理念，强化对传染病密切接触者医学观察，逐步形成疾病风险管理的意识，真正使疾病预防工作的关口前移，做到早发现。</w:t>
      </w:r>
    </w:p>
    <w:p>
      <w:pPr>
        <w:spacing w:line="6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FF0000"/>
          <w:sz w:val="28"/>
          <w:szCs w:val="28"/>
        </w:rPr>
        <w:t>国内尚无关于肠道传染病的病例管理</w:t>
      </w:r>
      <w:r>
        <w:rPr>
          <w:rFonts w:hint="eastAsia" w:ascii="仿宋_GB2312" w:hAnsi="仿宋_GB2312" w:eastAsia="仿宋_GB2312" w:cs="仿宋_GB2312"/>
          <w:color w:val="FF0000"/>
          <w:sz w:val="28"/>
          <w:szCs w:val="28"/>
          <w:lang w:val="en-US" w:eastAsia="zh-CN"/>
        </w:rPr>
        <w:t>的相关</w:t>
      </w:r>
      <w:r>
        <w:rPr>
          <w:rFonts w:hint="eastAsia" w:ascii="仿宋_GB2312" w:hAnsi="仿宋_GB2312" w:eastAsia="仿宋_GB2312" w:cs="仿宋_GB2312"/>
          <w:color w:val="FF0000"/>
          <w:sz w:val="28"/>
          <w:szCs w:val="28"/>
        </w:rPr>
        <w:t>规定和</w:t>
      </w:r>
      <w:r>
        <w:rPr>
          <w:rFonts w:hint="eastAsia" w:ascii="仿宋_GB2312" w:hAnsi="仿宋_GB2312" w:eastAsia="仿宋_GB2312" w:cs="仿宋_GB2312"/>
          <w:color w:val="FF0000"/>
          <w:sz w:val="28"/>
          <w:szCs w:val="28"/>
          <w:lang w:val="en-US" w:eastAsia="zh-CN"/>
        </w:rPr>
        <w:t>标准</w:t>
      </w:r>
      <w:r>
        <w:rPr>
          <w:rFonts w:hint="eastAsia" w:ascii="仿宋_GB2312" w:hAnsi="仿宋_GB2312" w:eastAsia="仿宋_GB2312" w:cs="仿宋_GB2312"/>
          <w:color w:val="FF0000"/>
          <w:sz w:val="28"/>
          <w:szCs w:val="28"/>
          <w:lang w:eastAsia="zh-CN"/>
        </w:rPr>
        <w:t>，</w:t>
      </w:r>
      <w:r>
        <w:rPr>
          <w:rFonts w:hint="eastAsia" w:ascii="仿宋_GB2312" w:hAnsi="仿宋_GB2312" w:eastAsia="仿宋_GB2312" w:cs="仿宋_GB2312"/>
          <w:color w:val="FF0000"/>
          <w:sz w:val="28"/>
          <w:szCs w:val="28"/>
          <w:lang w:val="en-US" w:eastAsia="zh-CN"/>
        </w:rPr>
        <w:t>对现行标准没有废止建议。</w:t>
      </w:r>
      <w:r>
        <w:rPr>
          <w:rFonts w:hint="eastAsia" w:ascii="仿宋_GB2312" w:hAnsi="仿宋_GB2312" w:eastAsia="仿宋_GB2312" w:cs="仿宋_GB2312"/>
          <w:color w:val="FF0000"/>
          <w:sz w:val="28"/>
          <w:szCs w:val="28"/>
        </w:rPr>
        <w:t>本标准属于规范类标准，建议作为推荐性地方标准发布实施。</w:t>
      </w:r>
      <w:r>
        <w:rPr>
          <w:rFonts w:hint="eastAsia" w:ascii="仿宋_GB2312" w:hAnsi="仿宋_GB2312" w:eastAsia="仿宋_GB2312" w:cs="仿宋_GB2312"/>
          <w:color w:val="FF0000"/>
          <w:sz w:val="28"/>
          <w:szCs w:val="28"/>
          <w:lang w:val="en-US" w:eastAsia="zh-CN"/>
        </w:rPr>
        <w:t>推荐</w:t>
      </w:r>
      <w:r>
        <w:rPr>
          <w:rFonts w:hint="eastAsia" w:ascii="仿宋_GB2312" w:hAnsi="仿宋_GB2312" w:eastAsia="仿宋_GB2312" w:cs="仿宋_GB2312"/>
          <w:color w:val="FF0000"/>
          <w:sz w:val="28"/>
          <w:szCs w:val="28"/>
        </w:rPr>
        <w:t>应用于</w:t>
      </w:r>
      <w:r>
        <w:rPr>
          <w:rFonts w:hint="eastAsia" w:ascii="仿宋_GB2312" w:hAnsi="仿宋_GB2312" w:eastAsia="仿宋_GB2312" w:cs="仿宋_GB2312"/>
          <w:color w:val="FF0000"/>
          <w:sz w:val="28"/>
          <w:szCs w:val="28"/>
          <w:lang w:val="en-US" w:eastAsia="zh-CN"/>
        </w:rPr>
        <w:t>指导</w:t>
      </w:r>
      <w:r>
        <w:rPr>
          <w:rFonts w:hint="eastAsia" w:ascii="仿宋_GB2312" w:hAnsi="仿宋_GB2312" w:eastAsia="仿宋_GB2312" w:cs="仿宋_GB2312"/>
          <w:color w:val="FF0000"/>
          <w:sz w:val="28"/>
          <w:szCs w:val="28"/>
        </w:rPr>
        <w:t>村卫生室/社区卫生服务站，乡镇卫生院/社区卫生服务中心</w:t>
      </w:r>
      <w:r>
        <w:rPr>
          <w:rFonts w:hint="eastAsia" w:ascii="仿宋_GB2312" w:hAnsi="仿宋_GB2312" w:eastAsia="仿宋_GB2312" w:cs="仿宋_GB2312"/>
          <w:color w:val="FF0000"/>
          <w:sz w:val="28"/>
          <w:szCs w:val="28"/>
          <w:lang w:val="en-US" w:eastAsia="zh-CN"/>
        </w:rPr>
        <w:t>卫生技术人员进行肠道传染病例的规范管理。建议全省开展基本公共卫生服务的基层医疗机构按照本标准对法定肠道传染病进行管理。拟将肠道传染病规范管理作为基本公共卫生服务质量考核的内容之一</w:t>
      </w:r>
      <w:r>
        <w:rPr>
          <w:rFonts w:hint="eastAsia" w:ascii="仿宋_GB2312" w:hAnsi="仿宋_GB2312" w:eastAsia="仿宋_GB2312" w:cs="仿宋_GB2312"/>
          <w:color w:val="FF0000"/>
          <w:sz w:val="28"/>
          <w:szCs w:val="28"/>
        </w:rPr>
        <w:t>。</w:t>
      </w:r>
      <w:bookmarkStart w:id="0" w:name="_GoBack"/>
      <w:bookmarkEnd w:id="0"/>
    </w:p>
    <w:p>
      <w:pPr>
        <w:pStyle w:val="10"/>
        <w:spacing w:before="1040" w:after="840"/>
        <w:rPr>
          <w:rFonts w:hint="eastAsia" w:ascii="黑体" w:hAnsi="黑体" w:eastAsia="黑体" w:cs="黑体"/>
          <w:b w:val="0"/>
          <w:color w:val="FF0000"/>
          <w:sz w:val="28"/>
          <w:szCs w:val="28"/>
        </w:rPr>
      </w:pPr>
      <w:r>
        <w:rPr>
          <w:rFonts w:hint="eastAsia" w:ascii="黑体" w:hAnsi="黑体" w:eastAsia="黑体" w:cs="黑体"/>
          <w:b w:val="0"/>
          <w:color w:val="FF0000"/>
          <w:sz w:val="28"/>
          <w:szCs w:val="28"/>
        </w:rPr>
        <w:t>参　考　文　献</w:t>
      </w:r>
    </w:p>
    <w:p>
      <w:pPr>
        <w:pStyle w:val="23"/>
        <w:widowControl/>
        <w:spacing w:line="360" w:lineRule="auto"/>
        <w:ind w:left="120" w:leftChars="0" w:hanging="120" w:hangingChars="43"/>
        <w:jc w:val="left"/>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[1]贵州省霍乱疫情现场处置技术规范</w:t>
      </w:r>
    </w:p>
    <w:p>
      <w:pPr>
        <w:pStyle w:val="23"/>
        <w:widowControl/>
        <w:spacing w:line="360" w:lineRule="auto"/>
        <w:ind w:left="120" w:leftChars="0" w:hanging="120" w:hangingChars="43"/>
        <w:jc w:val="left"/>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[2]贵州省伤寒副伤寒疫情现场处置技术规范</w:t>
      </w:r>
    </w:p>
    <w:p>
      <w:pPr>
        <w:pStyle w:val="23"/>
        <w:widowControl/>
        <w:spacing w:line="360" w:lineRule="auto"/>
        <w:ind w:left="120" w:leftChars="0" w:hanging="120" w:hangingChars="43"/>
        <w:jc w:val="left"/>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[3]贵州省菌痢疫情现场处置技术规范</w:t>
      </w:r>
    </w:p>
    <w:p>
      <w:pPr>
        <w:pStyle w:val="23"/>
        <w:widowControl/>
        <w:spacing w:line="360" w:lineRule="auto"/>
        <w:ind w:left="120" w:leftChars="0" w:hanging="120" w:hangingChars="43"/>
        <w:jc w:val="left"/>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[4]贵州省手足口病现场处置技术规范</w:t>
      </w:r>
    </w:p>
    <w:p>
      <w:pPr>
        <w:pStyle w:val="23"/>
        <w:widowControl/>
        <w:spacing w:line="360" w:lineRule="auto"/>
        <w:ind w:left="120" w:leftChars="0" w:hanging="120" w:hangingChars="43"/>
        <w:jc w:val="left"/>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sz w:val="28"/>
          <w:szCs w:val="28"/>
        </w:rPr>
        <w:t>[5]传染病学.人民卫生出版社（第八版）李兰娟 任红主编</w:t>
      </w:r>
    </w:p>
    <w:p>
      <w:pPr>
        <w:rPr>
          <w:rFonts w:ascii="仿宋" w:hAnsi="仿宋" w:eastAsia="仿宋"/>
          <w:sz w:val="28"/>
          <w:szCs w:val="28"/>
        </w:rPr>
      </w:pPr>
      <w:r>
        <w:rPr>
          <w:rFonts w:ascii="仿宋" w:hAnsi="仿宋" w:eastAsia="仿宋"/>
          <w:sz w:val="28"/>
          <w:szCs w:val="28"/>
        </w:rPr>
        <w:br w:type="page"/>
      </w:r>
    </w:p>
    <w:p>
      <w:pPr>
        <w:pStyle w:val="10"/>
        <w:spacing w:before="1040" w:after="0"/>
        <w:jc w:val="both"/>
        <w:rPr>
          <w:rFonts w:ascii="仿宋" w:hAnsi="仿宋" w:eastAsia="仿宋" w:cs="Times New Roman"/>
          <w:bCs w:val="0"/>
        </w:rPr>
      </w:pPr>
      <w:r>
        <w:rPr>
          <w:rFonts w:hint="eastAsia" w:ascii="仿宋" w:hAnsi="仿宋" w:eastAsia="仿宋" w:cs="Times New Roman"/>
          <w:bCs w:val="0"/>
        </w:rPr>
        <w:t>附件1</w:t>
      </w:r>
    </w:p>
    <w:p>
      <w:pPr>
        <w:pStyle w:val="10"/>
        <w:spacing w:before="0" w:after="350"/>
        <w:rPr>
          <w:rFonts w:ascii="仿宋" w:hAnsi="仿宋" w:eastAsia="仿宋" w:cs="Times New Roman"/>
          <w:b w:val="0"/>
          <w:bCs w:val="0"/>
        </w:rPr>
      </w:pPr>
      <w:r>
        <w:rPr>
          <w:rFonts w:hint="eastAsia" w:ascii="仿宋" w:hAnsi="仿宋" w:eastAsia="仿宋" w:cs="Times New Roman"/>
          <w:b w:val="0"/>
          <w:bCs w:val="0"/>
        </w:rPr>
        <w:t>肠道传染病病例管理规范评估表</w:t>
      </w:r>
    </w:p>
    <w:tbl>
      <w:tblPr>
        <w:tblStyle w:val="11"/>
        <w:tblW w:w="8779" w:type="dxa"/>
        <w:tblInd w:w="0" w:type="dxa"/>
        <w:tblLayout w:type="fixed"/>
        <w:tblCellMar>
          <w:top w:w="0" w:type="dxa"/>
          <w:left w:w="108" w:type="dxa"/>
          <w:bottom w:w="0" w:type="dxa"/>
          <w:right w:w="108" w:type="dxa"/>
        </w:tblCellMar>
      </w:tblPr>
      <w:tblGrid>
        <w:gridCol w:w="4905"/>
        <w:gridCol w:w="688"/>
        <w:gridCol w:w="2153"/>
        <w:gridCol w:w="1033"/>
      </w:tblGrid>
      <w:tr>
        <w:tblPrEx>
          <w:tblLayout w:type="fixed"/>
          <w:tblCellMar>
            <w:top w:w="0" w:type="dxa"/>
            <w:left w:w="108" w:type="dxa"/>
            <w:bottom w:w="0" w:type="dxa"/>
            <w:right w:w="108" w:type="dxa"/>
          </w:tblCellMar>
        </w:tblPrEx>
        <w:trPr>
          <w:trHeight w:val="580" w:hRule="atLeast"/>
        </w:trPr>
        <w:tc>
          <w:tcPr>
            <w:tcW w:w="49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ascii="仿宋" w:hAnsi="仿宋" w:eastAsia="仿宋"/>
                <w:sz w:val="28"/>
                <w:szCs w:val="28"/>
              </w:rPr>
              <w:br w:type="page"/>
            </w:r>
            <w:r>
              <w:rPr>
                <w:rFonts w:hint="eastAsia" w:ascii="仿宋" w:hAnsi="仿宋" w:eastAsia="仿宋"/>
                <w:sz w:val="28"/>
                <w:szCs w:val="28"/>
              </w:rPr>
              <w:t>项  目</w:t>
            </w:r>
          </w:p>
        </w:tc>
        <w:tc>
          <w:tcPr>
            <w:tcW w:w="6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满分</w:t>
            </w:r>
          </w:p>
        </w:tc>
        <w:tc>
          <w:tcPr>
            <w:tcW w:w="2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备注/说明</w:t>
            </w:r>
          </w:p>
        </w:tc>
        <w:tc>
          <w:tcPr>
            <w:tcW w:w="1033" w:type="dxa"/>
            <w:tcBorders>
              <w:top w:val="single" w:color="auto" w:sz="4" w:space="0"/>
              <w:left w:val="single" w:color="auto" w:sz="4" w:space="0"/>
              <w:right w:val="single" w:color="auto" w:sz="4" w:space="0"/>
            </w:tcBorders>
            <w:vAlign w:val="center"/>
          </w:tcPr>
          <w:p>
            <w:pPr>
              <w:widowControl/>
              <w:snapToGrid w:val="0"/>
              <w:jc w:val="center"/>
              <w:rPr>
                <w:rFonts w:ascii="仿宋" w:hAnsi="仿宋" w:eastAsia="仿宋"/>
                <w:sz w:val="28"/>
                <w:szCs w:val="28"/>
              </w:rPr>
            </w:pPr>
            <w:r>
              <w:rPr>
                <w:rFonts w:hint="eastAsia" w:ascii="仿宋" w:hAnsi="仿宋" w:eastAsia="仿宋"/>
                <w:sz w:val="28"/>
                <w:szCs w:val="28"/>
              </w:rPr>
              <w:t>得分</w:t>
            </w:r>
          </w:p>
        </w:tc>
      </w:tr>
      <w:tr>
        <w:tblPrEx>
          <w:tblLayout w:type="fixed"/>
          <w:tblCellMar>
            <w:top w:w="0" w:type="dxa"/>
            <w:left w:w="108" w:type="dxa"/>
            <w:bottom w:w="0" w:type="dxa"/>
            <w:right w:w="108" w:type="dxa"/>
          </w:tblCellMar>
        </w:tblPrEx>
        <w:trPr>
          <w:trHeight w:val="946" w:hRule="atLeast"/>
        </w:trPr>
        <w:tc>
          <w:tcPr>
            <w:tcW w:w="4905"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仿宋" w:hAnsi="仿宋" w:eastAsia="仿宋"/>
                <w:sz w:val="28"/>
                <w:szCs w:val="28"/>
              </w:rPr>
            </w:pPr>
            <w:r>
              <w:rPr>
                <w:rFonts w:hint="eastAsia" w:ascii="仿宋" w:hAnsi="仿宋" w:eastAsia="仿宋"/>
                <w:sz w:val="28"/>
                <w:szCs w:val="28"/>
              </w:rPr>
              <w:t>1.核实登记准确及时</w:t>
            </w:r>
          </w:p>
        </w:tc>
        <w:tc>
          <w:tcPr>
            <w:tcW w:w="688"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仿宋" w:hAnsi="仿宋" w:eastAsia="仿宋"/>
                <w:sz w:val="28"/>
                <w:szCs w:val="28"/>
              </w:rPr>
            </w:pPr>
            <w:r>
              <w:rPr>
                <w:rFonts w:hint="eastAsia" w:ascii="仿宋" w:hAnsi="仿宋" w:eastAsia="仿宋"/>
                <w:sz w:val="28"/>
                <w:szCs w:val="28"/>
              </w:rPr>
              <w:t>10</w:t>
            </w:r>
          </w:p>
        </w:tc>
        <w:tc>
          <w:tcPr>
            <w:tcW w:w="2153" w:type="dxa"/>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仿宋" w:hAnsi="仿宋" w:eastAsia="仿宋"/>
                <w:sz w:val="28"/>
                <w:szCs w:val="28"/>
              </w:rPr>
            </w:pPr>
            <w:r>
              <w:rPr>
                <w:rFonts w:hint="eastAsia" w:ascii="仿宋" w:hAnsi="仿宋" w:eastAsia="仿宋"/>
                <w:sz w:val="28"/>
                <w:szCs w:val="28"/>
              </w:rPr>
              <w:t>对当天疫情信息进行登记核实</w:t>
            </w:r>
          </w:p>
        </w:tc>
        <w:tc>
          <w:tcPr>
            <w:tcW w:w="1033" w:type="dxa"/>
            <w:tcBorders>
              <w:top w:val="single" w:color="auto" w:sz="4" w:space="0"/>
              <w:left w:val="single" w:color="auto" w:sz="4" w:space="0"/>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215"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r>
              <w:rPr>
                <w:rFonts w:hint="eastAsia" w:ascii="仿宋" w:hAnsi="仿宋" w:eastAsia="仿宋"/>
                <w:sz w:val="28"/>
                <w:szCs w:val="28"/>
              </w:rPr>
              <w:t>2.病例管理措施落实到位</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65</w:t>
            </w:r>
          </w:p>
        </w:tc>
        <w:tc>
          <w:tcPr>
            <w:tcW w:w="2153"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p>
        </w:tc>
        <w:tc>
          <w:tcPr>
            <w:tcW w:w="1033" w:type="dxa"/>
            <w:tcBorders>
              <w:top w:val="single" w:color="auto" w:sz="4" w:space="0"/>
              <w:left w:val="nil"/>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589"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1"/>
              </w:numPr>
              <w:snapToGrid w:val="0"/>
              <w:ind w:left="-92" w:leftChars="-44" w:firstLine="394" w:firstLineChars="141"/>
              <w:jc w:val="left"/>
              <w:rPr>
                <w:rFonts w:ascii="仿宋" w:hAnsi="仿宋" w:eastAsia="仿宋"/>
                <w:sz w:val="28"/>
                <w:szCs w:val="28"/>
              </w:rPr>
            </w:pPr>
            <w:r>
              <w:rPr>
                <w:rFonts w:hint="eastAsia" w:ascii="仿宋" w:hAnsi="仿宋" w:eastAsia="仿宋"/>
                <w:sz w:val="28"/>
                <w:szCs w:val="28"/>
              </w:rPr>
              <w:t>流行病学个案调查完整（除手足口病、其他感染性腹泻病例）</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10</w:t>
            </w:r>
          </w:p>
        </w:tc>
        <w:tc>
          <w:tcPr>
            <w:tcW w:w="2153"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r>
              <w:rPr>
                <w:rFonts w:hint="eastAsia" w:ascii="仿宋" w:hAnsi="仿宋" w:eastAsia="仿宋"/>
                <w:sz w:val="28"/>
                <w:szCs w:val="28"/>
              </w:rPr>
              <w:t>查看个案调查表</w:t>
            </w:r>
          </w:p>
        </w:tc>
        <w:tc>
          <w:tcPr>
            <w:tcW w:w="1033" w:type="dxa"/>
            <w:tcBorders>
              <w:top w:val="single" w:color="auto" w:sz="4" w:space="0"/>
              <w:left w:val="nil"/>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418"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1"/>
              </w:numPr>
              <w:snapToGrid w:val="0"/>
              <w:ind w:left="189" w:leftChars="90" w:firstLine="0"/>
              <w:jc w:val="left"/>
              <w:rPr>
                <w:rFonts w:ascii="仿宋" w:hAnsi="仿宋" w:eastAsia="仿宋"/>
                <w:sz w:val="28"/>
                <w:szCs w:val="28"/>
              </w:rPr>
            </w:pPr>
            <w:r>
              <w:rPr>
                <w:rFonts w:hint="eastAsia" w:ascii="仿宋" w:hAnsi="仿宋" w:eastAsia="仿宋"/>
                <w:sz w:val="28"/>
                <w:szCs w:val="28"/>
              </w:rPr>
              <w:t>对病家进行规范消毒</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10</w:t>
            </w:r>
          </w:p>
        </w:tc>
        <w:tc>
          <w:tcPr>
            <w:tcW w:w="2153"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r>
              <w:rPr>
                <w:rFonts w:hint="eastAsia" w:ascii="仿宋" w:hAnsi="仿宋" w:eastAsia="仿宋"/>
                <w:sz w:val="28"/>
                <w:szCs w:val="28"/>
              </w:rPr>
              <w:t>查看消毒现场照片、记录</w:t>
            </w:r>
          </w:p>
        </w:tc>
        <w:tc>
          <w:tcPr>
            <w:tcW w:w="1033" w:type="dxa"/>
            <w:tcBorders>
              <w:top w:val="single" w:color="auto" w:sz="4" w:space="0"/>
              <w:left w:val="nil"/>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282"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1"/>
              </w:numPr>
              <w:snapToGrid w:val="0"/>
              <w:ind w:left="-92" w:leftChars="-44" w:firstLine="394" w:firstLineChars="141"/>
              <w:jc w:val="left"/>
              <w:rPr>
                <w:rFonts w:ascii="仿宋" w:hAnsi="仿宋" w:eastAsia="仿宋"/>
                <w:sz w:val="28"/>
                <w:szCs w:val="28"/>
              </w:rPr>
            </w:pPr>
            <w:r>
              <w:rPr>
                <w:rFonts w:hint="eastAsia" w:ascii="仿宋" w:hAnsi="仿宋" w:eastAsia="仿宋"/>
                <w:sz w:val="28"/>
                <w:szCs w:val="28"/>
              </w:rPr>
              <w:t>患者及时隔离、治疗</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10</w:t>
            </w:r>
          </w:p>
        </w:tc>
        <w:tc>
          <w:tcPr>
            <w:tcW w:w="2153"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p>
        </w:tc>
        <w:tc>
          <w:tcPr>
            <w:tcW w:w="1033" w:type="dxa"/>
            <w:tcBorders>
              <w:top w:val="single" w:color="auto" w:sz="4" w:space="0"/>
              <w:left w:val="nil"/>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282"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1"/>
              </w:numPr>
              <w:snapToGrid w:val="0"/>
              <w:ind w:left="-92" w:leftChars="-44" w:firstLine="394" w:firstLineChars="141"/>
              <w:jc w:val="left"/>
              <w:rPr>
                <w:rFonts w:ascii="仿宋" w:hAnsi="仿宋" w:eastAsia="仿宋"/>
                <w:sz w:val="28"/>
                <w:szCs w:val="28"/>
              </w:rPr>
            </w:pPr>
            <w:r>
              <w:rPr>
                <w:rFonts w:hint="eastAsia" w:ascii="仿宋" w:hAnsi="仿宋" w:eastAsia="仿宋"/>
                <w:sz w:val="28"/>
                <w:szCs w:val="28"/>
              </w:rPr>
              <w:t>对患者进行随访</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10</w:t>
            </w:r>
          </w:p>
        </w:tc>
        <w:tc>
          <w:tcPr>
            <w:tcW w:w="2153" w:type="dxa"/>
            <w:vMerge w:val="restart"/>
            <w:tcBorders>
              <w:top w:val="single" w:color="auto" w:sz="4" w:space="0"/>
              <w:left w:val="nil"/>
              <w:right w:val="single" w:color="auto" w:sz="4" w:space="0"/>
            </w:tcBorders>
            <w:shd w:val="clear" w:color="auto" w:fill="auto"/>
            <w:vAlign w:val="center"/>
          </w:tcPr>
          <w:p>
            <w:pPr>
              <w:snapToGrid w:val="0"/>
              <w:jc w:val="left"/>
              <w:rPr>
                <w:rFonts w:ascii="仿宋" w:hAnsi="仿宋" w:eastAsia="仿宋"/>
                <w:sz w:val="28"/>
                <w:szCs w:val="28"/>
              </w:rPr>
            </w:pPr>
            <w:r>
              <w:rPr>
                <w:rFonts w:hint="eastAsia" w:ascii="仿宋" w:hAnsi="仿宋" w:eastAsia="仿宋"/>
                <w:sz w:val="28"/>
                <w:szCs w:val="28"/>
              </w:rPr>
              <w:t>查看随访记录</w:t>
            </w:r>
          </w:p>
        </w:tc>
        <w:tc>
          <w:tcPr>
            <w:tcW w:w="1033" w:type="dxa"/>
            <w:tcBorders>
              <w:top w:val="single" w:color="auto" w:sz="4" w:space="0"/>
              <w:left w:val="nil"/>
              <w:right w:val="single" w:color="auto" w:sz="4" w:space="0"/>
            </w:tcBorders>
          </w:tcPr>
          <w:p>
            <w:pPr>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215"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1"/>
              </w:numPr>
              <w:snapToGrid w:val="0"/>
              <w:ind w:left="-92" w:leftChars="-44" w:firstLine="394" w:firstLineChars="141"/>
              <w:jc w:val="left"/>
              <w:rPr>
                <w:rFonts w:ascii="仿宋" w:hAnsi="仿宋" w:eastAsia="仿宋"/>
                <w:sz w:val="28"/>
                <w:szCs w:val="28"/>
              </w:rPr>
            </w:pPr>
            <w:r>
              <w:rPr>
                <w:rFonts w:hint="eastAsia" w:ascii="仿宋" w:hAnsi="仿宋" w:eastAsia="仿宋"/>
                <w:sz w:val="28"/>
                <w:szCs w:val="28"/>
              </w:rPr>
              <w:t>对密切接触者进行医学观察</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10</w:t>
            </w:r>
          </w:p>
        </w:tc>
        <w:tc>
          <w:tcPr>
            <w:tcW w:w="2153" w:type="dxa"/>
            <w:vMerge w:val="continue"/>
            <w:tcBorders>
              <w:left w:val="nil"/>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p>
        </w:tc>
        <w:tc>
          <w:tcPr>
            <w:tcW w:w="1033" w:type="dxa"/>
            <w:tcBorders>
              <w:left w:val="nil"/>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215"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1"/>
              </w:numPr>
              <w:snapToGrid w:val="0"/>
              <w:ind w:left="49" w:firstLine="142"/>
              <w:jc w:val="left"/>
              <w:rPr>
                <w:rFonts w:ascii="仿宋" w:hAnsi="仿宋" w:eastAsia="仿宋"/>
                <w:sz w:val="28"/>
                <w:szCs w:val="28"/>
              </w:rPr>
            </w:pPr>
            <w:r>
              <w:rPr>
                <w:rFonts w:hint="eastAsia" w:ascii="仿宋" w:hAnsi="仿宋" w:eastAsia="仿宋"/>
                <w:sz w:val="28"/>
                <w:szCs w:val="28"/>
              </w:rPr>
              <w:t>开展相关疾病的健康教育</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10</w:t>
            </w:r>
          </w:p>
        </w:tc>
        <w:tc>
          <w:tcPr>
            <w:tcW w:w="2153"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r>
              <w:rPr>
                <w:rFonts w:hint="eastAsia" w:ascii="仿宋" w:hAnsi="仿宋" w:eastAsia="仿宋"/>
                <w:sz w:val="28"/>
                <w:szCs w:val="28"/>
              </w:rPr>
              <w:t>查看相关资料</w:t>
            </w:r>
          </w:p>
        </w:tc>
        <w:tc>
          <w:tcPr>
            <w:tcW w:w="1033" w:type="dxa"/>
            <w:tcBorders>
              <w:top w:val="single" w:color="auto" w:sz="4" w:space="0"/>
              <w:left w:val="nil"/>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215"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1"/>
              </w:numPr>
              <w:snapToGrid w:val="0"/>
              <w:ind w:left="49" w:firstLine="142"/>
              <w:jc w:val="left"/>
              <w:rPr>
                <w:rFonts w:ascii="仿宋" w:hAnsi="仿宋" w:eastAsia="仿宋"/>
                <w:sz w:val="28"/>
                <w:szCs w:val="28"/>
              </w:rPr>
            </w:pPr>
            <w:r>
              <w:rPr>
                <w:rFonts w:hint="eastAsia" w:ascii="仿宋" w:hAnsi="仿宋" w:eastAsia="仿宋"/>
                <w:sz w:val="28"/>
                <w:szCs w:val="28"/>
              </w:rPr>
              <w:t>对目标区域和人群、相关医疗机构进行病例搜索</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5</w:t>
            </w:r>
          </w:p>
        </w:tc>
        <w:tc>
          <w:tcPr>
            <w:tcW w:w="2153"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r>
              <w:rPr>
                <w:rFonts w:hint="eastAsia" w:ascii="仿宋" w:hAnsi="仿宋" w:eastAsia="仿宋"/>
                <w:sz w:val="28"/>
                <w:szCs w:val="28"/>
              </w:rPr>
              <w:t>查看病例排查记录</w:t>
            </w:r>
          </w:p>
        </w:tc>
        <w:tc>
          <w:tcPr>
            <w:tcW w:w="1033" w:type="dxa"/>
            <w:tcBorders>
              <w:top w:val="single" w:color="auto" w:sz="4" w:space="0"/>
              <w:left w:val="nil"/>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215"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r>
              <w:rPr>
                <w:rFonts w:hint="eastAsia" w:ascii="仿宋" w:hAnsi="仿宋" w:eastAsia="仿宋"/>
                <w:sz w:val="28"/>
                <w:szCs w:val="28"/>
              </w:rPr>
              <w:t>3.其他控制措施</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10</w:t>
            </w:r>
          </w:p>
        </w:tc>
        <w:tc>
          <w:tcPr>
            <w:tcW w:w="2153"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p>
        </w:tc>
        <w:tc>
          <w:tcPr>
            <w:tcW w:w="1033" w:type="dxa"/>
            <w:tcBorders>
              <w:top w:val="single" w:color="auto" w:sz="4" w:space="0"/>
              <w:left w:val="nil"/>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362"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widowControl/>
              <w:snapToGrid w:val="0"/>
              <w:ind w:left="332" w:leftChars="158"/>
              <w:jc w:val="left"/>
              <w:rPr>
                <w:rFonts w:ascii="仿宋" w:hAnsi="仿宋" w:eastAsia="仿宋"/>
                <w:sz w:val="28"/>
                <w:szCs w:val="28"/>
              </w:rPr>
            </w:pPr>
            <w:r>
              <w:rPr>
                <w:rFonts w:hint="eastAsia" w:ascii="仿宋" w:hAnsi="仿宋" w:eastAsia="仿宋"/>
                <w:sz w:val="28"/>
                <w:szCs w:val="28"/>
              </w:rPr>
              <w:t>发生聚集/暴发疫情时，如有必要采取应急接种和预防性服药、杀虫、灭鼠等控制措施。</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10</w:t>
            </w:r>
          </w:p>
        </w:tc>
        <w:tc>
          <w:tcPr>
            <w:tcW w:w="2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协助卫生行政部门及疾控部门实施</w:t>
            </w:r>
          </w:p>
        </w:tc>
        <w:tc>
          <w:tcPr>
            <w:tcW w:w="1033" w:type="dxa"/>
            <w:tcBorders>
              <w:top w:val="single" w:color="auto" w:sz="4" w:space="0"/>
              <w:left w:val="single" w:color="auto" w:sz="4" w:space="0"/>
              <w:bottom w:val="single" w:color="auto" w:sz="4" w:space="0"/>
              <w:right w:val="single" w:color="auto" w:sz="4" w:space="0"/>
            </w:tcBorders>
          </w:tcPr>
          <w:p>
            <w:pPr>
              <w:widowControl/>
              <w:snapToGrid w:val="0"/>
              <w:jc w:val="center"/>
              <w:rPr>
                <w:rFonts w:ascii="仿宋" w:hAnsi="仿宋" w:eastAsia="仿宋"/>
                <w:sz w:val="28"/>
                <w:szCs w:val="28"/>
              </w:rPr>
            </w:pPr>
          </w:p>
        </w:tc>
      </w:tr>
      <w:tr>
        <w:tblPrEx>
          <w:tblLayout w:type="fixed"/>
          <w:tblCellMar>
            <w:top w:w="0" w:type="dxa"/>
            <w:left w:w="108" w:type="dxa"/>
            <w:bottom w:w="0" w:type="dxa"/>
            <w:right w:w="108" w:type="dxa"/>
          </w:tblCellMar>
        </w:tblPrEx>
        <w:trPr>
          <w:trHeight w:val="215"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r>
              <w:rPr>
                <w:rFonts w:hint="eastAsia" w:ascii="仿宋" w:hAnsi="仿宋" w:eastAsia="仿宋"/>
                <w:sz w:val="28"/>
                <w:szCs w:val="28"/>
              </w:rPr>
              <w:t>4.组织管理</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15</w:t>
            </w:r>
          </w:p>
        </w:tc>
        <w:tc>
          <w:tcPr>
            <w:tcW w:w="2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215"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2"/>
              </w:numPr>
              <w:snapToGrid w:val="0"/>
              <w:ind w:hanging="169"/>
              <w:jc w:val="left"/>
              <w:rPr>
                <w:rFonts w:ascii="仿宋" w:hAnsi="仿宋" w:eastAsia="仿宋"/>
                <w:sz w:val="28"/>
                <w:szCs w:val="28"/>
              </w:rPr>
            </w:pPr>
            <w:r>
              <w:rPr>
                <w:rFonts w:hint="eastAsia" w:ascii="仿宋" w:hAnsi="仿宋" w:eastAsia="仿宋"/>
                <w:sz w:val="28"/>
                <w:szCs w:val="28"/>
              </w:rPr>
              <w:t>基层卫生机构有专人负责肠道传染病病例管理</w:t>
            </w:r>
          </w:p>
        </w:tc>
        <w:tc>
          <w:tcPr>
            <w:tcW w:w="688" w:type="dxa"/>
            <w:tcBorders>
              <w:top w:val="nil"/>
              <w:left w:val="nil"/>
              <w:bottom w:val="single" w:color="auto" w:sz="4" w:space="0"/>
              <w:right w:val="single" w:color="auto" w:sz="4" w:space="0"/>
            </w:tcBorders>
            <w:shd w:val="clear" w:color="auto" w:fill="auto"/>
            <w:vAlign w:val="center"/>
          </w:tcPr>
          <w:p>
            <w:pPr>
              <w:widowControl/>
              <w:snapToGrid w:val="0"/>
              <w:ind w:right="100"/>
              <w:jc w:val="center"/>
              <w:rPr>
                <w:rFonts w:ascii="仿宋" w:hAnsi="仿宋" w:eastAsia="仿宋"/>
                <w:sz w:val="28"/>
                <w:szCs w:val="28"/>
              </w:rPr>
            </w:pPr>
            <w:r>
              <w:rPr>
                <w:rFonts w:hint="eastAsia" w:ascii="仿宋" w:hAnsi="仿宋" w:eastAsia="仿宋"/>
                <w:sz w:val="28"/>
                <w:szCs w:val="28"/>
              </w:rPr>
              <w:t>5</w:t>
            </w:r>
          </w:p>
        </w:tc>
        <w:tc>
          <w:tcPr>
            <w:tcW w:w="2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215"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2"/>
              </w:numPr>
              <w:snapToGrid w:val="0"/>
              <w:ind w:hanging="169"/>
              <w:jc w:val="left"/>
              <w:rPr>
                <w:rFonts w:ascii="仿宋" w:hAnsi="仿宋" w:eastAsia="仿宋"/>
                <w:sz w:val="28"/>
                <w:szCs w:val="28"/>
              </w:rPr>
            </w:pPr>
            <w:r>
              <w:rPr>
                <w:rFonts w:hint="eastAsia" w:ascii="仿宋" w:hAnsi="仿宋" w:eastAsia="仿宋"/>
                <w:sz w:val="28"/>
                <w:szCs w:val="28"/>
              </w:rPr>
              <w:t>建立肠道传染病病例管理制度（包括病例上报、散发病例管理及疫情处置流程）</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5</w:t>
            </w:r>
          </w:p>
        </w:tc>
        <w:tc>
          <w:tcPr>
            <w:tcW w:w="2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r>
              <w:rPr>
                <w:rFonts w:hint="eastAsia" w:ascii="仿宋" w:hAnsi="仿宋" w:eastAsia="仿宋"/>
                <w:sz w:val="28"/>
                <w:szCs w:val="28"/>
              </w:rPr>
              <w:t>查看相关记录</w:t>
            </w:r>
          </w:p>
        </w:tc>
        <w:tc>
          <w:tcPr>
            <w:tcW w:w="1033" w:type="dxa"/>
            <w:tcBorders>
              <w:top w:val="single" w:color="auto" w:sz="4" w:space="0"/>
              <w:left w:val="single" w:color="auto" w:sz="4" w:space="0"/>
              <w:bottom w:val="single" w:color="auto" w:sz="4" w:space="0"/>
              <w:right w:val="single" w:color="auto" w:sz="4" w:space="0"/>
            </w:tcBorders>
          </w:tcPr>
          <w:p>
            <w:pPr>
              <w:widowControl/>
              <w:snapToGrid w:val="0"/>
              <w:jc w:val="left"/>
              <w:rPr>
                <w:rFonts w:ascii="仿宋" w:hAnsi="仿宋" w:eastAsia="仿宋"/>
                <w:sz w:val="28"/>
                <w:szCs w:val="28"/>
              </w:rPr>
            </w:pPr>
          </w:p>
        </w:tc>
      </w:tr>
      <w:tr>
        <w:tblPrEx>
          <w:tblLayout w:type="fixed"/>
          <w:tblCellMar>
            <w:top w:w="0" w:type="dxa"/>
            <w:left w:w="108" w:type="dxa"/>
            <w:bottom w:w="0" w:type="dxa"/>
            <w:right w:w="108" w:type="dxa"/>
          </w:tblCellMar>
        </w:tblPrEx>
        <w:trPr>
          <w:trHeight w:val="70" w:hRule="atLeast"/>
        </w:trPr>
        <w:tc>
          <w:tcPr>
            <w:tcW w:w="4905" w:type="dxa"/>
            <w:tcBorders>
              <w:top w:val="nil"/>
              <w:left w:val="single" w:color="auto" w:sz="4" w:space="0"/>
              <w:bottom w:val="single" w:color="auto" w:sz="4" w:space="0"/>
              <w:right w:val="single" w:color="auto" w:sz="4" w:space="0"/>
            </w:tcBorders>
            <w:shd w:val="clear" w:color="auto" w:fill="auto"/>
            <w:vAlign w:val="center"/>
          </w:tcPr>
          <w:p>
            <w:pPr>
              <w:pStyle w:val="23"/>
              <w:widowControl/>
              <w:numPr>
                <w:ilvl w:val="0"/>
                <w:numId w:val="2"/>
              </w:numPr>
              <w:snapToGrid w:val="0"/>
              <w:ind w:hanging="169"/>
              <w:jc w:val="left"/>
              <w:rPr>
                <w:rFonts w:ascii="仿宋" w:hAnsi="仿宋" w:eastAsia="仿宋"/>
                <w:sz w:val="28"/>
                <w:szCs w:val="28"/>
              </w:rPr>
            </w:pPr>
            <w:r>
              <w:rPr>
                <w:rFonts w:hint="eastAsia" w:ascii="仿宋" w:hAnsi="仿宋" w:eastAsia="仿宋"/>
                <w:sz w:val="28"/>
                <w:szCs w:val="28"/>
              </w:rPr>
              <w:t>基本公共卫生经费中落实传染病病例管理服务的支出</w:t>
            </w:r>
          </w:p>
        </w:tc>
        <w:tc>
          <w:tcPr>
            <w:tcW w:w="688" w:type="dxa"/>
            <w:tcBorders>
              <w:top w:val="nil"/>
              <w:left w:val="nil"/>
              <w:bottom w:val="single" w:color="auto" w:sz="4" w:space="0"/>
              <w:right w:val="single" w:color="auto" w:sz="4" w:space="0"/>
            </w:tcBorders>
            <w:shd w:val="clear" w:color="auto" w:fill="auto"/>
            <w:vAlign w:val="center"/>
          </w:tcPr>
          <w:p>
            <w:pPr>
              <w:widowControl/>
              <w:snapToGrid w:val="0"/>
              <w:jc w:val="center"/>
              <w:rPr>
                <w:rFonts w:ascii="仿宋" w:hAnsi="仿宋" w:eastAsia="仿宋"/>
                <w:sz w:val="28"/>
                <w:szCs w:val="28"/>
              </w:rPr>
            </w:pPr>
            <w:r>
              <w:rPr>
                <w:rFonts w:hint="eastAsia" w:ascii="仿宋" w:hAnsi="仿宋" w:eastAsia="仿宋"/>
                <w:sz w:val="28"/>
                <w:szCs w:val="28"/>
              </w:rPr>
              <w:t>5</w:t>
            </w:r>
          </w:p>
        </w:tc>
        <w:tc>
          <w:tcPr>
            <w:tcW w:w="2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left"/>
              <w:rPr>
                <w:rFonts w:ascii="仿宋" w:hAnsi="仿宋" w:eastAsia="仿宋"/>
                <w:sz w:val="28"/>
                <w:szCs w:val="28"/>
              </w:rPr>
            </w:pPr>
            <w:r>
              <w:rPr>
                <w:rFonts w:hint="eastAsia" w:ascii="仿宋" w:hAnsi="仿宋" w:eastAsia="仿宋"/>
                <w:sz w:val="28"/>
                <w:szCs w:val="28"/>
              </w:rPr>
              <w:t>查看基本公共卫生服务经费支出项目</w:t>
            </w:r>
          </w:p>
        </w:tc>
        <w:tc>
          <w:tcPr>
            <w:tcW w:w="1033" w:type="dxa"/>
            <w:tcBorders>
              <w:top w:val="single" w:color="auto" w:sz="4" w:space="0"/>
              <w:left w:val="single" w:color="auto" w:sz="4" w:space="0"/>
              <w:bottom w:val="single" w:color="auto" w:sz="4" w:space="0"/>
              <w:right w:val="single" w:color="auto" w:sz="4" w:space="0"/>
            </w:tcBorders>
          </w:tcPr>
          <w:p>
            <w:pPr>
              <w:widowControl/>
              <w:snapToGrid w:val="0"/>
              <w:jc w:val="left"/>
              <w:rPr>
                <w:rFonts w:ascii="仿宋" w:hAnsi="仿宋" w:eastAsia="仿宋"/>
                <w:sz w:val="28"/>
                <w:szCs w:val="28"/>
              </w:rPr>
            </w:pPr>
          </w:p>
        </w:tc>
      </w:tr>
    </w:tbl>
    <w:p>
      <w:pPr>
        <w:widowControl/>
        <w:jc w:val="left"/>
        <w:rPr>
          <w:rFonts w:ascii="仿宋" w:hAnsi="仿宋" w:eastAsia="仿宋"/>
          <w:sz w:val="32"/>
          <w:szCs w:val="32"/>
        </w:rPr>
      </w:pPr>
    </w:p>
    <w:p>
      <w:pPr>
        <w:widowControl/>
        <w:jc w:val="left"/>
        <w:rPr>
          <w:rFonts w:ascii="仿宋" w:hAnsi="仿宋" w:eastAsia="仿宋"/>
          <w:sz w:val="32"/>
          <w:szCs w:val="32"/>
        </w:rPr>
      </w:pPr>
      <w:r>
        <w:rPr>
          <w:rFonts w:ascii="仿宋" w:hAnsi="仿宋" w:eastAsia="仿宋"/>
          <w:sz w:val="32"/>
          <w:szCs w:val="32"/>
        </w:rPr>
        <w:br w:type="page"/>
      </w:r>
    </w:p>
    <w:p>
      <w:pPr>
        <w:rPr>
          <w:rFonts w:ascii="仿宋" w:hAnsi="仿宋" w:eastAsia="仿宋"/>
          <w:b/>
          <w:sz w:val="32"/>
          <w:szCs w:val="32"/>
        </w:rPr>
      </w:pPr>
      <w:r>
        <w:rPr>
          <w:rFonts w:hint="eastAsia" w:ascii="仿宋" w:hAnsi="仿宋" w:eastAsia="仿宋"/>
          <w:b/>
          <w:sz w:val="32"/>
          <w:szCs w:val="32"/>
        </w:rPr>
        <w:t>附件2</w:t>
      </w:r>
    </w:p>
    <w:p>
      <w:pPr>
        <w:jc w:val="center"/>
        <w:rPr>
          <w:rFonts w:ascii="仿宋" w:hAnsi="仿宋" w:eastAsia="仿宋"/>
          <w:sz w:val="32"/>
          <w:szCs w:val="32"/>
        </w:rPr>
      </w:pPr>
      <w:r>
        <w:rPr>
          <w:rFonts w:hint="eastAsia" w:ascii="仿宋" w:hAnsi="仿宋" w:eastAsia="仿宋"/>
          <w:sz w:val="32"/>
          <w:szCs w:val="32"/>
        </w:rPr>
        <w:t>《贵州省基层医疗机构肠道传染病病例管理规范（征求意见稿）》试用建议征求问卷</w:t>
      </w:r>
    </w:p>
    <w:p>
      <w:pPr>
        <w:spacing w:before="240" w:line="320" w:lineRule="exact"/>
        <w:jc w:val="left"/>
        <w:rPr>
          <w:rFonts w:ascii="仿宋" w:hAnsi="仿宋" w:eastAsia="仿宋"/>
          <w:sz w:val="28"/>
          <w:szCs w:val="28"/>
        </w:rPr>
      </w:pPr>
      <w:r>
        <w:rPr>
          <w:rFonts w:hint="eastAsia" w:ascii="仿宋" w:hAnsi="仿宋" w:eastAsia="仿宋"/>
          <w:sz w:val="28"/>
          <w:szCs w:val="28"/>
        </w:rPr>
        <w:t>被调查者单位                     调查员</w:t>
      </w:r>
    </w:p>
    <w:p>
      <w:pPr>
        <w:spacing w:before="240" w:line="320" w:lineRule="exact"/>
        <w:jc w:val="left"/>
        <w:rPr>
          <w:rFonts w:ascii="仿宋" w:hAnsi="仿宋" w:eastAsia="仿宋"/>
          <w:sz w:val="28"/>
          <w:szCs w:val="28"/>
        </w:rPr>
      </w:pPr>
      <w:r>
        <w:rPr>
          <w:rFonts w:hint="eastAsia" w:ascii="仿宋" w:hAnsi="仿宋" w:eastAsia="仿宋"/>
          <w:sz w:val="28"/>
          <w:szCs w:val="28"/>
        </w:rPr>
        <w:t>一、使用效果</w:t>
      </w:r>
    </w:p>
    <w:p>
      <w:pPr>
        <w:pStyle w:val="23"/>
        <w:numPr>
          <w:ilvl w:val="0"/>
          <w:numId w:val="3"/>
        </w:numPr>
        <w:spacing w:before="240" w:line="320" w:lineRule="exact"/>
        <w:ind w:left="-2" w:leftChars="-1" w:firstLine="0"/>
        <w:jc w:val="left"/>
        <w:rPr>
          <w:rFonts w:ascii="仿宋" w:hAnsi="仿宋" w:eastAsia="仿宋"/>
          <w:sz w:val="28"/>
          <w:szCs w:val="28"/>
        </w:rPr>
      </w:pPr>
      <w:r>
        <w:rPr>
          <w:rFonts w:hint="eastAsia" w:ascii="仿宋" w:hAnsi="仿宋" w:eastAsia="仿宋"/>
          <w:sz w:val="28"/>
          <w:szCs w:val="28"/>
        </w:rPr>
        <w:t>您认为使用《规范》后，对肠道传染病病例管理较之前</w:t>
      </w:r>
    </w:p>
    <w:p>
      <w:pPr>
        <w:spacing w:before="240" w:line="320" w:lineRule="exact"/>
        <w:ind w:left="-2" w:leftChars="-1"/>
        <w:jc w:val="left"/>
        <w:rPr>
          <w:rFonts w:ascii="仿宋" w:hAnsi="仿宋" w:eastAsia="仿宋"/>
          <w:sz w:val="28"/>
          <w:szCs w:val="28"/>
        </w:rPr>
      </w:pPr>
      <w:r>
        <w:rPr>
          <w:rFonts w:hint="eastAsia" w:ascii="仿宋" w:hAnsi="仿宋" w:eastAsia="仿宋"/>
          <w:sz w:val="28"/>
          <w:szCs w:val="28"/>
        </w:rPr>
        <w:t>A有改善   B无变化   C不如之前</w:t>
      </w:r>
    </w:p>
    <w:p>
      <w:pPr>
        <w:pStyle w:val="23"/>
        <w:numPr>
          <w:ilvl w:val="0"/>
          <w:numId w:val="3"/>
        </w:numPr>
        <w:spacing w:before="240" w:line="320" w:lineRule="exact"/>
        <w:ind w:left="-2" w:leftChars="-1" w:firstLine="0"/>
        <w:jc w:val="left"/>
        <w:rPr>
          <w:rFonts w:ascii="仿宋" w:hAnsi="仿宋" w:eastAsia="仿宋"/>
          <w:sz w:val="28"/>
          <w:szCs w:val="28"/>
        </w:rPr>
      </w:pPr>
      <w:r>
        <w:rPr>
          <w:rFonts w:hint="eastAsia" w:ascii="仿宋" w:hAnsi="仿宋" w:eastAsia="仿宋"/>
          <w:sz w:val="28"/>
          <w:szCs w:val="28"/>
        </w:rPr>
        <w:t>您认为使用《规范》后，肠道传染病病例管理工作较之前</w:t>
      </w:r>
    </w:p>
    <w:p>
      <w:pPr>
        <w:spacing w:before="240" w:line="320" w:lineRule="exact"/>
        <w:ind w:left="-2" w:leftChars="-1"/>
        <w:jc w:val="left"/>
        <w:rPr>
          <w:rFonts w:ascii="仿宋" w:hAnsi="仿宋" w:eastAsia="仿宋"/>
          <w:sz w:val="28"/>
          <w:szCs w:val="28"/>
        </w:rPr>
      </w:pPr>
      <w:r>
        <w:rPr>
          <w:rFonts w:hint="eastAsia" w:ascii="仿宋" w:hAnsi="仿宋" w:eastAsia="仿宋"/>
          <w:sz w:val="28"/>
          <w:szCs w:val="28"/>
        </w:rPr>
        <w:t>A更简单   B无变化   C更复杂</w:t>
      </w:r>
    </w:p>
    <w:p>
      <w:pPr>
        <w:spacing w:before="240" w:line="320" w:lineRule="exact"/>
        <w:ind w:left="-2" w:leftChars="-1"/>
        <w:jc w:val="left"/>
        <w:rPr>
          <w:rFonts w:ascii="仿宋" w:hAnsi="仿宋" w:eastAsia="仿宋"/>
          <w:sz w:val="28"/>
          <w:szCs w:val="28"/>
        </w:rPr>
      </w:pPr>
      <w:r>
        <w:rPr>
          <w:rFonts w:hint="eastAsia" w:ascii="仿宋" w:hAnsi="仿宋" w:eastAsia="仿宋"/>
          <w:sz w:val="28"/>
          <w:szCs w:val="28"/>
        </w:rPr>
        <w:t>3．您认为使用《规范》后，肠道传染病病例管理工作较之前</w:t>
      </w:r>
    </w:p>
    <w:p>
      <w:pPr>
        <w:spacing w:before="240" w:line="320" w:lineRule="exact"/>
        <w:ind w:left="-2" w:leftChars="-1"/>
        <w:jc w:val="left"/>
        <w:rPr>
          <w:rFonts w:ascii="仿宋" w:hAnsi="仿宋" w:eastAsia="仿宋"/>
          <w:sz w:val="28"/>
          <w:szCs w:val="28"/>
        </w:rPr>
      </w:pPr>
      <w:r>
        <w:rPr>
          <w:rFonts w:hint="eastAsia" w:ascii="仿宋" w:hAnsi="仿宋" w:eastAsia="仿宋"/>
          <w:sz w:val="28"/>
          <w:szCs w:val="28"/>
        </w:rPr>
        <w:t>A更有条理   B无变化   C更杂乱</w:t>
      </w:r>
      <w:r>
        <w:rPr>
          <w:rFonts w:ascii="仿宋" w:hAnsi="仿宋" w:eastAsia="仿宋"/>
          <w:sz w:val="28"/>
          <w:szCs w:val="28"/>
        </w:rPr>
        <w:t xml:space="preserve"> </w:t>
      </w:r>
    </w:p>
    <w:p>
      <w:pPr>
        <w:spacing w:before="240" w:line="320" w:lineRule="exact"/>
        <w:jc w:val="left"/>
        <w:rPr>
          <w:rFonts w:ascii="仿宋" w:hAnsi="仿宋" w:eastAsia="仿宋"/>
          <w:sz w:val="28"/>
          <w:szCs w:val="28"/>
        </w:rPr>
      </w:pPr>
      <w:r>
        <w:rPr>
          <w:rFonts w:hint="eastAsia" w:ascii="仿宋" w:hAnsi="仿宋" w:eastAsia="仿宋"/>
          <w:sz w:val="28"/>
          <w:szCs w:val="28"/>
        </w:rPr>
        <w:t>二、可行性</w:t>
      </w:r>
    </w:p>
    <w:p>
      <w:pPr>
        <w:pStyle w:val="23"/>
        <w:numPr>
          <w:ilvl w:val="0"/>
          <w:numId w:val="4"/>
        </w:numPr>
        <w:spacing w:before="240" w:line="320" w:lineRule="exact"/>
        <w:ind w:left="-2" w:leftChars="-1" w:firstLine="0"/>
        <w:jc w:val="left"/>
        <w:rPr>
          <w:rFonts w:ascii="仿宋" w:hAnsi="仿宋" w:eastAsia="仿宋"/>
          <w:sz w:val="28"/>
          <w:szCs w:val="28"/>
        </w:rPr>
      </w:pPr>
      <w:r>
        <w:rPr>
          <w:rFonts w:hint="eastAsia" w:ascii="仿宋" w:hAnsi="仿宋" w:eastAsia="仿宋"/>
          <w:sz w:val="28"/>
          <w:szCs w:val="28"/>
        </w:rPr>
        <w:t>如果按照《规范》来进行肠道传染病病例管理工作，是否会增加您平时的工作量？</w:t>
      </w:r>
    </w:p>
    <w:p>
      <w:pPr>
        <w:pStyle w:val="23"/>
        <w:spacing w:before="240" w:line="320" w:lineRule="exact"/>
        <w:ind w:left="-2" w:leftChars="-1" w:firstLine="0"/>
        <w:jc w:val="left"/>
        <w:rPr>
          <w:rFonts w:ascii="仿宋" w:hAnsi="仿宋" w:eastAsia="仿宋"/>
          <w:sz w:val="28"/>
          <w:szCs w:val="28"/>
        </w:rPr>
      </w:pPr>
      <w:r>
        <w:rPr>
          <w:rFonts w:hint="eastAsia" w:ascii="仿宋" w:hAnsi="仿宋" w:eastAsia="仿宋"/>
          <w:sz w:val="28"/>
          <w:szCs w:val="28"/>
        </w:rPr>
        <w:t>A是 （主要是在哪方面__________________________）   B否</w:t>
      </w:r>
    </w:p>
    <w:p>
      <w:pPr>
        <w:pStyle w:val="23"/>
        <w:numPr>
          <w:ilvl w:val="0"/>
          <w:numId w:val="4"/>
        </w:numPr>
        <w:spacing w:before="240" w:line="320" w:lineRule="exact"/>
        <w:ind w:left="-2" w:leftChars="-1" w:firstLine="0"/>
        <w:jc w:val="left"/>
        <w:rPr>
          <w:rFonts w:ascii="仿宋" w:hAnsi="仿宋" w:eastAsia="仿宋"/>
          <w:sz w:val="28"/>
          <w:szCs w:val="28"/>
        </w:rPr>
      </w:pPr>
      <w:r>
        <w:rPr>
          <w:rFonts w:hint="eastAsia" w:ascii="仿宋" w:hAnsi="仿宋" w:eastAsia="仿宋"/>
          <w:sz w:val="28"/>
          <w:szCs w:val="28"/>
        </w:rPr>
        <w:t>您是否愿意按照《规范》来进行肠道传染病病例管理工作？</w:t>
      </w:r>
    </w:p>
    <w:p>
      <w:pPr>
        <w:spacing w:before="240" w:line="320" w:lineRule="exact"/>
        <w:ind w:left="-2" w:leftChars="-1"/>
        <w:jc w:val="left"/>
        <w:rPr>
          <w:rFonts w:ascii="仿宋" w:hAnsi="仿宋" w:eastAsia="仿宋"/>
          <w:sz w:val="28"/>
          <w:szCs w:val="28"/>
        </w:rPr>
      </w:pPr>
      <w:r>
        <w:rPr>
          <w:rFonts w:hint="eastAsia" w:ascii="仿宋" w:hAnsi="仿宋" w:eastAsia="仿宋"/>
          <w:sz w:val="28"/>
          <w:szCs w:val="28"/>
        </w:rPr>
        <w:t>A是   B否（原因_______________________________________）</w:t>
      </w:r>
    </w:p>
    <w:p>
      <w:pPr>
        <w:pStyle w:val="23"/>
        <w:numPr>
          <w:ilvl w:val="0"/>
          <w:numId w:val="4"/>
        </w:numPr>
        <w:spacing w:before="240" w:line="320" w:lineRule="exact"/>
        <w:ind w:left="0" w:firstLine="0"/>
        <w:jc w:val="left"/>
        <w:rPr>
          <w:rFonts w:ascii="仿宋" w:hAnsi="仿宋" w:eastAsia="仿宋"/>
          <w:sz w:val="28"/>
          <w:szCs w:val="28"/>
        </w:rPr>
      </w:pPr>
      <w:r>
        <w:rPr>
          <w:rFonts w:hint="eastAsia" w:ascii="仿宋" w:hAnsi="仿宋" w:eastAsia="仿宋"/>
          <w:sz w:val="28"/>
          <w:szCs w:val="28"/>
        </w:rPr>
        <w:t>您认为《规范》中多次病例随访可以做到吗？</w:t>
      </w:r>
    </w:p>
    <w:p>
      <w:pPr>
        <w:spacing w:before="240" w:line="320" w:lineRule="exact"/>
        <w:jc w:val="left"/>
        <w:rPr>
          <w:rFonts w:ascii="仿宋" w:hAnsi="仿宋" w:eastAsia="仿宋"/>
          <w:sz w:val="28"/>
          <w:szCs w:val="28"/>
        </w:rPr>
      </w:pPr>
      <w:r>
        <w:rPr>
          <w:rFonts w:hint="eastAsia" w:ascii="仿宋" w:hAnsi="仿宋" w:eastAsia="仿宋"/>
          <w:sz w:val="28"/>
          <w:szCs w:val="28"/>
        </w:rPr>
        <w:t>A可以做到   B很困难   C做不到</w:t>
      </w:r>
    </w:p>
    <w:p>
      <w:pPr>
        <w:pStyle w:val="23"/>
        <w:numPr>
          <w:ilvl w:val="0"/>
          <w:numId w:val="4"/>
        </w:numPr>
        <w:spacing w:before="240" w:line="320" w:lineRule="exact"/>
        <w:ind w:left="0" w:firstLine="0"/>
        <w:jc w:val="left"/>
        <w:rPr>
          <w:rFonts w:ascii="仿宋" w:hAnsi="仿宋" w:eastAsia="仿宋"/>
          <w:sz w:val="28"/>
          <w:szCs w:val="28"/>
        </w:rPr>
      </w:pPr>
      <w:r>
        <w:rPr>
          <w:rFonts w:hint="eastAsia" w:ascii="仿宋" w:hAnsi="仿宋" w:eastAsia="仿宋"/>
          <w:sz w:val="28"/>
          <w:szCs w:val="28"/>
        </w:rPr>
        <w:t>您认为《规范》中消毒的方法容易操作吗？</w:t>
      </w:r>
    </w:p>
    <w:p>
      <w:pPr>
        <w:spacing w:before="240" w:line="320" w:lineRule="exact"/>
        <w:jc w:val="left"/>
        <w:rPr>
          <w:rFonts w:ascii="仿宋" w:hAnsi="仿宋" w:eastAsia="仿宋"/>
          <w:sz w:val="28"/>
          <w:szCs w:val="28"/>
        </w:rPr>
      </w:pPr>
      <w:r>
        <w:rPr>
          <w:rFonts w:hint="eastAsia" w:ascii="仿宋" w:hAnsi="仿宋" w:eastAsia="仿宋"/>
          <w:sz w:val="28"/>
          <w:szCs w:val="28"/>
        </w:rPr>
        <w:t>A容易   B有些难理解   C完全不能理解</w:t>
      </w:r>
    </w:p>
    <w:p>
      <w:pPr>
        <w:pStyle w:val="23"/>
        <w:numPr>
          <w:ilvl w:val="0"/>
          <w:numId w:val="4"/>
        </w:numPr>
        <w:spacing w:before="240" w:line="320" w:lineRule="exact"/>
        <w:ind w:left="0" w:firstLine="0"/>
        <w:jc w:val="left"/>
        <w:rPr>
          <w:rFonts w:ascii="仿宋" w:hAnsi="仿宋" w:eastAsia="仿宋"/>
          <w:sz w:val="28"/>
          <w:szCs w:val="28"/>
        </w:rPr>
      </w:pPr>
      <w:r>
        <w:rPr>
          <w:rFonts w:hint="eastAsia" w:ascii="仿宋" w:hAnsi="仿宋" w:eastAsia="仿宋"/>
          <w:sz w:val="28"/>
          <w:szCs w:val="28"/>
        </w:rPr>
        <w:t>您能按照《规范》的要求对患者及家属开展宣传教育吗？</w:t>
      </w:r>
    </w:p>
    <w:p>
      <w:pPr>
        <w:spacing w:before="240" w:line="320" w:lineRule="exact"/>
        <w:jc w:val="left"/>
        <w:rPr>
          <w:rFonts w:ascii="仿宋" w:hAnsi="仿宋" w:eastAsia="仿宋"/>
          <w:sz w:val="28"/>
          <w:szCs w:val="28"/>
        </w:rPr>
      </w:pPr>
      <w:r>
        <w:rPr>
          <w:rFonts w:hint="eastAsia" w:ascii="仿宋" w:hAnsi="仿宋" w:eastAsia="仿宋"/>
          <w:sz w:val="28"/>
          <w:szCs w:val="28"/>
        </w:rPr>
        <w:t>A可以做到   B很困难   C做不到</w:t>
      </w:r>
    </w:p>
    <w:p>
      <w:pPr>
        <w:pStyle w:val="23"/>
        <w:numPr>
          <w:ilvl w:val="0"/>
          <w:numId w:val="5"/>
        </w:numPr>
        <w:spacing w:before="240" w:line="320" w:lineRule="exact"/>
        <w:jc w:val="left"/>
        <w:rPr>
          <w:rFonts w:ascii="仿宋" w:hAnsi="仿宋" w:eastAsia="仿宋"/>
          <w:sz w:val="28"/>
          <w:szCs w:val="28"/>
        </w:rPr>
      </w:pPr>
      <w:r>
        <w:rPr>
          <w:rFonts w:hint="eastAsia" w:ascii="仿宋" w:hAnsi="仿宋" w:eastAsia="仿宋"/>
          <w:sz w:val="28"/>
          <w:szCs w:val="28"/>
        </w:rPr>
        <w:t>改进建议或意见</w:t>
      </w:r>
    </w:p>
    <w:p>
      <w:pPr>
        <w:pStyle w:val="23"/>
        <w:spacing w:before="240" w:line="320" w:lineRule="exact"/>
        <w:ind w:left="358" w:firstLine="0"/>
        <w:jc w:val="left"/>
        <w:rPr>
          <w:rFonts w:ascii="仿宋" w:hAnsi="仿宋" w:eastAsia="仿宋"/>
          <w:sz w:val="28"/>
          <w:szCs w:val="28"/>
        </w:rPr>
      </w:pPr>
      <w:r>
        <w:rPr>
          <w:rFonts w:hint="eastAsia" w:ascii="仿宋" w:hAnsi="仿宋" w:eastAsia="仿宋"/>
          <w:sz w:val="28"/>
          <w:szCs w:val="28"/>
        </w:rPr>
        <w:t>您认为《规范》中还应该增加/删减哪些内容？</w:t>
      </w:r>
    </w:p>
    <w:sectPr>
      <w:footerReference r:id="rId3" w:type="default"/>
      <w:pgSz w:w="11906" w:h="16838"/>
      <w:pgMar w:top="1440" w:right="1800" w:bottom="1440" w:left="1800" w:header="0" w:footer="0"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Segoe Print"/>
    <w:panose1 w:val="02040503050203030202"/>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posOffset>2529205</wp:posOffset>
              </wp:positionH>
              <wp:positionV relativeFrom="paragraph">
                <wp:posOffset>-542925</wp:posOffset>
              </wp:positionV>
              <wp:extent cx="89535" cy="23050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89535" cy="230505"/>
                      </a:xfrm>
                      <a:prstGeom prst="rect">
                        <a:avLst/>
                      </a:prstGeom>
                      <a:noFill/>
                      <a:ln>
                        <a:noFill/>
                      </a:ln>
                      <a:effectLst/>
                    </wps:spPr>
                    <wps:txbx>
                      <w:txbxContent>
                        <w:p>
                          <w:pPr>
                            <w:pStyle w:val="6"/>
                          </w:pPr>
                          <w:r>
                            <w:rPr>
                              <w:rFonts w:hint="eastAsia" w:asciiTheme="minorEastAsia" w:hAnsiTheme="minorEastAsia" w:eastAsiaTheme="minorEastAsia" w:cstheme="minorEastAsia"/>
                              <w:sz w:val="28"/>
                              <w:szCs w:val="28"/>
                            </w:rPr>
                            <w:fldChar w:fldCharType="begin"/>
                          </w:r>
                          <w:r>
                            <w:rPr>
                              <w:rFonts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13</w:t>
                          </w:r>
                          <w:r>
                            <w:rPr>
                              <w:rFonts w:hint="eastAsia" w:asciiTheme="minorEastAsia" w:hAnsiTheme="minorEastAsia" w:eastAsiaTheme="minorEastAsia" w:cstheme="minorEastAsia"/>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left:199.15pt;margin-top:-42.75pt;height:18.15pt;width:7.05pt;mso-position-horizontal-relative:margin;mso-wrap-style:none;z-index:251658240;mso-width-relative:page;mso-height-relative:page;" filled="f" stroked="f" coordsize="21600,21600" o:gfxdata="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iCLYM2AAAAAsB&#10;AAAPAAAAAAAAAAEAIAAAACIAAABkcnMvZG93bnJldi54bWxQSwECFAAUAAAACACHTuJAPOZeKuIB&#10;AADAAwAADgAAAAAAAAABACAAAAAnAQAAZHJzL2Uyb0RvYy54bWxQSwUGAAAAAAYABgBZAQAAewUA&#10;AAAA&#10;">
              <v:fill on="f" focussize="0,0"/>
              <v:stroke on="f"/>
              <v:imagedata o:title=""/>
              <o:lock v:ext="edit" aspectratio="f"/>
              <v:textbox inset="0mm,0mm,0mm,0mm" style="mso-fit-shape-to-text:t;">
                <w:txbxContent>
                  <w:p>
                    <w:pPr>
                      <w:pStyle w:val="6"/>
                    </w:pPr>
                    <w:r>
                      <w:rPr>
                        <w:rFonts w:hint="eastAsia" w:asciiTheme="minorEastAsia" w:hAnsiTheme="minorEastAsia" w:eastAsiaTheme="minorEastAsia" w:cstheme="minorEastAsia"/>
                        <w:sz w:val="28"/>
                        <w:szCs w:val="28"/>
                      </w:rPr>
                      <w:fldChar w:fldCharType="begin"/>
                    </w:r>
                    <w:r>
                      <w:rPr>
                        <w:rFonts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13</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4A7A"/>
    <w:multiLevelType w:val="multilevel"/>
    <w:tmpl w:val="0A2B4A7A"/>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C8167F7"/>
    <w:multiLevelType w:val="multilevel"/>
    <w:tmpl w:val="0C8167F7"/>
    <w:lvl w:ilvl="0" w:tentative="0">
      <w:start w:val="1"/>
      <w:numFmt w:val="decimalEnclosedCircle"/>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1F4238"/>
    <w:multiLevelType w:val="multilevel"/>
    <w:tmpl w:val="0F1F4238"/>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
    <w:nsid w:val="441F1642"/>
    <w:multiLevelType w:val="multilevel"/>
    <w:tmpl w:val="441F1642"/>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B0C48DB"/>
    <w:multiLevelType w:val="multilevel"/>
    <w:tmpl w:val="7B0C48DB"/>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4"/>
    </o:shapelayout>
  </w:hdrShapeDefault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DE3"/>
    <w:rsid w:val="00097EF6"/>
    <w:rsid w:val="000B0CFE"/>
    <w:rsid w:val="000D184F"/>
    <w:rsid w:val="00145E93"/>
    <w:rsid w:val="00191F03"/>
    <w:rsid w:val="001B32F1"/>
    <w:rsid w:val="002440E5"/>
    <w:rsid w:val="0025102F"/>
    <w:rsid w:val="0025201D"/>
    <w:rsid w:val="002A5737"/>
    <w:rsid w:val="002B3291"/>
    <w:rsid w:val="002C23C5"/>
    <w:rsid w:val="003114A6"/>
    <w:rsid w:val="00317F34"/>
    <w:rsid w:val="003955B0"/>
    <w:rsid w:val="0039595A"/>
    <w:rsid w:val="00397B7F"/>
    <w:rsid w:val="003D6109"/>
    <w:rsid w:val="003E597F"/>
    <w:rsid w:val="003E7C5C"/>
    <w:rsid w:val="004231BF"/>
    <w:rsid w:val="00446D9E"/>
    <w:rsid w:val="00452336"/>
    <w:rsid w:val="00471309"/>
    <w:rsid w:val="00490AD9"/>
    <w:rsid w:val="00496384"/>
    <w:rsid w:val="004B39A0"/>
    <w:rsid w:val="004C2443"/>
    <w:rsid w:val="004F4C18"/>
    <w:rsid w:val="005031BD"/>
    <w:rsid w:val="00552030"/>
    <w:rsid w:val="0056615A"/>
    <w:rsid w:val="00584D02"/>
    <w:rsid w:val="005A0DC9"/>
    <w:rsid w:val="005C5930"/>
    <w:rsid w:val="005D3D66"/>
    <w:rsid w:val="00611C8F"/>
    <w:rsid w:val="00621CE9"/>
    <w:rsid w:val="00643DCA"/>
    <w:rsid w:val="00646AAC"/>
    <w:rsid w:val="006D1DE3"/>
    <w:rsid w:val="006D4A7F"/>
    <w:rsid w:val="006E0AFD"/>
    <w:rsid w:val="00703581"/>
    <w:rsid w:val="0076098B"/>
    <w:rsid w:val="0076759F"/>
    <w:rsid w:val="00773078"/>
    <w:rsid w:val="007A551F"/>
    <w:rsid w:val="007B4B7C"/>
    <w:rsid w:val="007E3E59"/>
    <w:rsid w:val="007E5E5E"/>
    <w:rsid w:val="007E6AB7"/>
    <w:rsid w:val="00801BCB"/>
    <w:rsid w:val="00803A5B"/>
    <w:rsid w:val="0081474C"/>
    <w:rsid w:val="0086295C"/>
    <w:rsid w:val="00874012"/>
    <w:rsid w:val="008A2A23"/>
    <w:rsid w:val="008A7705"/>
    <w:rsid w:val="008B0D5C"/>
    <w:rsid w:val="008B1185"/>
    <w:rsid w:val="008D71A5"/>
    <w:rsid w:val="008E03E0"/>
    <w:rsid w:val="008F0274"/>
    <w:rsid w:val="009106BC"/>
    <w:rsid w:val="0091142C"/>
    <w:rsid w:val="00920816"/>
    <w:rsid w:val="00923E9B"/>
    <w:rsid w:val="009431DF"/>
    <w:rsid w:val="009502E3"/>
    <w:rsid w:val="009523B2"/>
    <w:rsid w:val="009632A9"/>
    <w:rsid w:val="00977ED4"/>
    <w:rsid w:val="00987B8C"/>
    <w:rsid w:val="0099476E"/>
    <w:rsid w:val="009F6BDC"/>
    <w:rsid w:val="00A32C9B"/>
    <w:rsid w:val="00A32D02"/>
    <w:rsid w:val="00A75776"/>
    <w:rsid w:val="00A85A30"/>
    <w:rsid w:val="00AF179B"/>
    <w:rsid w:val="00B43563"/>
    <w:rsid w:val="00B4377F"/>
    <w:rsid w:val="00B91CBA"/>
    <w:rsid w:val="00C36061"/>
    <w:rsid w:val="00C63A30"/>
    <w:rsid w:val="00C800FE"/>
    <w:rsid w:val="00CB6B17"/>
    <w:rsid w:val="00CC28FD"/>
    <w:rsid w:val="00CF7C26"/>
    <w:rsid w:val="00D25E0D"/>
    <w:rsid w:val="00D52165"/>
    <w:rsid w:val="00D52AE5"/>
    <w:rsid w:val="00E155FA"/>
    <w:rsid w:val="00E160D8"/>
    <w:rsid w:val="00E17713"/>
    <w:rsid w:val="00E230B4"/>
    <w:rsid w:val="00E72351"/>
    <w:rsid w:val="00E74B40"/>
    <w:rsid w:val="00E9259C"/>
    <w:rsid w:val="00F20D86"/>
    <w:rsid w:val="00F57DD0"/>
    <w:rsid w:val="00F76A82"/>
    <w:rsid w:val="01CA2E91"/>
    <w:rsid w:val="032644A0"/>
    <w:rsid w:val="04D93429"/>
    <w:rsid w:val="064C0635"/>
    <w:rsid w:val="06570F94"/>
    <w:rsid w:val="07E2560E"/>
    <w:rsid w:val="09B41281"/>
    <w:rsid w:val="0A8E1E5D"/>
    <w:rsid w:val="0AAE444D"/>
    <w:rsid w:val="0B920464"/>
    <w:rsid w:val="0CE9078B"/>
    <w:rsid w:val="0DF71C38"/>
    <w:rsid w:val="1178327C"/>
    <w:rsid w:val="18D41B24"/>
    <w:rsid w:val="1A7022D3"/>
    <w:rsid w:val="1E182D79"/>
    <w:rsid w:val="1FC84777"/>
    <w:rsid w:val="20CA42FF"/>
    <w:rsid w:val="218A681A"/>
    <w:rsid w:val="228D4AA6"/>
    <w:rsid w:val="23462EEB"/>
    <w:rsid w:val="2A124120"/>
    <w:rsid w:val="2A836238"/>
    <w:rsid w:val="2C635566"/>
    <w:rsid w:val="2D011444"/>
    <w:rsid w:val="2DB511FC"/>
    <w:rsid w:val="2DC2270D"/>
    <w:rsid w:val="2E724DBE"/>
    <w:rsid w:val="322F2ABA"/>
    <w:rsid w:val="32980CF7"/>
    <w:rsid w:val="330B2CB2"/>
    <w:rsid w:val="341F3FB5"/>
    <w:rsid w:val="34274551"/>
    <w:rsid w:val="34CF2262"/>
    <w:rsid w:val="36D76B67"/>
    <w:rsid w:val="373A6558"/>
    <w:rsid w:val="3D032F9C"/>
    <w:rsid w:val="3F0F1286"/>
    <w:rsid w:val="40CD4B35"/>
    <w:rsid w:val="421D08CC"/>
    <w:rsid w:val="428A08C9"/>
    <w:rsid w:val="43BC7232"/>
    <w:rsid w:val="43EC3927"/>
    <w:rsid w:val="4531036B"/>
    <w:rsid w:val="455A2143"/>
    <w:rsid w:val="468E343D"/>
    <w:rsid w:val="46AF06BB"/>
    <w:rsid w:val="47A71FED"/>
    <w:rsid w:val="47F17537"/>
    <w:rsid w:val="4BE1705A"/>
    <w:rsid w:val="503A1CF1"/>
    <w:rsid w:val="509A5777"/>
    <w:rsid w:val="50A12543"/>
    <w:rsid w:val="51E61579"/>
    <w:rsid w:val="52755D98"/>
    <w:rsid w:val="52C12B71"/>
    <w:rsid w:val="54904117"/>
    <w:rsid w:val="549D30EB"/>
    <w:rsid w:val="54D136A7"/>
    <w:rsid w:val="5A61350E"/>
    <w:rsid w:val="5BA547D7"/>
    <w:rsid w:val="5C3C104A"/>
    <w:rsid w:val="5D276CC5"/>
    <w:rsid w:val="5D9213A5"/>
    <w:rsid w:val="5D9834D6"/>
    <w:rsid w:val="5DA24FB3"/>
    <w:rsid w:val="5E171B2B"/>
    <w:rsid w:val="5E405EFC"/>
    <w:rsid w:val="60AA1007"/>
    <w:rsid w:val="60B3048D"/>
    <w:rsid w:val="612D6181"/>
    <w:rsid w:val="649D293E"/>
    <w:rsid w:val="66162927"/>
    <w:rsid w:val="67AC5AEA"/>
    <w:rsid w:val="67CF419E"/>
    <w:rsid w:val="69BE50CA"/>
    <w:rsid w:val="6A494FD9"/>
    <w:rsid w:val="6A5C7EAA"/>
    <w:rsid w:val="6C736B94"/>
    <w:rsid w:val="6D322781"/>
    <w:rsid w:val="6E3E4B85"/>
    <w:rsid w:val="6E406EFD"/>
    <w:rsid w:val="6EFE5D56"/>
    <w:rsid w:val="6F3752FB"/>
    <w:rsid w:val="72DF3516"/>
    <w:rsid w:val="738B45E1"/>
    <w:rsid w:val="74440A7E"/>
    <w:rsid w:val="761B7D09"/>
    <w:rsid w:val="7A2D1E06"/>
    <w:rsid w:val="7D017169"/>
    <w:rsid w:val="7D4277E9"/>
    <w:rsid w:val="7D85340A"/>
    <w:rsid w:val="7F190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sz w:val="21"/>
      <w:szCs w:val="22"/>
      <w:lang w:val="en-US" w:eastAsia="zh-CN" w:bidi="ar-SA"/>
    </w:rPr>
  </w:style>
  <w:style w:type="character" w:default="1" w:styleId="13">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Mangal"/>
      <w:i/>
      <w:iCs/>
      <w:sz w:val="24"/>
      <w:szCs w:val="24"/>
    </w:rPr>
  </w:style>
  <w:style w:type="paragraph" w:styleId="3">
    <w:name w:val="annotation text"/>
    <w:basedOn w:val="1"/>
    <w:link w:val="17"/>
    <w:qFormat/>
    <w:uiPriority w:val="0"/>
    <w:pPr>
      <w:jc w:val="left"/>
    </w:pPr>
    <w:rPr>
      <w:rFonts w:ascii="Times New Roman" w:hAnsi="Times New Roman"/>
      <w:szCs w:val="24"/>
    </w:rPr>
  </w:style>
  <w:style w:type="paragraph" w:styleId="4">
    <w:name w:val="Body Text"/>
    <w:basedOn w:val="1"/>
    <w:qFormat/>
    <w:uiPriority w:val="0"/>
    <w:pPr>
      <w:spacing w:after="140" w:line="288" w:lineRule="auto"/>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00000A" w:sz="6" w:space="1"/>
      </w:pBdr>
      <w:tabs>
        <w:tab w:val="center" w:pos="4153"/>
        <w:tab w:val="right" w:pos="8306"/>
      </w:tabs>
      <w:snapToGrid w:val="0"/>
      <w:jc w:val="center"/>
    </w:pPr>
    <w:rPr>
      <w:sz w:val="18"/>
      <w:szCs w:val="18"/>
    </w:rPr>
  </w:style>
  <w:style w:type="paragraph" w:styleId="8">
    <w:name w:val="List"/>
    <w:basedOn w:val="4"/>
    <w:qFormat/>
    <w:uiPriority w:val="0"/>
    <w:rPr>
      <w:rFonts w:cs="Mangal"/>
    </w:rPr>
  </w:style>
  <w:style w:type="paragraph" w:styleId="9">
    <w:name w:val="Normal (Web)"/>
    <w:basedOn w:val="1"/>
    <w:unhideWhenUsed/>
    <w:qFormat/>
    <w:uiPriority w:val="99"/>
    <w:pPr>
      <w:widowControl/>
      <w:spacing w:beforeAutospacing="1" w:afterAutospacing="1"/>
      <w:jc w:val="left"/>
    </w:pPr>
    <w:rPr>
      <w:rFonts w:ascii="宋体" w:hAnsi="宋体" w:cs="宋体"/>
      <w:sz w:val="24"/>
      <w:szCs w:val="24"/>
    </w:rPr>
  </w:style>
  <w:style w:type="paragraph" w:styleId="10">
    <w:name w:val="Title"/>
    <w:basedOn w:val="1"/>
    <w:next w:val="1"/>
    <w:link w:val="16"/>
    <w:qFormat/>
    <w:uiPriority w:val="0"/>
    <w:pPr>
      <w:spacing w:before="240" w:after="60"/>
      <w:jc w:val="center"/>
      <w:outlineLvl w:val="0"/>
    </w:pPr>
    <w:rPr>
      <w:rFonts w:asciiTheme="majorHAnsi" w:hAnsiTheme="majorHAnsi" w:cstheme="majorBidi"/>
      <w:b/>
      <w:bCs/>
      <w:sz w:val="32"/>
      <w:szCs w:val="32"/>
    </w:rPr>
  </w:style>
  <w:style w:type="table" w:styleId="12">
    <w:name w:val="Table Grid"/>
    <w:basedOn w:val="11"/>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4">
    <w:name w:val="annotation reference"/>
    <w:basedOn w:val="13"/>
    <w:qFormat/>
    <w:uiPriority w:val="0"/>
    <w:rPr>
      <w:sz w:val="21"/>
      <w:szCs w:val="21"/>
    </w:rPr>
  </w:style>
  <w:style w:type="character" w:customStyle="1" w:styleId="15">
    <w:name w:val="页眉 Char"/>
    <w:basedOn w:val="13"/>
    <w:link w:val="7"/>
    <w:qFormat/>
    <w:uiPriority w:val="0"/>
    <w:rPr>
      <w:sz w:val="18"/>
      <w:szCs w:val="18"/>
    </w:rPr>
  </w:style>
  <w:style w:type="character" w:customStyle="1" w:styleId="16">
    <w:name w:val="标题 Char"/>
    <w:basedOn w:val="13"/>
    <w:link w:val="10"/>
    <w:qFormat/>
    <w:uiPriority w:val="0"/>
    <w:rPr>
      <w:sz w:val="18"/>
      <w:szCs w:val="18"/>
    </w:rPr>
  </w:style>
  <w:style w:type="character" w:customStyle="1" w:styleId="17">
    <w:name w:val="批注文字 Char"/>
    <w:basedOn w:val="13"/>
    <w:link w:val="3"/>
    <w:qFormat/>
    <w:uiPriority w:val="0"/>
    <w:rPr>
      <w:rFonts w:asciiTheme="majorHAnsi" w:hAnsiTheme="majorHAnsi" w:cstheme="majorBidi"/>
      <w:b/>
      <w:bCs/>
      <w:sz w:val="32"/>
      <w:szCs w:val="32"/>
    </w:rPr>
  </w:style>
  <w:style w:type="character" w:customStyle="1" w:styleId="18">
    <w:name w:val="批注框文本 Char1"/>
    <w:basedOn w:val="13"/>
    <w:link w:val="5"/>
    <w:qFormat/>
    <w:uiPriority w:val="0"/>
    <w:rPr>
      <w:sz w:val="21"/>
      <w:szCs w:val="24"/>
    </w:rPr>
  </w:style>
  <w:style w:type="character" w:customStyle="1" w:styleId="19">
    <w:name w:val="批注框文本 Char"/>
    <w:basedOn w:val="13"/>
    <w:qFormat/>
    <w:uiPriority w:val="0"/>
    <w:rPr>
      <w:rFonts w:ascii="Calibri" w:hAnsi="Calibri"/>
      <w:sz w:val="18"/>
      <w:szCs w:val="18"/>
    </w:rPr>
  </w:style>
  <w:style w:type="character" w:customStyle="1" w:styleId="20">
    <w:name w:val="ListLabel 1"/>
    <w:qFormat/>
    <w:uiPriority w:val="0"/>
    <w:rPr>
      <w:color w:val="00000A"/>
    </w:rPr>
  </w:style>
  <w:style w:type="paragraph" w:customStyle="1" w:styleId="21">
    <w:name w:val="标题样式"/>
    <w:basedOn w:val="1"/>
    <w:next w:val="4"/>
    <w:qFormat/>
    <w:uiPriority w:val="0"/>
    <w:pPr>
      <w:keepNext/>
      <w:spacing w:before="240" w:after="120"/>
    </w:pPr>
    <w:rPr>
      <w:rFonts w:ascii="Arial" w:hAnsi="Arial" w:eastAsia="微软雅黑" w:cs="Mangal"/>
      <w:sz w:val="28"/>
      <w:szCs w:val="28"/>
    </w:rPr>
  </w:style>
  <w:style w:type="paragraph" w:customStyle="1" w:styleId="22">
    <w:name w:val="索引"/>
    <w:basedOn w:val="1"/>
    <w:qFormat/>
    <w:uiPriority w:val="0"/>
    <w:pPr>
      <w:suppressLineNumbers/>
    </w:pPr>
    <w:rPr>
      <w:rFonts w:cs="Mangal"/>
    </w:rPr>
  </w:style>
  <w:style w:type="paragraph" w:styleId="23">
    <w:name w:val="List Paragraph"/>
    <w:basedOn w:val="1"/>
    <w:qFormat/>
    <w:uiPriority w:val="34"/>
    <w:pPr>
      <w:ind w:firstLine="420"/>
    </w:pPr>
  </w:style>
  <w:style w:type="paragraph" w:customStyle="1" w:styleId="24">
    <w:name w:val="正文 A"/>
    <w:qFormat/>
    <w:uiPriority w:val="0"/>
    <w:pPr>
      <w:widowControl w:val="0"/>
      <w:jc w:val="both"/>
    </w:pPr>
    <w:rPr>
      <w:rFonts w:hint="eastAsia" w:ascii="Arial Unicode MS" w:hAnsi="Arial Unicode MS" w:eastAsia="宋体"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13</Pages>
  <Words>971</Words>
  <Characters>5541</Characters>
  <Lines>46</Lines>
  <Paragraphs>12</Paragraphs>
  <TotalTime>66</TotalTime>
  <ScaleCrop>false</ScaleCrop>
  <LinksUpToDate>false</LinksUpToDate>
  <CharactersWithSpaces>6500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2019-06-21T13:40:00Z</dcterms:created>
  <dc:creator>黄荷</dc:creator>
  <cp:lastModifiedBy>小荷荷</cp:lastModifiedBy>
  <dcterms:modified xsi:type="dcterms:W3CDTF">2019-09-05T01:58:24Z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Sky123.Org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2052-11.1.0.8976</vt:lpwstr>
  </property>
</Properties>
</file>