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贵州省涉金融业务登记会商关键字清单</w:t>
      </w:r>
    </w:p>
    <w:bookmarkEnd w:id="0"/>
    <w:tbl>
      <w:tblPr>
        <w:tblStyle w:val="3"/>
        <w:tblpPr w:leftFromText="180" w:rightFromText="180" w:vertAnchor="text" w:horzAnchor="page" w:tblpXSpec="center" w:tblpY="9"/>
        <w:tblOverlap w:val="never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793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字样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金融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人民银行贵阳中心支行、贵州银保监局、贵州证监局、省地方金融监管局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理财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财富管理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支付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人民银行贵阳中心支行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征信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外汇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汇兑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结售汇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货币兑换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金控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融资咨询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贵州银保监局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非融资性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互联网保险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贷款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资本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贵州证监局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资产管理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基金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股权众筹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网贷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省地方金融监管局、贵州银保监局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P2P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借贷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投资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省地方金融监管局、贵州证监局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融资租赁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融资担保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小额贷款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典当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商业保理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股权市场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股权交易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社会众筹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交易中心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交易所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财务咨询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财税咨询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债事</w:t>
            </w:r>
          </w:p>
        </w:tc>
        <w:tc>
          <w:tcPr>
            <w:tcW w:w="40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债式、融资、非金融性、资产、基金管理、众筹、贷、贷款咨询、投资管理、投资咨询、交易场所、财税、保险、自保、证券、信托、财务公司、金融租赁、汽车金融、货币经纪、消费金融、网络借贷、股权交易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请对本行前列字样是否归类纳入登记会商范围进行明确。如需纳入，请研提分工意见。若需纳入但无明确分工的，则参照备注第二条，由金融“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”部门共同会商。</w:t>
            </w:r>
          </w:p>
        </w:tc>
      </w:tr>
    </w:tbl>
    <w:p>
      <w:r>
        <w:rPr>
          <w:rFonts w:hint="eastAsia"/>
          <w:sz w:val="15"/>
          <w:szCs w:val="15"/>
        </w:rPr>
        <w:t>备注：除以上字样外，</w:t>
      </w:r>
      <w:r>
        <w:rPr>
          <w:rFonts w:hint="eastAsia"/>
          <w:sz w:val="15"/>
          <w:szCs w:val="15"/>
          <w:lang w:eastAsia="zh-CN"/>
        </w:rPr>
        <w:t>一是</w:t>
      </w:r>
      <w:r>
        <w:rPr>
          <w:rFonts w:hint="eastAsia"/>
          <w:sz w:val="15"/>
          <w:szCs w:val="15"/>
        </w:rPr>
        <w:t>所有私募机构均由贵州证监局进行会商</w:t>
      </w:r>
      <w:r>
        <w:rPr>
          <w:rFonts w:hint="eastAsia"/>
          <w:sz w:val="15"/>
          <w:szCs w:val="15"/>
          <w:lang w:eastAsia="zh-CN"/>
        </w:rPr>
        <w:t>；二是无明确分工的字样，“</w:t>
      </w:r>
      <w:r>
        <w:rPr>
          <w:rFonts w:hint="eastAsia"/>
          <w:sz w:val="15"/>
          <w:szCs w:val="15"/>
          <w:lang w:val="en-US" w:eastAsia="zh-CN"/>
        </w:rPr>
        <w:t>4</w:t>
      </w:r>
      <w:r>
        <w:rPr>
          <w:rFonts w:hint="eastAsia"/>
          <w:sz w:val="15"/>
          <w:szCs w:val="15"/>
          <w:lang w:eastAsia="zh-CN"/>
        </w:rPr>
        <w:t>”部门均应参与共同会商。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27C3D"/>
    <w:rsid w:val="1CB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2022-04-21T03:36:00Z</dcterms:created>
  <dc:creator>zjl</dc:creator>
  <cp:lastModifiedBy>zjl</cp:lastModifiedBy>
  <dcterms:modified xsi:type="dcterms:W3CDTF">2022-04-21T03:36:32Z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08521E1509594FA1A471849BFCE13BFA</vt:lpwstr>
  </property>
</Properties>
</file>