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ascii="方正小标宋_GBK" w:hAnsi="方正小标宋_GBK" w:eastAsia="方正小标宋_GBK" w:cs="方正小标宋_GBK"/>
          <w:color w:val="000000"/>
          <w:sz w:val="32"/>
          <w:szCs w:val="32"/>
        </w:rPr>
      </w:pPr>
      <w:r>
        <w:rPr>
          <w:rFonts w:hint="eastAsia" w:ascii="方正小标宋_GBK" w:hAnsi="方正小标宋_GBK" w:eastAsia="方正小标宋_GBK" w:cs="方正小标宋_GBK"/>
          <w:color w:val="000000"/>
          <w:sz w:val="32"/>
          <w:szCs w:val="32"/>
        </w:rPr>
        <w:t>贵州省衬衫产品质量监督抽查实施细则</w:t>
      </w:r>
    </w:p>
    <w:p>
      <w:pPr>
        <w:adjustRightInd w:val="0"/>
        <w:snapToGrid w:val="0"/>
        <w:spacing w:line="594" w:lineRule="exact"/>
        <w:jc w:val="center"/>
        <w:rPr>
          <w:rFonts w:eastAsia="方正小标宋简体" w:cs="方正仿宋简体"/>
          <w:color w:val="000000"/>
          <w:sz w:val="32"/>
          <w:szCs w:val="32"/>
        </w:rPr>
      </w:pPr>
      <w:r>
        <w:rPr>
          <w:rFonts w:hint="eastAsia" w:ascii="方正小标宋_GBK" w:hAnsi="方正小标宋_GBK" w:eastAsia="方正小标宋_GBK" w:cs="方正小标宋_GBK"/>
          <w:color w:val="000000"/>
          <w:sz w:val="32"/>
          <w:szCs w:val="32"/>
        </w:rPr>
        <w:t>（202</w:t>
      </w:r>
      <w:r>
        <w:rPr>
          <w:rFonts w:hint="eastAsia" w:ascii="方正小标宋_GBK" w:hAnsi="方正小标宋_GBK" w:eastAsia="方正小标宋_GBK" w:cs="方正小标宋_GBK"/>
          <w:color w:val="000000"/>
          <w:sz w:val="32"/>
          <w:szCs w:val="32"/>
          <w:lang w:val="en-US" w:eastAsia="zh-CN"/>
        </w:rPr>
        <w:t>2</w:t>
      </w:r>
      <w:r>
        <w:rPr>
          <w:rFonts w:hint="eastAsia" w:ascii="方正小标宋_GBK" w:hAnsi="方正小标宋_GBK" w:eastAsia="方正小标宋_GBK" w:cs="方正小标宋_GBK"/>
          <w:color w:val="000000"/>
          <w:sz w:val="32"/>
          <w:szCs w:val="32"/>
        </w:rPr>
        <w:t>年版）</w:t>
      </w:r>
    </w:p>
    <w:p>
      <w:pPr>
        <w:adjustRightInd w:val="0"/>
        <w:snapToGrid w:val="0"/>
        <w:spacing w:line="594" w:lineRule="exact"/>
        <w:jc w:val="center"/>
        <w:rPr>
          <w:rFonts w:eastAsia="方正小标宋简体" w:cs="方正仿宋简体"/>
          <w:color w:val="000000"/>
          <w:sz w:val="32"/>
          <w:szCs w:val="32"/>
        </w:rPr>
      </w:pPr>
    </w:p>
    <w:p>
      <w:pPr>
        <w:adjustRightInd w:val="0"/>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1 抽样方法</w:t>
      </w:r>
    </w:p>
    <w:p>
      <w:pPr>
        <w:adjustRightInd w:val="0"/>
        <w:snapToGrid w:val="0"/>
        <w:spacing w:line="440" w:lineRule="exact"/>
        <w:ind w:firstLine="420" w:firstLineChars="200"/>
        <w:rPr>
          <w:color w:val="000000"/>
          <w:szCs w:val="21"/>
        </w:rPr>
      </w:pPr>
      <w:r>
        <w:rPr>
          <w:rFonts w:hint="eastAsia"/>
          <w:color w:val="000000"/>
          <w:szCs w:val="21"/>
        </w:rPr>
        <w:t>以随机抽样的方式在被抽样生产者、销售者的待销产品中抽取。</w:t>
      </w:r>
    </w:p>
    <w:p>
      <w:pPr>
        <w:adjustRightInd w:val="0"/>
        <w:snapToGrid w:val="0"/>
        <w:spacing w:line="440" w:lineRule="exact"/>
        <w:ind w:firstLine="420" w:firstLineChars="200"/>
        <w:rPr>
          <w:color w:val="000000"/>
          <w:szCs w:val="21"/>
        </w:rPr>
      </w:pPr>
      <w:r>
        <w:rPr>
          <w:rFonts w:hint="eastAsia"/>
          <w:color w:val="000000"/>
          <w:szCs w:val="21"/>
        </w:rPr>
        <w:t>随机数一般可使用随机数表等方法产生。</w:t>
      </w:r>
    </w:p>
    <w:p>
      <w:pPr>
        <w:adjustRightInd w:val="0"/>
        <w:snapToGrid w:val="0"/>
        <w:spacing w:line="440" w:lineRule="exact"/>
        <w:ind w:firstLine="420" w:firstLineChars="200"/>
        <w:rPr>
          <w:color w:val="000000"/>
          <w:szCs w:val="21"/>
        </w:rPr>
      </w:pPr>
      <w:r>
        <w:rPr>
          <w:rFonts w:hint="eastAsia"/>
          <w:color w:val="000000"/>
          <w:szCs w:val="21"/>
        </w:rPr>
        <w:t>每批次产品抽取样品2件（条、套），其中1件（条、套）作为检验样品，1件（条、套）作为备用样品。</w:t>
      </w:r>
    </w:p>
    <w:p>
      <w:pPr>
        <w:adjustRightInd w:val="0"/>
        <w:snapToGrid w:val="0"/>
        <w:spacing w:line="440" w:lineRule="exact"/>
        <w:rPr>
          <w:color w:val="000000"/>
          <w:szCs w:val="21"/>
        </w:rPr>
      </w:pPr>
    </w:p>
    <w:p>
      <w:pPr>
        <w:adjustRightInd w:val="0"/>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2 检验依据</w:t>
      </w:r>
    </w:p>
    <w:p>
      <w:pPr>
        <w:adjustRightInd w:val="0"/>
        <w:snapToGrid w:val="0"/>
        <w:rPr>
          <w:rFonts w:eastAsia="黑体"/>
          <w:color w:val="000000"/>
          <w:szCs w:val="21"/>
        </w:rPr>
      </w:pP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4"/>
        <w:gridCol w:w="3468"/>
        <w:gridCol w:w="4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blHeader/>
          <w:jc w:val="center"/>
        </w:trPr>
        <w:tc>
          <w:tcPr>
            <w:tcW w:w="711" w:type="pct"/>
            <w:vAlign w:val="center"/>
          </w:tcPr>
          <w:p>
            <w:pPr>
              <w:adjustRightInd w:val="0"/>
              <w:snapToGrid w:val="0"/>
              <w:spacing w:line="440" w:lineRule="exact"/>
              <w:jc w:val="center"/>
              <w:rPr>
                <w:rFonts w:ascii="Times New Roman" w:hAnsi="Times New Roman"/>
                <w:bCs/>
                <w:color w:val="000000"/>
                <w:szCs w:val="21"/>
              </w:rPr>
            </w:pPr>
            <w:r>
              <w:rPr>
                <w:rFonts w:hint="eastAsia" w:ascii="Times New Roman" w:hAnsi="Times New Roman"/>
                <w:bCs/>
                <w:color w:val="000000"/>
                <w:szCs w:val="21"/>
              </w:rPr>
              <w:t>序号</w:t>
            </w:r>
          </w:p>
        </w:tc>
        <w:tc>
          <w:tcPr>
            <w:tcW w:w="1890" w:type="pct"/>
            <w:vAlign w:val="center"/>
          </w:tcPr>
          <w:p>
            <w:pPr>
              <w:adjustRightInd w:val="0"/>
              <w:snapToGrid w:val="0"/>
              <w:spacing w:line="440" w:lineRule="exact"/>
              <w:jc w:val="center"/>
              <w:rPr>
                <w:rFonts w:ascii="Times New Roman" w:hAnsi="Times New Roman"/>
                <w:bCs/>
                <w:color w:val="000000"/>
                <w:szCs w:val="21"/>
              </w:rPr>
            </w:pPr>
            <w:r>
              <w:rPr>
                <w:rFonts w:hint="eastAsia" w:ascii="Times New Roman" w:hAnsi="Times New Roman"/>
                <w:bCs/>
                <w:color w:val="000000"/>
                <w:szCs w:val="21"/>
              </w:rPr>
              <w:t>检验项目</w:t>
            </w:r>
          </w:p>
        </w:tc>
        <w:tc>
          <w:tcPr>
            <w:tcW w:w="2399" w:type="pct"/>
            <w:vAlign w:val="center"/>
          </w:tcPr>
          <w:p>
            <w:pPr>
              <w:adjustRightInd w:val="0"/>
              <w:snapToGrid w:val="0"/>
              <w:spacing w:line="440" w:lineRule="exact"/>
              <w:jc w:val="center"/>
              <w:rPr>
                <w:rFonts w:ascii="Times New Roman" w:hAnsi="Times New Roman"/>
                <w:bCs/>
                <w:color w:val="000000"/>
                <w:szCs w:val="21"/>
              </w:rPr>
            </w:pPr>
            <w:r>
              <w:rPr>
                <w:rFonts w:hint="eastAsia" w:ascii="Times New Roman" w:hAnsi="Times New Roman"/>
                <w:bCs/>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1</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甲醛含量</w:t>
            </w:r>
          </w:p>
        </w:tc>
        <w:tc>
          <w:tcPr>
            <w:tcW w:w="2399"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2</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pH值</w:t>
            </w:r>
          </w:p>
        </w:tc>
        <w:tc>
          <w:tcPr>
            <w:tcW w:w="2399"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3</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可分解致癌芳香胺染料</w:t>
            </w:r>
          </w:p>
        </w:tc>
        <w:tc>
          <w:tcPr>
            <w:tcW w:w="2399"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GB/T 17592-2011</w:t>
            </w:r>
          </w:p>
          <w:p>
            <w:pPr>
              <w:adjustRightInd w:val="0"/>
              <w:snapToGrid w:val="0"/>
              <w:jc w:val="center"/>
              <w:rPr>
                <w:rFonts w:ascii="Times New Roman" w:hAnsi="Times New Roman"/>
                <w:color w:val="000000"/>
                <w:szCs w:val="21"/>
              </w:rPr>
            </w:pPr>
            <w:r>
              <w:rPr>
                <w:rFonts w:ascii="Times New Roman" w:hAnsi="Times New Roman"/>
                <w:color w:val="000000"/>
                <w:szCs w:val="21"/>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4</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耐水色牢度</w:t>
            </w:r>
          </w:p>
        </w:tc>
        <w:tc>
          <w:tcPr>
            <w:tcW w:w="2399"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5</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耐酸汗渍色牢度</w:t>
            </w:r>
          </w:p>
        </w:tc>
        <w:tc>
          <w:tcPr>
            <w:tcW w:w="2399"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6</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耐碱汗渍色牢度</w:t>
            </w:r>
          </w:p>
        </w:tc>
        <w:tc>
          <w:tcPr>
            <w:tcW w:w="2399"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7</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耐干摩擦色牢度</w:t>
            </w:r>
          </w:p>
        </w:tc>
        <w:tc>
          <w:tcPr>
            <w:tcW w:w="2399"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8</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纤维含量</w:t>
            </w:r>
          </w:p>
        </w:tc>
        <w:tc>
          <w:tcPr>
            <w:tcW w:w="2399"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FZ/T 01057.1-2007</w:t>
            </w:r>
          </w:p>
          <w:p>
            <w:pPr>
              <w:adjustRightInd w:val="0"/>
              <w:snapToGrid w:val="0"/>
              <w:jc w:val="center"/>
              <w:rPr>
                <w:rFonts w:ascii="Times New Roman" w:hAnsi="Times New Roman"/>
                <w:color w:val="000000"/>
                <w:szCs w:val="21"/>
              </w:rPr>
            </w:pPr>
            <w:r>
              <w:rPr>
                <w:rFonts w:ascii="Times New Roman" w:hAnsi="Times New Roman"/>
                <w:color w:val="000000"/>
                <w:szCs w:val="21"/>
              </w:rPr>
              <w:t>FZ/T 01057.2-2007</w:t>
            </w:r>
          </w:p>
          <w:p>
            <w:pPr>
              <w:adjustRightInd w:val="0"/>
              <w:snapToGrid w:val="0"/>
              <w:jc w:val="center"/>
              <w:rPr>
                <w:rFonts w:ascii="Times New Roman" w:hAnsi="Times New Roman"/>
                <w:color w:val="000000"/>
                <w:szCs w:val="21"/>
              </w:rPr>
            </w:pPr>
            <w:r>
              <w:rPr>
                <w:rFonts w:ascii="Times New Roman" w:hAnsi="Times New Roman"/>
                <w:color w:val="000000"/>
                <w:szCs w:val="21"/>
              </w:rPr>
              <w:t>FZ/T 01057.3-2007</w:t>
            </w:r>
          </w:p>
          <w:p>
            <w:pPr>
              <w:adjustRightInd w:val="0"/>
              <w:snapToGrid w:val="0"/>
              <w:jc w:val="center"/>
              <w:rPr>
                <w:rFonts w:ascii="Times New Roman" w:hAnsi="Times New Roman"/>
                <w:color w:val="000000"/>
                <w:szCs w:val="21"/>
              </w:rPr>
            </w:pPr>
            <w:r>
              <w:rPr>
                <w:rFonts w:ascii="Times New Roman" w:hAnsi="Times New Roman"/>
                <w:color w:val="000000"/>
                <w:szCs w:val="21"/>
              </w:rPr>
              <w:t>FZ/T 01057.4-2007</w:t>
            </w:r>
          </w:p>
          <w:p>
            <w:pPr>
              <w:adjustRightInd w:val="0"/>
              <w:snapToGrid w:val="0"/>
              <w:jc w:val="center"/>
              <w:rPr>
                <w:rFonts w:ascii="Times New Roman" w:hAnsi="Times New Roman"/>
                <w:color w:val="000000"/>
                <w:szCs w:val="21"/>
              </w:rPr>
            </w:pPr>
            <w:r>
              <w:rPr>
                <w:rFonts w:ascii="Times New Roman" w:hAnsi="Times New Roman"/>
                <w:color w:val="000000"/>
                <w:szCs w:val="21"/>
              </w:rPr>
              <w:t>GB/T 2910.1-2009</w:t>
            </w:r>
          </w:p>
          <w:p>
            <w:pPr>
              <w:adjustRightInd w:val="0"/>
              <w:snapToGrid w:val="0"/>
              <w:jc w:val="center"/>
              <w:rPr>
                <w:rFonts w:ascii="Times New Roman" w:hAnsi="Times New Roman"/>
                <w:color w:val="000000"/>
                <w:szCs w:val="21"/>
              </w:rPr>
            </w:pPr>
            <w:r>
              <w:rPr>
                <w:rFonts w:ascii="Times New Roman" w:hAnsi="Times New Roman"/>
                <w:color w:val="000000"/>
                <w:szCs w:val="21"/>
              </w:rPr>
              <w:t>GB/T 2910.2-2009</w:t>
            </w:r>
          </w:p>
          <w:p>
            <w:pPr>
              <w:adjustRightInd w:val="0"/>
              <w:snapToGrid w:val="0"/>
              <w:jc w:val="center"/>
              <w:rPr>
                <w:rFonts w:ascii="Times New Roman" w:hAnsi="Times New Roman"/>
                <w:color w:val="000000"/>
                <w:szCs w:val="21"/>
              </w:rPr>
            </w:pPr>
            <w:r>
              <w:rPr>
                <w:rFonts w:ascii="Times New Roman" w:hAnsi="Times New Roman"/>
                <w:color w:val="000000"/>
                <w:szCs w:val="21"/>
              </w:rPr>
              <w:t>GB/T 2910.3-2009</w:t>
            </w:r>
          </w:p>
          <w:p>
            <w:pPr>
              <w:adjustRightInd w:val="0"/>
              <w:snapToGrid w:val="0"/>
              <w:jc w:val="center"/>
              <w:rPr>
                <w:rFonts w:ascii="Times New Roman" w:hAnsi="Times New Roman"/>
                <w:color w:val="000000"/>
                <w:szCs w:val="21"/>
              </w:rPr>
            </w:pPr>
            <w:r>
              <w:rPr>
                <w:rFonts w:ascii="Times New Roman" w:hAnsi="Times New Roman"/>
                <w:color w:val="000000"/>
                <w:szCs w:val="21"/>
              </w:rPr>
              <w:t>GB/T 2910.4-2009</w:t>
            </w:r>
          </w:p>
          <w:p>
            <w:pPr>
              <w:adjustRightInd w:val="0"/>
              <w:snapToGrid w:val="0"/>
              <w:jc w:val="center"/>
              <w:rPr>
                <w:rFonts w:ascii="Times New Roman" w:hAnsi="Times New Roman"/>
                <w:color w:val="000000"/>
                <w:szCs w:val="21"/>
              </w:rPr>
            </w:pPr>
            <w:r>
              <w:rPr>
                <w:rFonts w:ascii="Times New Roman" w:hAnsi="Times New Roman"/>
                <w:color w:val="000000"/>
                <w:szCs w:val="21"/>
              </w:rPr>
              <w:t>GB/T 2910.6-2009</w:t>
            </w:r>
          </w:p>
          <w:p>
            <w:pPr>
              <w:adjustRightInd w:val="0"/>
              <w:snapToGrid w:val="0"/>
              <w:jc w:val="center"/>
              <w:rPr>
                <w:rFonts w:ascii="Times New Roman" w:hAnsi="Times New Roman"/>
                <w:color w:val="000000"/>
                <w:szCs w:val="21"/>
              </w:rPr>
            </w:pPr>
            <w:r>
              <w:rPr>
                <w:rFonts w:ascii="Times New Roman" w:hAnsi="Times New Roman"/>
                <w:color w:val="000000"/>
                <w:szCs w:val="21"/>
              </w:rPr>
              <w:t>GB/T 2910.7-2009</w:t>
            </w:r>
          </w:p>
          <w:p>
            <w:pPr>
              <w:adjustRightInd w:val="0"/>
              <w:snapToGrid w:val="0"/>
              <w:jc w:val="center"/>
              <w:rPr>
                <w:rFonts w:ascii="Times New Roman" w:hAnsi="Times New Roman"/>
                <w:color w:val="000000"/>
                <w:szCs w:val="21"/>
              </w:rPr>
            </w:pPr>
            <w:r>
              <w:rPr>
                <w:rFonts w:ascii="Times New Roman" w:hAnsi="Times New Roman"/>
                <w:color w:val="000000"/>
                <w:szCs w:val="21"/>
              </w:rPr>
              <w:t>GB/T 2910.8-2009</w:t>
            </w:r>
          </w:p>
          <w:p>
            <w:pPr>
              <w:adjustRightInd w:val="0"/>
              <w:snapToGrid w:val="0"/>
              <w:jc w:val="center"/>
              <w:rPr>
                <w:rFonts w:ascii="Times New Roman" w:hAnsi="Times New Roman"/>
                <w:color w:val="000000"/>
                <w:szCs w:val="21"/>
              </w:rPr>
            </w:pPr>
            <w:r>
              <w:rPr>
                <w:rFonts w:ascii="Times New Roman" w:hAnsi="Times New Roman"/>
                <w:color w:val="000000"/>
                <w:szCs w:val="21"/>
              </w:rPr>
              <w:t>GB/T 2910.11-2009</w:t>
            </w:r>
          </w:p>
          <w:p>
            <w:pPr>
              <w:adjustRightInd w:val="0"/>
              <w:snapToGrid w:val="0"/>
              <w:jc w:val="center"/>
              <w:rPr>
                <w:rFonts w:ascii="Times New Roman" w:hAnsi="Times New Roman"/>
                <w:color w:val="000000"/>
                <w:szCs w:val="21"/>
              </w:rPr>
            </w:pPr>
            <w:r>
              <w:rPr>
                <w:rFonts w:ascii="Times New Roman" w:hAnsi="Times New Roman"/>
                <w:color w:val="000000"/>
                <w:szCs w:val="21"/>
              </w:rPr>
              <w:t>GB/T 2910.12-2009</w:t>
            </w:r>
          </w:p>
          <w:p>
            <w:pPr>
              <w:adjustRightInd w:val="0"/>
              <w:snapToGrid w:val="0"/>
              <w:jc w:val="center"/>
              <w:rPr>
                <w:rFonts w:ascii="Times New Roman" w:hAnsi="Times New Roman"/>
                <w:color w:val="000000"/>
                <w:szCs w:val="21"/>
              </w:rPr>
            </w:pPr>
            <w:r>
              <w:rPr>
                <w:rFonts w:ascii="Times New Roman" w:hAnsi="Times New Roman"/>
                <w:color w:val="000000"/>
                <w:szCs w:val="21"/>
              </w:rPr>
              <w:t>GB/T 2910.20-2009</w:t>
            </w:r>
          </w:p>
          <w:p>
            <w:pPr>
              <w:adjustRightInd w:val="0"/>
              <w:snapToGrid w:val="0"/>
              <w:jc w:val="center"/>
              <w:rPr>
                <w:rFonts w:ascii="Times New Roman" w:hAnsi="Times New Roman"/>
                <w:color w:val="000000"/>
                <w:szCs w:val="21"/>
              </w:rPr>
            </w:pPr>
            <w:r>
              <w:rPr>
                <w:rFonts w:ascii="Times New Roman" w:hAnsi="Times New Roman"/>
                <w:color w:val="000000"/>
                <w:szCs w:val="21"/>
              </w:rPr>
              <w:t>FZ/T 01101-2008</w:t>
            </w:r>
          </w:p>
          <w:p>
            <w:pPr>
              <w:adjustRightInd w:val="0"/>
              <w:snapToGrid w:val="0"/>
              <w:jc w:val="center"/>
              <w:rPr>
                <w:rFonts w:ascii="Times New Roman" w:hAnsi="Times New Roman"/>
                <w:color w:val="000000"/>
                <w:szCs w:val="21"/>
              </w:rPr>
            </w:pPr>
            <w:r>
              <w:rPr>
                <w:rFonts w:ascii="Times New Roman" w:hAnsi="Times New Roman"/>
                <w:color w:val="000000"/>
                <w:szCs w:val="21"/>
              </w:rPr>
              <w:t>FZ/T 01026-2017</w:t>
            </w:r>
          </w:p>
          <w:p>
            <w:pPr>
              <w:adjustRightInd w:val="0"/>
              <w:snapToGrid w:val="0"/>
              <w:jc w:val="center"/>
              <w:rPr>
                <w:rFonts w:ascii="Times New Roman" w:hAnsi="Times New Roman"/>
                <w:color w:val="000000"/>
                <w:szCs w:val="21"/>
              </w:rPr>
            </w:pPr>
            <w:r>
              <w:rPr>
                <w:rFonts w:ascii="Times New Roman" w:hAnsi="Times New Roman"/>
                <w:color w:val="000000"/>
                <w:szCs w:val="21"/>
              </w:rPr>
              <w:t>GB/T 38015-2019</w:t>
            </w:r>
          </w:p>
          <w:p>
            <w:pPr>
              <w:adjustRightInd w:val="0"/>
              <w:snapToGrid w:val="0"/>
              <w:jc w:val="center"/>
              <w:rPr>
                <w:rFonts w:ascii="Times New Roman" w:hAnsi="Times New Roman"/>
                <w:color w:val="000000"/>
                <w:szCs w:val="21"/>
              </w:rPr>
            </w:pPr>
            <w:r>
              <w:rPr>
                <w:rFonts w:ascii="Times New Roman" w:hAnsi="Times New Roman"/>
                <w:color w:val="000000"/>
                <w:szCs w:val="21"/>
              </w:rPr>
              <w:t>FZ/T 30003-2009</w:t>
            </w:r>
          </w:p>
        </w:tc>
      </w:tr>
    </w:tbl>
    <w:p>
      <w:pPr>
        <w:adjustRightInd w:val="0"/>
        <w:snapToGrid w:val="0"/>
        <w:spacing w:line="440" w:lineRule="exact"/>
        <w:ind w:firstLine="420" w:firstLineChars="200"/>
        <w:rPr>
          <w:color w:val="000000"/>
          <w:szCs w:val="21"/>
        </w:rPr>
      </w:pPr>
      <w:r>
        <w:rPr>
          <w:rFonts w:hint="eastAsia"/>
          <w:color w:val="000000"/>
          <w:szCs w:val="21"/>
        </w:rPr>
        <w:t>执行企业标准、团体标准、地方标准的产品，检验项目参照上述内容执行。</w:t>
      </w:r>
    </w:p>
    <w:p>
      <w:pPr>
        <w:adjustRightInd w:val="0"/>
        <w:snapToGrid w:val="0"/>
        <w:spacing w:line="440" w:lineRule="exact"/>
        <w:ind w:firstLine="420" w:firstLineChars="200"/>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pPr>
        <w:adjustRightInd w:val="0"/>
        <w:snapToGrid w:val="0"/>
        <w:spacing w:line="440" w:lineRule="exact"/>
        <w:ind w:firstLine="420" w:firstLineChars="200"/>
        <w:rPr>
          <w:color w:val="000000"/>
          <w:szCs w:val="21"/>
        </w:rPr>
      </w:pPr>
    </w:p>
    <w:p>
      <w:pPr>
        <w:adjustRightInd w:val="0"/>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3 判定规则</w:t>
      </w:r>
    </w:p>
    <w:p>
      <w:pPr>
        <w:adjustRightInd w:val="0"/>
        <w:snapToGrid w:val="0"/>
        <w:spacing w:line="440" w:lineRule="exact"/>
        <w:rPr>
          <w:rFonts w:ascii="Times New Roman" w:hAnsi="Times New Roman"/>
          <w:color w:val="000000"/>
          <w:szCs w:val="21"/>
        </w:rPr>
      </w:pPr>
      <w:r>
        <w:rPr>
          <w:rFonts w:ascii="Times New Roman" w:hAnsi="Times New Roman"/>
          <w:color w:val="000000"/>
          <w:szCs w:val="21"/>
        </w:rPr>
        <w:t>3.1依据标准</w:t>
      </w:r>
    </w:p>
    <w:p>
      <w:pPr>
        <w:adjustRightInd w:val="0"/>
        <w:snapToGrid w:val="0"/>
        <w:spacing w:line="440" w:lineRule="exact"/>
        <w:ind w:firstLine="420" w:firstLineChars="200"/>
        <w:rPr>
          <w:rFonts w:ascii="Times New Roman" w:hAnsi="Times New Roman"/>
          <w:szCs w:val="21"/>
        </w:rPr>
      </w:pPr>
      <w:r>
        <w:rPr>
          <w:rFonts w:ascii="Times New Roman" w:hAnsi="Times New Roman"/>
          <w:szCs w:val="21"/>
        </w:rPr>
        <w:t>GB 18401-2010</w:t>
      </w:r>
      <w:r>
        <w:rPr>
          <w:rFonts w:hint="eastAsia" w:ascii="Times New Roman" w:hAnsi="Times New Roman"/>
          <w:szCs w:val="21"/>
        </w:rPr>
        <w:t xml:space="preserve">  </w:t>
      </w:r>
      <w:r>
        <w:rPr>
          <w:rFonts w:ascii="Times New Roman" w:hAnsi="Times New Roman"/>
          <w:szCs w:val="21"/>
        </w:rPr>
        <w:t xml:space="preserve"> 国家纺织产品基本安全技术规范</w:t>
      </w:r>
    </w:p>
    <w:p>
      <w:pPr>
        <w:adjustRightInd w:val="0"/>
        <w:snapToGrid w:val="0"/>
        <w:spacing w:line="440" w:lineRule="exact"/>
        <w:ind w:firstLine="420" w:firstLineChars="200"/>
        <w:rPr>
          <w:rFonts w:ascii="Times New Roman" w:hAnsi="Times New Roman"/>
          <w:szCs w:val="21"/>
        </w:rPr>
      </w:pPr>
      <w:r>
        <w:rPr>
          <w:rFonts w:hint="eastAsia" w:ascii="Times New Roman" w:hAnsi="Times New Roman"/>
          <w:szCs w:val="21"/>
        </w:rPr>
        <w:t>GB/T 29862-2013 纺织品 纤维含量的标识</w:t>
      </w:r>
    </w:p>
    <w:p>
      <w:pPr>
        <w:adjustRightInd w:val="0"/>
        <w:snapToGrid w:val="0"/>
        <w:spacing w:line="440" w:lineRule="exact"/>
        <w:ind w:left="439" w:leftChars="209"/>
        <w:rPr>
          <w:color w:val="000000"/>
          <w:szCs w:val="21"/>
        </w:rPr>
      </w:pPr>
      <w:r>
        <w:rPr>
          <w:rFonts w:hint="eastAsia"/>
          <w:color w:val="000000"/>
          <w:szCs w:val="21"/>
        </w:rPr>
        <w:t>GB/T 2660-2017  衬衫</w:t>
      </w:r>
    </w:p>
    <w:p>
      <w:pPr>
        <w:adjustRightInd w:val="0"/>
        <w:snapToGrid w:val="0"/>
        <w:spacing w:line="440" w:lineRule="exact"/>
        <w:ind w:left="439" w:leftChars="209"/>
        <w:rPr>
          <w:color w:val="000000"/>
          <w:szCs w:val="21"/>
        </w:rPr>
      </w:pPr>
      <w:r>
        <w:rPr>
          <w:rFonts w:hint="eastAsia"/>
          <w:color w:val="000000"/>
          <w:szCs w:val="21"/>
        </w:rPr>
        <w:t>FZ/T 73043-2012  针织衬衫</w:t>
      </w:r>
    </w:p>
    <w:p>
      <w:pPr>
        <w:adjustRightInd w:val="0"/>
        <w:snapToGrid w:val="0"/>
        <w:spacing w:line="440" w:lineRule="exact"/>
        <w:ind w:left="439" w:leftChars="209"/>
        <w:rPr>
          <w:color w:val="000000"/>
          <w:szCs w:val="21"/>
        </w:rPr>
      </w:pPr>
      <w:r>
        <w:rPr>
          <w:rFonts w:hint="eastAsia"/>
          <w:color w:val="000000"/>
          <w:szCs w:val="21"/>
        </w:rPr>
        <w:t>FZ/T 73043-2020  针织衬衫</w:t>
      </w:r>
    </w:p>
    <w:p>
      <w:pPr>
        <w:adjustRightInd w:val="0"/>
        <w:snapToGrid w:val="0"/>
        <w:spacing w:line="440" w:lineRule="exact"/>
        <w:ind w:left="439" w:leftChars="209"/>
        <w:rPr>
          <w:color w:val="000000"/>
          <w:szCs w:val="21"/>
        </w:rPr>
      </w:pPr>
      <w:r>
        <w:rPr>
          <w:rFonts w:hint="eastAsia"/>
          <w:color w:val="000000"/>
          <w:szCs w:val="21"/>
        </w:rPr>
        <w:t>现行有效的企业标准、团体标准、地方标准及产品明示质量要求</w:t>
      </w:r>
    </w:p>
    <w:p>
      <w:pPr>
        <w:adjustRightInd w:val="0"/>
        <w:snapToGrid w:val="0"/>
        <w:spacing w:line="440" w:lineRule="exact"/>
        <w:rPr>
          <w:rFonts w:ascii="Times New Roman" w:hAnsi="Times New Roman"/>
          <w:color w:val="000000"/>
          <w:szCs w:val="21"/>
        </w:rPr>
      </w:pPr>
      <w:r>
        <w:rPr>
          <w:rFonts w:ascii="Times New Roman" w:hAnsi="Times New Roman"/>
          <w:color w:val="000000"/>
          <w:szCs w:val="21"/>
        </w:rPr>
        <w:t>3.2判定原则</w:t>
      </w:r>
    </w:p>
    <w:p>
      <w:pPr>
        <w:adjustRightInd w:val="0"/>
        <w:snapToGrid w:val="0"/>
        <w:spacing w:line="440" w:lineRule="exact"/>
        <w:ind w:firstLine="420" w:firstLineChars="200"/>
        <w:rPr>
          <w:color w:val="000000"/>
          <w:szCs w:val="21"/>
        </w:rPr>
      </w:pPr>
      <w:r>
        <w:rPr>
          <w:rFonts w:hint="eastAsia"/>
          <w:color w:val="000000"/>
          <w:szCs w:val="21"/>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17" w:firstLineChars="199"/>
        <w:rPr>
          <w:color w:val="000000"/>
          <w:szCs w:val="21"/>
        </w:rPr>
      </w:pPr>
      <w:r>
        <w:rPr>
          <w:rFonts w:hint="eastAsia"/>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若被检产品明示的质量要求低于本细则中检验项目依据的强制性标准要求时，应按照强制性标准要求判定。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若被检产品明示的质量要求缺少本细则中检验项目依据的强制性标准要求时，应按照强制性标准要求判定。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若被检产品明示的质量要求缺少本细则中检验项目依据的推荐性标准要求时，该项目不参与判定。</w:t>
      </w:r>
    </w:p>
    <w:p>
      <w:pPr>
        <w:spacing w:line="440" w:lineRule="exact"/>
        <w:rPr>
          <w:rFonts w:eastAsia="黑体"/>
          <w:color w:val="000000"/>
          <w:szCs w:val="21"/>
        </w:rPr>
      </w:pPr>
      <w:r>
        <w:rPr>
          <w:rFonts w:eastAsia="黑体"/>
          <w:color w:val="000000"/>
          <w:szCs w:val="21"/>
        </w:rPr>
        <w:t xml:space="preserve">4 </w:t>
      </w:r>
      <w:r>
        <w:rPr>
          <w:rFonts w:hint="eastAsia" w:eastAsia="黑体"/>
          <w:color w:val="000000"/>
          <w:szCs w:val="21"/>
        </w:rPr>
        <w:t>附则</w:t>
      </w:r>
    </w:p>
    <w:p>
      <w:pPr>
        <w:rPr>
          <w:rFonts w:ascii="Times New Roman" w:hAnsi="Times New Roman"/>
          <w:color w:val="000000"/>
          <w:szCs w:val="21"/>
        </w:rPr>
      </w:pPr>
      <w:r>
        <w:rPr>
          <w:rFonts w:hint="eastAsia"/>
          <w:color w:val="000000"/>
          <w:szCs w:val="21"/>
        </w:rPr>
        <w:t>本细则代替《贵州省市场监管局关于发布</w:t>
      </w:r>
      <w:r>
        <w:rPr>
          <w:rFonts w:hint="eastAsia"/>
          <w:color w:val="000000"/>
          <w:szCs w:val="21"/>
          <w:lang w:val="en-US" w:eastAsia="zh-CN"/>
        </w:rPr>
        <w:t>2021年</w:t>
      </w:r>
      <w:r>
        <w:rPr>
          <w:rFonts w:hint="eastAsia"/>
          <w:color w:val="000000"/>
          <w:szCs w:val="21"/>
        </w:rPr>
        <w:t>贵州省产品质量监督抽查实施细则（第</w:t>
      </w:r>
      <w:r>
        <w:rPr>
          <w:rFonts w:hint="eastAsia"/>
          <w:color w:val="000000"/>
          <w:szCs w:val="21"/>
          <w:lang w:eastAsia="zh-CN"/>
        </w:rPr>
        <w:t>二</w:t>
      </w:r>
      <w:r>
        <w:rPr>
          <w:rFonts w:hint="eastAsia"/>
          <w:color w:val="000000"/>
          <w:szCs w:val="21"/>
        </w:rPr>
        <w:t>批）的公告》（黔市监公告〔202</w:t>
      </w:r>
      <w:r>
        <w:rPr>
          <w:rFonts w:hint="eastAsia"/>
          <w:color w:val="000000"/>
          <w:szCs w:val="21"/>
          <w:lang w:val="en-US" w:eastAsia="zh-CN"/>
        </w:rPr>
        <w:t>1</w:t>
      </w:r>
      <w:r>
        <w:rPr>
          <w:rFonts w:hint="eastAsia"/>
          <w:color w:val="000000"/>
          <w:szCs w:val="21"/>
        </w:rPr>
        <w:t>〕</w:t>
      </w:r>
      <w:r>
        <w:rPr>
          <w:rFonts w:hint="eastAsia"/>
          <w:color w:val="000000"/>
          <w:szCs w:val="21"/>
          <w:lang w:val="en-US" w:eastAsia="zh-CN"/>
        </w:rPr>
        <w:t>41</w:t>
      </w:r>
      <w:r>
        <w:rPr>
          <w:rFonts w:hint="eastAsia"/>
          <w:color w:val="000000"/>
          <w:szCs w:val="21"/>
        </w:rPr>
        <w:t>号）</w:t>
      </w:r>
      <w:bookmarkStart w:id="0" w:name="_GoBack"/>
      <w:bookmarkEnd w:id="0"/>
      <w:r>
        <w:rPr>
          <w:rFonts w:hint="eastAsia" w:ascii="Times New Roman" w:hAnsi="Times New Roman"/>
          <w:color w:val="000000"/>
          <w:szCs w:val="21"/>
        </w:rPr>
        <w:t>中的《贵州省衬衫产品质量监督抽查实施细则(</w:t>
      </w:r>
      <w:r>
        <w:rPr>
          <w:rFonts w:hint="eastAsia" w:ascii="Times New Roman" w:hAnsi="Times New Roman"/>
          <w:color w:val="000000"/>
          <w:szCs w:val="21"/>
          <w:lang w:val="en-US" w:eastAsia="zh-CN"/>
        </w:rPr>
        <w:t>2021版</w:t>
      </w:r>
      <w:r>
        <w:rPr>
          <w:rFonts w:hint="eastAsia" w:ascii="Times New Roman" w:hAnsi="Times New Roman"/>
          <w:color w:val="000000"/>
          <w:szCs w:val="21"/>
        </w:rPr>
        <w:t>)》。</w:t>
      </w:r>
    </w:p>
    <w:p>
      <w:pPr>
        <w:adjustRightInd w:val="0"/>
        <w:snapToGrid w:val="0"/>
        <w:spacing w:line="440" w:lineRule="exact"/>
        <w:rPr>
          <w:color w:val="000000"/>
          <w:szCs w:val="21"/>
        </w:rPr>
      </w:pPr>
    </w:p>
    <w:sectPr>
      <w:headerReference r:id="rId3" w:type="default"/>
      <w:footerReference r:id="rId4" w:type="default"/>
      <w:footerReference r:id="rId5" w:type="even"/>
      <w:pgSz w:w="11906" w:h="16838"/>
      <w:pgMar w:top="1984"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微软雅黑堵.">
    <w:altName w:val="方正黑体_GBK"/>
    <w:panose1 w:val="00000000000000000000"/>
    <w:charset w:val="86"/>
    <w:family w:val="swiss"/>
    <w:pitch w:val="default"/>
    <w:sig w:usb0="00000000" w:usb1="00000000" w:usb2="00000010" w:usb3="00000000" w:csb0="00040000" w:csb1="00000000"/>
  </w:font>
  <w:font w:name="方正小标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TrueType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78BF"/>
    <w:rsid w:val="000411F6"/>
    <w:rsid w:val="00051A44"/>
    <w:rsid w:val="00057215"/>
    <w:rsid w:val="0006546B"/>
    <w:rsid w:val="000724E0"/>
    <w:rsid w:val="00081CBD"/>
    <w:rsid w:val="000976DE"/>
    <w:rsid w:val="000D4520"/>
    <w:rsid w:val="001002CA"/>
    <w:rsid w:val="0011126F"/>
    <w:rsid w:val="00121AD2"/>
    <w:rsid w:val="00172A27"/>
    <w:rsid w:val="001752B3"/>
    <w:rsid w:val="001809DD"/>
    <w:rsid w:val="001B1B80"/>
    <w:rsid w:val="001C5B9E"/>
    <w:rsid w:val="001E2A58"/>
    <w:rsid w:val="001E5FDD"/>
    <w:rsid w:val="00200F7E"/>
    <w:rsid w:val="00204381"/>
    <w:rsid w:val="00232530"/>
    <w:rsid w:val="00253624"/>
    <w:rsid w:val="00271173"/>
    <w:rsid w:val="002A0EB6"/>
    <w:rsid w:val="002D20B5"/>
    <w:rsid w:val="002D7664"/>
    <w:rsid w:val="002D7F8A"/>
    <w:rsid w:val="002E0D1D"/>
    <w:rsid w:val="002E31EC"/>
    <w:rsid w:val="002E54BA"/>
    <w:rsid w:val="00315F5D"/>
    <w:rsid w:val="003203A3"/>
    <w:rsid w:val="00365CBE"/>
    <w:rsid w:val="00370478"/>
    <w:rsid w:val="003A7D30"/>
    <w:rsid w:val="003B6032"/>
    <w:rsid w:val="003C388C"/>
    <w:rsid w:val="003D5B53"/>
    <w:rsid w:val="003E61BF"/>
    <w:rsid w:val="003F61BC"/>
    <w:rsid w:val="00403495"/>
    <w:rsid w:val="004104AC"/>
    <w:rsid w:val="004360C9"/>
    <w:rsid w:val="00445E86"/>
    <w:rsid w:val="00457AD3"/>
    <w:rsid w:val="00474E04"/>
    <w:rsid w:val="004C5716"/>
    <w:rsid w:val="004D0C5A"/>
    <w:rsid w:val="004D1178"/>
    <w:rsid w:val="004D6938"/>
    <w:rsid w:val="004E1396"/>
    <w:rsid w:val="004F6A1B"/>
    <w:rsid w:val="005059B8"/>
    <w:rsid w:val="005246DF"/>
    <w:rsid w:val="00532C7D"/>
    <w:rsid w:val="005547B9"/>
    <w:rsid w:val="00563EBC"/>
    <w:rsid w:val="005B2B74"/>
    <w:rsid w:val="005F410D"/>
    <w:rsid w:val="0061401E"/>
    <w:rsid w:val="006163FC"/>
    <w:rsid w:val="00636B3B"/>
    <w:rsid w:val="00653ACE"/>
    <w:rsid w:val="006603BE"/>
    <w:rsid w:val="00683D59"/>
    <w:rsid w:val="00686C1D"/>
    <w:rsid w:val="00691ABE"/>
    <w:rsid w:val="006A6081"/>
    <w:rsid w:val="006C5099"/>
    <w:rsid w:val="006E1171"/>
    <w:rsid w:val="006F0971"/>
    <w:rsid w:val="00707D4C"/>
    <w:rsid w:val="00712870"/>
    <w:rsid w:val="00716EF7"/>
    <w:rsid w:val="0072334C"/>
    <w:rsid w:val="00734EA6"/>
    <w:rsid w:val="00736047"/>
    <w:rsid w:val="00755A2C"/>
    <w:rsid w:val="00770DC9"/>
    <w:rsid w:val="00777234"/>
    <w:rsid w:val="00782991"/>
    <w:rsid w:val="00787192"/>
    <w:rsid w:val="00787F29"/>
    <w:rsid w:val="0079176A"/>
    <w:rsid w:val="00795117"/>
    <w:rsid w:val="00797FDC"/>
    <w:rsid w:val="00844B97"/>
    <w:rsid w:val="00847CA2"/>
    <w:rsid w:val="00854A39"/>
    <w:rsid w:val="00895BEA"/>
    <w:rsid w:val="008A3497"/>
    <w:rsid w:val="008A784B"/>
    <w:rsid w:val="008C2891"/>
    <w:rsid w:val="00917A54"/>
    <w:rsid w:val="00920531"/>
    <w:rsid w:val="00947017"/>
    <w:rsid w:val="009508C0"/>
    <w:rsid w:val="009672B3"/>
    <w:rsid w:val="00983208"/>
    <w:rsid w:val="00986DAA"/>
    <w:rsid w:val="009E1DB3"/>
    <w:rsid w:val="009E415E"/>
    <w:rsid w:val="009F79F0"/>
    <w:rsid w:val="00A01D94"/>
    <w:rsid w:val="00A12535"/>
    <w:rsid w:val="00A14555"/>
    <w:rsid w:val="00A43553"/>
    <w:rsid w:val="00A47A81"/>
    <w:rsid w:val="00A53F64"/>
    <w:rsid w:val="00A82E3B"/>
    <w:rsid w:val="00A85372"/>
    <w:rsid w:val="00AA32FA"/>
    <w:rsid w:val="00AB58F6"/>
    <w:rsid w:val="00AB7EC8"/>
    <w:rsid w:val="00AC5391"/>
    <w:rsid w:val="00AD4B7A"/>
    <w:rsid w:val="00AE1D84"/>
    <w:rsid w:val="00AF3D2A"/>
    <w:rsid w:val="00B023F6"/>
    <w:rsid w:val="00B22E26"/>
    <w:rsid w:val="00B23213"/>
    <w:rsid w:val="00B23618"/>
    <w:rsid w:val="00B24D4F"/>
    <w:rsid w:val="00B44C01"/>
    <w:rsid w:val="00B4598B"/>
    <w:rsid w:val="00B8665C"/>
    <w:rsid w:val="00B92E75"/>
    <w:rsid w:val="00BB6DAB"/>
    <w:rsid w:val="00BD79CA"/>
    <w:rsid w:val="00BE523F"/>
    <w:rsid w:val="00BE6F40"/>
    <w:rsid w:val="00BF2B8C"/>
    <w:rsid w:val="00C137F6"/>
    <w:rsid w:val="00C13E31"/>
    <w:rsid w:val="00C25A2E"/>
    <w:rsid w:val="00C26074"/>
    <w:rsid w:val="00C34172"/>
    <w:rsid w:val="00C40B45"/>
    <w:rsid w:val="00C44E9C"/>
    <w:rsid w:val="00C75FB6"/>
    <w:rsid w:val="00C83B0A"/>
    <w:rsid w:val="00CA4FAF"/>
    <w:rsid w:val="00CB2C68"/>
    <w:rsid w:val="00CB5CDE"/>
    <w:rsid w:val="00CB7D9D"/>
    <w:rsid w:val="00CD5D2C"/>
    <w:rsid w:val="00CE1E0C"/>
    <w:rsid w:val="00CE277E"/>
    <w:rsid w:val="00CE412B"/>
    <w:rsid w:val="00D016B3"/>
    <w:rsid w:val="00D31D57"/>
    <w:rsid w:val="00D47B37"/>
    <w:rsid w:val="00D56867"/>
    <w:rsid w:val="00D62093"/>
    <w:rsid w:val="00D710BD"/>
    <w:rsid w:val="00D735DB"/>
    <w:rsid w:val="00D80BE1"/>
    <w:rsid w:val="00DE3787"/>
    <w:rsid w:val="00E02A7F"/>
    <w:rsid w:val="00E07880"/>
    <w:rsid w:val="00E12C14"/>
    <w:rsid w:val="00E23D31"/>
    <w:rsid w:val="00E32408"/>
    <w:rsid w:val="00E57DD6"/>
    <w:rsid w:val="00E62061"/>
    <w:rsid w:val="00E65655"/>
    <w:rsid w:val="00E710E0"/>
    <w:rsid w:val="00E7720E"/>
    <w:rsid w:val="00E82621"/>
    <w:rsid w:val="00E94B8D"/>
    <w:rsid w:val="00EA11A5"/>
    <w:rsid w:val="00EB05D5"/>
    <w:rsid w:val="00EC5582"/>
    <w:rsid w:val="00EE701C"/>
    <w:rsid w:val="00EF127A"/>
    <w:rsid w:val="00EF4681"/>
    <w:rsid w:val="00EF7D98"/>
    <w:rsid w:val="00F02CFF"/>
    <w:rsid w:val="00F041CC"/>
    <w:rsid w:val="00F047B9"/>
    <w:rsid w:val="00F13300"/>
    <w:rsid w:val="00F137FF"/>
    <w:rsid w:val="00F15460"/>
    <w:rsid w:val="00F24D81"/>
    <w:rsid w:val="00F37FFC"/>
    <w:rsid w:val="00F427D1"/>
    <w:rsid w:val="00F55BB7"/>
    <w:rsid w:val="00F77C9A"/>
    <w:rsid w:val="00FB576C"/>
    <w:rsid w:val="00FC4DB1"/>
    <w:rsid w:val="00FD2AA6"/>
    <w:rsid w:val="00FD6D81"/>
    <w:rsid w:val="00FE7E8A"/>
    <w:rsid w:val="00FF5126"/>
    <w:rsid w:val="0385268A"/>
    <w:rsid w:val="06AC3180"/>
    <w:rsid w:val="0F8F3E1C"/>
    <w:rsid w:val="123767B7"/>
    <w:rsid w:val="1C0C4212"/>
    <w:rsid w:val="227C0689"/>
    <w:rsid w:val="227F6C37"/>
    <w:rsid w:val="23D42E34"/>
    <w:rsid w:val="28C25756"/>
    <w:rsid w:val="2B0013F2"/>
    <w:rsid w:val="2EC2549B"/>
    <w:rsid w:val="30F44350"/>
    <w:rsid w:val="373175D4"/>
    <w:rsid w:val="3F241496"/>
    <w:rsid w:val="45397ECA"/>
    <w:rsid w:val="4B16063C"/>
    <w:rsid w:val="4CEC5FD7"/>
    <w:rsid w:val="54786C3F"/>
    <w:rsid w:val="65282E3C"/>
    <w:rsid w:val="67302690"/>
    <w:rsid w:val="6AFF3292"/>
    <w:rsid w:val="707E5095"/>
    <w:rsid w:val="70FE4E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批注框文本 字符"/>
    <w:link w:val="2"/>
    <w:semiHidden/>
    <w:qFormat/>
    <w:uiPriority w:val="99"/>
    <w:rPr>
      <w:kern w:val="2"/>
      <w:sz w:val="18"/>
      <w:szCs w:val="18"/>
    </w:rPr>
  </w:style>
  <w:style w:type="character" w:customStyle="1" w:styleId="9">
    <w:name w:val="fontstyle01"/>
    <w:qFormat/>
    <w:uiPriority w:val="0"/>
    <w:rPr>
      <w:rFonts w:hint="eastAsia" w:ascii="宋体" w:hAnsi="宋体" w:eastAsia="宋体"/>
      <w:color w:val="000000"/>
      <w:sz w:val="22"/>
      <w:szCs w:val="22"/>
    </w:rPr>
  </w:style>
  <w:style w:type="character" w:customStyle="1" w:styleId="10">
    <w:name w:val="页眉 字符"/>
    <w:link w:val="4"/>
    <w:semiHidden/>
    <w:qFormat/>
    <w:uiPriority w:val="99"/>
    <w:rPr>
      <w:kern w:val="2"/>
      <w:sz w:val="18"/>
      <w:szCs w:val="18"/>
    </w:rPr>
  </w:style>
  <w:style w:type="character" w:customStyle="1" w:styleId="11">
    <w:name w:val="页脚 字符"/>
    <w:link w:val="3"/>
    <w:qFormat/>
    <w:uiPriority w:val="99"/>
    <w:rPr>
      <w:kern w:val="2"/>
      <w:sz w:val="18"/>
      <w:szCs w:val="18"/>
    </w:rPr>
  </w:style>
  <w:style w:type="paragraph" w:customStyle="1" w:styleId="12">
    <w:name w:val="Default"/>
    <w:qFormat/>
    <w:uiPriority w:val="0"/>
    <w:pPr>
      <w:widowControl w:val="0"/>
      <w:autoSpaceDE w:val="0"/>
      <w:autoSpaceDN w:val="0"/>
      <w:adjustRightInd w:val="0"/>
    </w:pPr>
    <w:rPr>
      <w:rFonts w:ascii="微软雅黑堵." w:hAnsi="Calibri" w:eastAsia="微软雅黑堵." w:cs="微软雅黑堵."/>
      <w:color w:val="000000"/>
      <w:sz w:val="24"/>
      <w:szCs w:val="24"/>
      <w:lang w:val="en-US" w:eastAsia="zh-CN" w:bidi="ar-SA"/>
    </w:rPr>
  </w:style>
  <w:style w:type="paragraph" w:customStyle="1" w:styleId="13">
    <w:name w:val="列出段落1"/>
    <w:basedOn w:val="1"/>
    <w:qFormat/>
    <w:uiPriority w:val="34"/>
    <w:pPr>
      <w:ind w:firstLine="420" w:firstLineChars="200"/>
    </w:pPr>
    <w:rPr>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Legend (Beijing) Limited</Company>
  <Pages>2</Pages>
  <Words>196</Words>
  <Characters>1121</Characters>
  <Lines>9</Lines>
  <Paragraphs>2</Paragraphs>
  <TotalTime>0</TotalTime>
  <ScaleCrop>false</ScaleCrop>
  <LinksUpToDate>false</LinksUpToDate>
  <CharactersWithSpaces>1315</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2021-03-24T22:01:00Z</dcterms:created>
  <dc:creator>Legend User</dc:creator>
  <cp:lastModifiedBy>ysgz</cp:lastModifiedBy>
  <cp:lastPrinted>2020-02-12T10:19:00Z</cp:lastPrinted>
  <dcterms:modified xsi:type="dcterms:W3CDTF">2022-04-26T17:06:40Z</dcterms:modified>
  <dc:title>××产品质量监督抽查实施细则</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KSOSaveFontToCloudKey">
    <vt:lpwstr>550453206_embed</vt:lpwstr>
  </property>
  <property fmtid="{D5CDD505-2E9C-101B-9397-08002B2CF9AE}" pid="4" name="ICV">
    <vt:lpwstr>6562026FDD214330B305281673E4C39D</vt:lpwstr>
  </property>
</Properties>
</file>