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beforeAutospacing="0" w:afterAutospacing="0" w:line="440" w:lineRule="exact"/>
        <w:jc w:val="center"/>
        <w:textAlignment w:val="auto"/>
        <w:rPr>
          <w:rFonts w:hint="eastAsia" w:ascii="方正小标宋_GBK" w:hAnsi="Times New Roman" w:eastAsia="方正小标宋_GBK" w:cs="方正仿宋简体"/>
          <w:color w:val="000000"/>
          <w:sz w:val="32"/>
          <w:szCs w:val="32"/>
          <w:lang w:val="en-US" w:eastAsia="zh-CN"/>
        </w:rPr>
      </w:pPr>
      <w:r>
        <w:rPr>
          <w:rFonts w:hint="eastAsia" w:ascii="方正小标宋_GBK" w:hAnsi="Times New Roman" w:eastAsia="方正小标宋_GBK" w:cs="方正仿宋简体"/>
          <w:color w:val="000000"/>
          <w:sz w:val="32"/>
          <w:szCs w:val="32"/>
          <w:lang w:val="en-US" w:eastAsia="zh-CN"/>
        </w:rPr>
        <w:t>贵州省低密度聚乙烯管材产品质量监督抽查实施细则</w:t>
      </w:r>
    </w:p>
    <w:p>
      <w:pPr>
        <w:keepNext w:val="0"/>
        <w:keepLines w:val="0"/>
        <w:pageBreakBefore w:val="0"/>
        <w:kinsoku/>
        <w:wordWrap/>
        <w:overflowPunct/>
        <w:topLinePunct w:val="0"/>
        <w:autoSpaceDE/>
        <w:autoSpaceDN/>
        <w:bidi w:val="0"/>
        <w:adjustRightInd w:val="0"/>
        <w:snapToGrid w:val="0"/>
        <w:spacing w:beforeAutospacing="0" w:afterAutospacing="0" w:line="440" w:lineRule="exact"/>
        <w:jc w:val="center"/>
        <w:textAlignment w:val="auto"/>
        <w:rPr>
          <w:rFonts w:hint="eastAsia" w:ascii="宋体" w:hAnsi="宋体" w:eastAsia="宋体"/>
          <w:szCs w:val="21"/>
          <w:lang w:eastAsia="zh-CN"/>
        </w:rPr>
      </w:pPr>
      <w:r>
        <w:rPr>
          <w:rFonts w:hint="eastAsia" w:ascii="方正小标宋_GBK" w:hAnsi="Times New Roman" w:eastAsia="方正小标宋_GBK" w:cs="方正仿宋简体"/>
          <w:color w:val="000000"/>
          <w:sz w:val="32"/>
          <w:szCs w:val="32"/>
          <w:lang w:val="en-US" w:eastAsia="zh-CN"/>
        </w:rPr>
        <w:t>（2022年版）</w:t>
      </w: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hint="eastAsia" w:ascii="黑体" w:hAnsi="黑体" w:eastAsia="黑体"/>
          <w:b/>
          <w:szCs w:val="21"/>
        </w:rPr>
      </w:pP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ascii="黑体" w:hAnsi="黑体" w:eastAsia="黑体"/>
          <w:b/>
          <w:szCs w:val="21"/>
        </w:rPr>
      </w:pPr>
      <w:r>
        <w:rPr>
          <w:rFonts w:hint="eastAsia" w:ascii="黑体" w:hAnsi="黑体" w:eastAsia="黑体"/>
          <w:b w:val="0"/>
          <w:bCs/>
          <w:szCs w:val="21"/>
        </w:rPr>
        <w:t>1 抽样方法</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随机数一般可使用随机数表等方法产生。</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rFonts w:ascii="宋体" w:hAnsi="宋体" w:cs="宋体"/>
          <w:color w:val="000000"/>
          <w:kern w:val="0"/>
          <w:szCs w:val="21"/>
        </w:rPr>
      </w:pPr>
      <w:r>
        <w:rPr>
          <w:rFonts w:hint="eastAsia" w:ascii="宋体" w:hAnsi="宋体" w:cs="宋体"/>
          <w:color w:val="000000"/>
          <w:kern w:val="0"/>
          <w:szCs w:val="21"/>
        </w:rPr>
        <w:t xml:space="preserve">随机抽取8根（盘）管材，每根（盘）管材截取2段，共16段，每段长度1米，平均分为2份，1份用作检验，1份作为备样。 </w:t>
      </w: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hint="eastAsia" w:ascii="黑体" w:hAnsi="宋体" w:eastAsia="黑体"/>
          <w:b/>
          <w:szCs w:val="21"/>
        </w:rPr>
      </w:pP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ascii="黑体" w:hAnsi="宋体" w:eastAsia="黑体"/>
          <w:b/>
          <w:szCs w:val="21"/>
        </w:rPr>
      </w:pPr>
      <w:r>
        <w:rPr>
          <w:rFonts w:hint="eastAsia" w:ascii="黑体" w:hAnsi="宋体" w:eastAsia="黑体"/>
          <w:b w:val="0"/>
          <w:bCs/>
          <w:szCs w:val="21"/>
        </w:rPr>
        <w:t>2 检验依据</w:t>
      </w:r>
    </w:p>
    <w:p>
      <w:pPr>
        <w:keepNext w:val="0"/>
        <w:keepLines w:val="0"/>
        <w:pageBreakBefore w:val="0"/>
        <w:kinsoku/>
        <w:wordWrap/>
        <w:overflowPunct/>
        <w:topLinePunct w:val="0"/>
        <w:autoSpaceDE/>
        <w:autoSpaceDN/>
        <w:bidi w:val="0"/>
        <w:spacing w:beforeAutospacing="0" w:afterAutospacing="0" w:line="440" w:lineRule="exact"/>
        <w:ind w:firstLine="420" w:firstLineChars="200"/>
        <w:jc w:val="center"/>
        <w:textAlignment w:val="auto"/>
        <w:rPr>
          <w:rFonts w:ascii="黑体" w:hAnsi="黑体" w:eastAsia="黑体" w:cs="黑体"/>
          <w:color w:val="000000"/>
          <w:kern w:val="0"/>
          <w:sz w:val="21"/>
          <w:szCs w:val="21"/>
        </w:rPr>
      </w:pPr>
      <w:r>
        <w:rPr>
          <w:rFonts w:hint="eastAsia" w:ascii="Times New Roman" w:hAnsi="Times New Roman"/>
          <w:color w:val="000000"/>
          <w:szCs w:val="21"/>
        </w:rPr>
        <w:t>表1  喷灌用低密度聚乙烯管材</w:t>
      </w:r>
    </w:p>
    <w:tbl>
      <w:tblPr>
        <w:tblStyle w:val="6"/>
        <w:tblW w:w="7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2524"/>
        <w:gridCol w:w="4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72"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序号</w:t>
            </w:r>
          </w:p>
        </w:tc>
        <w:tc>
          <w:tcPr>
            <w:tcW w:w="2524"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检验项目</w:t>
            </w:r>
          </w:p>
        </w:tc>
        <w:tc>
          <w:tcPr>
            <w:tcW w:w="4098"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72"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c>
          <w:tcPr>
            <w:tcW w:w="252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c>
          <w:tcPr>
            <w:tcW w:w="4098"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7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1</w:t>
            </w:r>
          </w:p>
        </w:tc>
        <w:tc>
          <w:tcPr>
            <w:tcW w:w="2524"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外径</w:t>
            </w:r>
          </w:p>
        </w:tc>
        <w:tc>
          <w:tcPr>
            <w:tcW w:w="4098"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QB/T 3803-1999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7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2</w:t>
            </w:r>
          </w:p>
        </w:tc>
        <w:tc>
          <w:tcPr>
            <w:tcW w:w="2524"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壁厚</w:t>
            </w:r>
          </w:p>
        </w:tc>
        <w:tc>
          <w:tcPr>
            <w:tcW w:w="4098"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7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3</w:t>
            </w:r>
          </w:p>
        </w:tc>
        <w:tc>
          <w:tcPr>
            <w:tcW w:w="2524"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拉伸强度</w:t>
            </w:r>
          </w:p>
        </w:tc>
        <w:tc>
          <w:tcPr>
            <w:tcW w:w="4098"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7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4</w:t>
            </w:r>
          </w:p>
        </w:tc>
        <w:tc>
          <w:tcPr>
            <w:tcW w:w="2524"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断裂伸长率</w:t>
            </w:r>
          </w:p>
        </w:tc>
        <w:tc>
          <w:tcPr>
            <w:tcW w:w="4098"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7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5</w:t>
            </w:r>
          </w:p>
        </w:tc>
        <w:tc>
          <w:tcPr>
            <w:tcW w:w="2524"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20℃水压试验</w:t>
            </w:r>
          </w:p>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（瞬时爆破压力）</w:t>
            </w:r>
          </w:p>
        </w:tc>
        <w:tc>
          <w:tcPr>
            <w:tcW w:w="4098"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bl>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黑体" w:hAnsi="黑体" w:eastAsia="黑体" w:cs="黑体"/>
          <w:color w:val="000000"/>
          <w:kern w:val="0"/>
          <w:sz w:val="21"/>
          <w:szCs w:val="21"/>
        </w:rPr>
      </w:pPr>
    </w:p>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黑体" w:hAnsi="黑体" w:eastAsia="黑体" w:cs="黑体"/>
          <w:color w:val="000000"/>
          <w:kern w:val="0"/>
          <w:sz w:val="21"/>
          <w:szCs w:val="21"/>
        </w:rPr>
      </w:pPr>
      <w:r>
        <w:rPr>
          <w:rFonts w:hint="eastAsia" w:ascii="Times New Roman" w:hAnsi="Times New Roman"/>
          <w:color w:val="000000"/>
          <w:szCs w:val="21"/>
        </w:rPr>
        <w:t xml:space="preserve">表2 </w:t>
      </w:r>
      <w:r>
        <w:rPr>
          <w:rFonts w:hint="eastAsia" w:ascii="Times New Roman" w:hAnsi="Times New Roman"/>
          <w:color w:val="000000"/>
          <w:szCs w:val="21"/>
          <w:lang w:val="en-US" w:eastAsia="zh-CN"/>
        </w:rPr>
        <w:t xml:space="preserve"> </w:t>
      </w:r>
      <w:r>
        <w:rPr>
          <w:rFonts w:hint="eastAsia" w:ascii="Times New Roman" w:hAnsi="Times New Roman"/>
          <w:color w:val="000000"/>
          <w:szCs w:val="21"/>
        </w:rPr>
        <w:t>给水用低密度聚乙烯管材</w:t>
      </w:r>
    </w:p>
    <w:tbl>
      <w:tblPr>
        <w:tblStyle w:val="6"/>
        <w:tblW w:w="7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592"/>
        <w:gridCol w:w="4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246"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序号</w:t>
            </w:r>
          </w:p>
        </w:tc>
        <w:tc>
          <w:tcPr>
            <w:tcW w:w="2592"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检验项目</w:t>
            </w:r>
          </w:p>
        </w:tc>
        <w:tc>
          <w:tcPr>
            <w:tcW w:w="4081"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46"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c>
          <w:tcPr>
            <w:tcW w:w="2592"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c>
          <w:tcPr>
            <w:tcW w:w="4081"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1</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eastAsia="zh-CN"/>
              </w:rPr>
              <w:t>平均外径</w:t>
            </w:r>
          </w:p>
        </w:tc>
        <w:tc>
          <w:tcPr>
            <w:tcW w:w="4081"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宋体" w:hAnsi="宋体" w:eastAsia="宋体" w:cs="宋体"/>
                <w:color w:val="000000"/>
                <w:kern w:val="0"/>
                <w:sz w:val="21"/>
                <w:szCs w:val="21"/>
                <w:lang w:val="en-US" w:eastAsia="zh-CN"/>
              </w:rPr>
            </w:pPr>
            <w:r>
              <w:rPr>
                <w:rFonts w:hint="eastAsia" w:ascii="宋体" w:hAnsi="宋体"/>
                <w:color w:val="000000"/>
                <w:sz w:val="21"/>
                <w:szCs w:val="21"/>
              </w:rPr>
              <w:t>GB/T 8806-</w:t>
            </w:r>
            <w:r>
              <w:rPr>
                <w:rFonts w:hint="eastAsia" w:ascii="宋体" w:hAnsi="宋体"/>
                <w:color w:val="000000"/>
                <w:sz w:val="21"/>
                <w:szCs w:val="21"/>
                <w:highlight w:val="none"/>
                <w:lang w:val="en-US" w:eastAsia="zh-CN"/>
              </w:rPr>
              <w:t xml:space="preserve">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2</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ascii="宋体" w:hAnsi="宋体"/>
                <w:sz w:val="21"/>
                <w:szCs w:val="21"/>
              </w:rPr>
              <w:t>壁厚</w:t>
            </w:r>
          </w:p>
        </w:tc>
        <w:tc>
          <w:tcPr>
            <w:tcW w:w="4081"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3</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密度</w:t>
            </w:r>
          </w:p>
        </w:tc>
        <w:tc>
          <w:tcPr>
            <w:tcW w:w="4081"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QB/T 1930-2006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4</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氧化诱导时间</w:t>
            </w:r>
          </w:p>
        </w:tc>
        <w:tc>
          <w:tcPr>
            <w:tcW w:w="4081"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GB/T 17391-1998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5</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断裂伸长率</w:t>
            </w:r>
          </w:p>
        </w:tc>
        <w:tc>
          <w:tcPr>
            <w:tcW w:w="4081"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6</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纵向回缩率</w:t>
            </w:r>
          </w:p>
        </w:tc>
        <w:tc>
          <w:tcPr>
            <w:tcW w:w="4081"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7</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静液压强度20</w:t>
            </w:r>
            <w:r>
              <w:rPr>
                <w:rFonts w:ascii="宋体" w:hAnsi="宋体"/>
                <w:sz w:val="21"/>
                <w:szCs w:val="21"/>
              </w:rPr>
              <w:t>℃</w:t>
            </w:r>
            <w:r>
              <w:rPr>
                <w:rFonts w:hint="eastAsia" w:ascii="宋体" w:hAnsi="宋体"/>
                <w:sz w:val="21"/>
                <w:szCs w:val="21"/>
              </w:rPr>
              <w:t>，6.9MPa环应力，1h</w:t>
            </w:r>
          </w:p>
        </w:tc>
        <w:tc>
          <w:tcPr>
            <w:tcW w:w="4081"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QB/T 1930-2006</w:t>
            </w:r>
          </w:p>
        </w:tc>
      </w:tr>
    </w:tbl>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outlineLvl w:val="9"/>
        <w:rPr>
          <w:rFonts w:hint="eastAsia" w:ascii="宋体" w:hAnsi="宋体"/>
          <w:szCs w:val="21"/>
        </w:rPr>
      </w:pPr>
      <w:r>
        <w:rPr>
          <w:rFonts w:hint="eastAsia" w:ascii="宋体" w:hAnsi="宋体"/>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outlineLvl w:val="9"/>
        <w:rPr>
          <w:rFonts w:hint="eastAsia" w:ascii="宋体" w:hAnsi="宋体"/>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outlineLvl w:val="9"/>
        <w:rPr>
          <w:rFonts w:hint="eastAsia" w:ascii="宋体" w:hAnsi="宋体"/>
          <w:szCs w:val="21"/>
        </w:rPr>
      </w:pP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ascii="黑体" w:hAnsi="宋体" w:eastAsia="黑体"/>
          <w:b/>
          <w:szCs w:val="21"/>
        </w:rPr>
      </w:pPr>
      <w:r>
        <w:rPr>
          <w:rFonts w:hint="eastAsia" w:ascii="黑体" w:hAnsi="宋体" w:eastAsia="黑体"/>
          <w:b w:val="0"/>
          <w:bCs/>
          <w:szCs w:val="21"/>
        </w:rPr>
        <w:t>3 判定规则</w:t>
      </w: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ascii="宋体" w:hAnsi="宋体" w:cs="宋体"/>
          <w:color w:val="000000"/>
          <w:sz w:val="21"/>
          <w:szCs w:val="21"/>
          <w:shd w:val="clear" w:color="auto" w:fill="FFFFFF"/>
        </w:rPr>
      </w:pPr>
      <w:r>
        <w:rPr>
          <w:rFonts w:hint="eastAsia" w:ascii="宋体" w:hAnsi="宋体"/>
          <w:color w:val="000000"/>
          <w:szCs w:val="21"/>
        </w:rPr>
        <w:t>3.1</w:t>
      </w:r>
      <w:r>
        <w:rPr>
          <w:rFonts w:hint="eastAsia" w:ascii="宋体" w:hAnsi="宋体" w:cs="宋体"/>
          <w:szCs w:val="21"/>
          <w:shd w:val="clear" w:color="auto" w:fill="FFFFFF"/>
        </w:rPr>
        <w:t>依据标准</w:t>
      </w:r>
    </w:p>
    <w:p>
      <w:pPr>
        <w:pStyle w:val="5"/>
        <w:keepNext w:val="0"/>
        <w:keepLines w:val="0"/>
        <w:pageBreakBefore w:val="0"/>
        <w:widowControl/>
        <w:shd w:val="clear" w:color="auto" w:fill="FFFFFF"/>
        <w:kinsoku/>
        <w:wordWrap/>
        <w:overflowPunct/>
        <w:topLinePunct w:val="0"/>
        <w:autoSpaceDE/>
        <w:autoSpaceDN/>
        <w:bidi w:val="0"/>
        <w:snapToGrid w:val="0"/>
        <w:spacing w:before="0" w:beforeAutospacing="0" w:after="0" w:afterAutospacing="0" w:line="440" w:lineRule="exact"/>
        <w:ind w:firstLine="420" w:firstLineChars="200"/>
        <w:textAlignment w:val="auto"/>
        <w:rPr>
          <w:rFonts w:hint="eastAsia"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QB/T 3803-1999 喷灌用低密度聚乙烯管材</w:t>
      </w:r>
    </w:p>
    <w:p>
      <w:pPr>
        <w:pStyle w:val="5"/>
        <w:keepNext w:val="0"/>
        <w:keepLines w:val="0"/>
        <w:pageBreakBefore w:val="0"/>
        <w:widowControl/>
        <w:shd w:val="clear" w:color="auto" w:fill="FFFFFF"/>
        <w:kinsoku/>
        <w:wordWrap/>
        <w:overflowPunct/>
        <w:topLinePunct w:val="0"/>
        <w:autoSpaceDE/>
        <w:autoSpaceDN/>
        <w:bidi w:val="0"/>
        <w:snapToGrid w:val="0"/>
        <w:spacing w:before="0" w:beforeAutospacing="0" w:after="0" w:afterAutospacing="0" w:line="440" w:lineRule="exact"/>
        <w:ind w:firstLine="420" w:firstLineChars="200"/>
        <w:textAlignment w:val="auto"/>
        <w:rPr>
          <w:rFonts w:hint="eastAsia"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QB/T 1930-2006  给水用低密度聚乙烯管材</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rFonts w:ascii="宋体" w:hAnsi="宋体" w:cs="宋体"/>
          <w:szCs w:val="21"/>
          <w:shd w:val="clear" w:color="auto" w:fill="FFFFFF"/>
        </w:rPr>
      </w:pPr>
      <w:r>
        <w:rPr>
          <w:rFonts w:hint="eastAsia" w:ascii="宋体" w:hAnsi="宋体" w:cs="宋体"/>
          <w:szCs w:val="21"/>
          <w:shd w:val="clear" w:color="auto" w:fill="FFFFFF"/>
        </w:rPr>
        <w:t>现行有效的企业标准、团体标准、地方标准及产品明示质量要求</w:t>
      </w: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ascii="宋体" w:hAnsi="宋体" w:cs="宋体"/>
          <w:szCs w:val="21"/>
          <w:shd w:val="clear" w:color="auto" w:fill="FFFFFF"/>
        </w:rPr>
      </w:pPr>
      <w:r>
        <w:rPr>
          <w:rFonts w:hint="eastAsia" w:ascii="宋体" w:hAnsi="宋体" w:cs="宋体"/>
          <w:szCs w:val="21"/>
          <w:shd w:val="clear" w:color="auto" w:fill="FFFFFF"/>
        </w:rPr>
        <w:t>3.2判定原则</w:t>
      </w:r>
    </w:p>
    <w:p>
      <w:pPr>
        <w:pStyle w:val="10"/>
        <w:keepNext w:val="0"/>
        <w:keepLines w:val="0"/>
        <w:pageBreakBefore w:val="0"/>
        <w:kinsoku/>
        <w:wordWrap/>
        <w:overflowPunct/>
        <w:topLinePunct w:val="0"/>
        <w:autoSpaceDE/>
        <w:autoSpaceDN/>
        <w:bidi w:val="0"/>
        <w:spacing w:beforeAutospacing="0" w:after="0" w:afterAutospacing="0" w:line="440" w:lineRule="exact"/>
        <w:ind w:firstLine="480"/>
        <w:textAlignment w:val="auto"/>
        <w:rPr>
          <w:rFonts w:cs="Times New Roman"/>
          <w:sz w:val="21"/>
          <w:szCs w:val="21"/>
          <w:lang w:val="en-US" w:eastAsia="zh-CN" w:bidi="ar-SA"/>
        </w:rPr>
      </w:pPr>
      <w:r>
        <w:rPr>
          <w:rFonts w:hint="eastAsia" w:cs="Times New Roman"/>
          <w:sz w:val="21"/>
          <w:szCs w:val="21"/>
          <w:lang w:val="en-US" w:eastAsia="zh-CN" w:bidi="ar-SA"/>
        </w:rPr>
        <w:t>经检验，检验项目全部合格，判定为被抽查产品合格；检验项目中任一项或一项以上不合格，判定为被抽查产品不合格。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color w:val="000000"/>
          <w:szCs w:val="21"/>
        </w:rPr>
      </w:pPr>
      <w:r>
        <w:rPr>
          <w:color w:val="000000"/>
          <w:szCs w:val="21"/>
        </w:rPr>
        <w:t>若被检产品明示的质量要求缺少本细则中检验项目依据的推荐性标准要求时，该项目不参与判定。</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color w:val="000000"/>
          <w:szCs w:val="21"/>
        </w:rPr>
      </w:pPr>
    </w:p>
    <w:p>
      <w:pPr>
        <w:keepNext w:val="0"/>
        <w:keepLines w:val="0"/>
        <w:pageBreakBefore w:val="0"/>
        <w:widowControl w:val="0"/>
        <w:kinsoku/>
        <w:wordWrap/>
        <w:overflowPunct/>
        <w:topLinePunct w:val="0"/>
        <w:autoSpaceDE/>
        <w:autoSpaceDN/>
        <w:bidi w:val="0"/>
        <w:adjustRightInd/>
        <w:snapToGrid w:val="0"/>
        <w:spacing w:beforeAutospacing="0" w:afterAutospacing="0" w:line="440" w:lineRule="exact"/>
        <w:textAlignment w:val="auto"/>
        <w:rPr>
          <w:rFonts w:hint="eastAsia"/>
          <w:color w:val="000000"/>
          <w:szCs w:val="21"/>
          <w:lang w:val="en-US" w:eastAsia="zh-CN"/>
        </w:rPr>
      </w:pPr>
      <w:bookmarkStart w:id="0" w:name="_GoBack"/>
      <w:r>
        <w:rPr>
          <w:rFonts w:hint="eastAsia" w:ascii="黑体" w:hAnsi="黑体" w:eastAsia="黑体" w:cs="黑体"/>
          <w:color w:val="000000"/>
          <w:szCs w:val="21"/>
          <w:lang w:val="en-US" w:eastAsia="zh-CN"/>
        </w:rPr>
        <w:t>4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color w:val="000000"/>
          <w:szCs w:val="21"/>
        </w:rPr>
      </w:pPr>
      <w:r>
        <w:rPr>
          <w:rFonts w:hint="eastAsia"/>
          <w:color w:val="000000"/>
          <w:szCs w:val="21"/>
        </w:rPr>
        <w:t>本细则代替《省市场监管局关于发布</w:t>
      </w:r>
      <w:r>
        <w:rPr>
          <w:rFonts w:hint="eastAsia"/>
          <w:color w:val="000000"/>
          <w:szCs w:val="21"/>
          <w:lang w:val="en-US" w:eastAsia="zh-CN"/>
        </w:rPr>
        <w:t>2021年版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37</w:t>
      </w:r>
      <w:r>
        <w:rPr>
          <w:rFonts w:hint="eastAsia"/>
          <w:color w:val="000000"/>
          <w:szCs w:val="21"/>
        </w:rPr>
        <w:t>号）中的《贵州省</w:t>
      </w:r>
      <w:r>
        <w:rPr>
          <w:rFonts w:hint="eastAsia"/>
          <w:color w:val="000000"/>
          <w:szCs w:val="21"/>
          <w:lang w:eastAsia="zh-CN"/>
        </w:rPr>
        <w:t>低密度聚乙烯管材</w:t>
      </w:r>
      <w:r>
        <w:rPr>
          <w:rFonts w:hint="eastAsia"/>
          <w:color w:val="000000"/>
          <w:szCs w:val="21"/>
        </w:rPr>
        <w:t>产品质量监督抽查实施细则（</w:t>
      </w:r>
      <w:r>
        <w:rPr>
          <w:rFonts w:hint="eastAsia" w:ascii="Times New Roman" w:hAnsi="Times New Roman" w:eastAsia="宋体" w:cs="Times New Roman"/>
          <w:color w:val="000000"/>
          <w:szCs w:val="21"/>
          <w:lang w:val="en-US" w:eastAsia="zh-CN"/>
        </w:rPr>
        <w:t>2021年版</w:t>
      </w:r>
      <w:r>
        <w:rPr>
          <w:rFonts w:hint="eastAsia"/>
          <w:color w:val="000000"/>
          <w:szCs w:val="21"/>
        </w:rPr>
        <w:t>）》。</w:t>
      </w:r>
      <w:bookmarkEnd w:id="0"/>
    </w:p>
    <w:p>
      <w:pPr>
        <w:keepNext w:val="0"/>
        <w:keepLines w:val="0"/>
        <w:pageBreakBefore w:val="0"/>
        <w:kinsoku/>
        <w:wordWrap/>
        <w:overflowPunct/>
        <w:topLinePunct w:val="0"/>
        <w:autoSpaceDE/>
        <w:autoSpaceDN/>
        <w:bidi w:val="0"/>
        <w:spacing w:beforeAutospacing="0" w:afterAutospacing="0" w:line="44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31533E"/>
    <w:rsid w:val="0047782E"/>
    <w:rsid w:val="00A51F7A"/>
    <w:rsid w:val="011A1CFC"/>
    <w:rsid w:val="027F79C0"/>
    <w:rsid w:val="08471E17"/>
    <w:rsid w:val="0AC85190"/>
    <w:rsid w:val="173E7F9C"/>
    <w:rsid w:val="17822027"/>
    <w:rsid w:val="194E42D3"/>
    <w:rsid w:val="1AC17378"/>
    <w:rsid w:val="1FF32F81"/>
    <w:rsid w:val="37D22572"/>
    <w:rsid w:val="3B6F27A2"/>
    <w:rsid w:val="3D1366E2"/>
    <w:rsid w:val="3DC04C4F"/>
    <w:rsid w:val="3EED9D18"/>
    <w:rsid w:val="4031533E"/>
    <w:rsid w:val="404379A9"/>
    <w:rsid w:val="41650972"/>
    <w:rsid w:val="43B709B9"/>
    <w:rsid w:val="45E80A4B"/>
    <w:rsid w:val="53911F45"/>
    <w:rsid w:val="57B1332F"/>
    <w:rsid w:val="5FAC5862"/>
    <w:rsid w:val="5FF3010E"/>
    <w:rsid w:val="6DCC1EA4"/>
    <w:rsid w:val="709637A6"/>
    <w:rsid w:val="737B607C"/>
    <w:rsid w:val="7BC10A4F"/>
    <w:rsid w:val="7C802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kern w:val="0"/>
      <w:sz w:val="24"/>
      <w:szCs w:val="20"/>
    </w:rPr>
  </w:style>
  <w:style w:type="character" w:styleId="8">
    <w:name w:val="page number"/>
    <w:basedOn w:val="7"/>
    <w:qFormat/>
    <w:uiPriority w:val="0"/>
  </w:style>
  <w:style w:type="paragraph" w:customStyle="1" w:styleId="9">
    <w:name w:val="Other|1"/>
    <w:basedOn w:val="1"/>
    <w:qFormat/>
    <w:uiPriority w:val="0"/>
    <w:pPr>
      <w:spacing w:after="40" w:line="346" w:lineRule="auto"/>
      <w:ind w:firstLine="400"/>
    </w:pPr>
    <w:rPr>
      <w:rFonts w:ascii="宋体" w:hAnsi="宋体" w:cs="宋体"/>
      <w:sz w:val="19"/>
      <w:szCs w:val="19"/>
      <w:lang w:val="zh-TW" w:eastAsia="zh-TW" w:bidi="zh-TW"/>
    </w:rPr>
  </w:style>
  <w:style w:type="paragraph" w:customStyle="1" w:styleId="10">
    <w:name w:val="Body text|1"/>
    <w:basedOn w:val="1"/>
    <w:qFormat/>
    <w:uiPriority w:val="0"/>
    <w:pPr>
      <w:spacing w:after="40" w:line="346" w:lineRule="auto"/>
      <w:ind w:firstLine="400"/>
    </w:pPr>
    <w:rPr>
      <w:rFonts w:ascii="宋体" w:hAnsi="宋体" w:cs="宋体"/>
      <w:sz w:val="19"/>
      <w:szCs w:val="19"/>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166</Words>
  <Characters>949</Characters>
  <Lines>7</Lines>
  <Paragraphs>2</Paragraphs>
  <TotalTime>0</TotalTime>
  <ScaleCrop>false</ScaleCrop>
  <LinksUpToDate>false</LinksUpToDate>
  <CharactersWithSpaces>1113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2020-06-02T21:43:00Z</dcterms:created>
  <dc:creator>Administrator</dc:creator>
  <cp:lastModifiedBy>ysgz</cp:lastModifiedBy>
  <dcterms:modified xsi:type="dcterms:W3CDTF">2022-04-27T09:49:02Z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9EE1C51ADBD746348037B6879724C659</vt:lpwstr>
  </property>
  <property fmtid="{D5CDD505-2E9C-101B-9397-08002B2CF9AE}" pid="4" name="KSOSaveFontToCloudKey">
    <vt:lpwstr>425104523_cloud</vt:lpwstr>
  </property>
</Properties>
</file>