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eastAsia="方正小标宋_GBK" w:cs="方正仿宋简体"/>
          <w:color w:val="000000"/>
          <w:sz w:val="32"/>
          <w:szCs w:val="32"/>
        </w:rPr>
      </w:pPr>
      <w:r>
        <w:rPr>
          <w:rFonts w:hint="eastAsia" w:eastAsia="方正小标宋简体" w:cs="方正仿宋简体"/>
          <w:color w:val="000000"/>
          <w:sz w:val="32"/>
          <w:szCs w:val="32"/>
        </w:rPr>
        <w:t>贵州省童鞋产品质量监督抽查实施细则</w:t>
      </w:r>
    </w:p>
    <w:p>
      <w:pPr>
        <w:adjustRightInd w:val="0"/>
        <w:snapToGrid w:val="0"/>
        <w:spacing w:line="594" w:lineRule="exact"/>
        <w:jc w:val="center"/>
        <w:rPr>
          <w:rFonts w:eastAsia="方正小标宋简体" w:cs="方正仿宋简体"/>
          <w:color w:val="000000"/>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adjustRightInd w:val="0"/>
        <w:snapToGrid w:val="0"/>
        <w:spacing w:line="594" w:lineRule="exact"/>
        <w:jc w:val="center"/>
        <w:rPr>
          <w:rFonts w:ascii="Times New Roman" w:hAnsi="Times New Roman"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1 </w:t>
      </w:r>
      <w:r>
        <w:rPr>
          <w:rFonts w:hint="eastAsia" w:ascii="Times New Roman" w:hAnsi="Times New Roman" w:eastAsia="黑体" w:cs="黑体"/>
          <w:color w:val="000000"/>
        </w:rPr>
        <w:t>抽样方法</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随机数一般可使用随机数表等方法产生。</w:t>
      </w: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每批次产品抽取样品3双，其中2双作为检验样品，1双作为备用样品。</w:t>
      </w:r>
    </w:p>
    <w:p>
      <w:pPr>
        <w:tabs>
          <w:tab w:val="left" w:pos="2970"/>
        </w:tabs>
        <w:adjustRightInd w:val="0"/>
        <w:snapToGrid w:val="0"/>
        <w:spacing w:line="440" w:lineRule="exact"/>
        <w:rPr>
          <w:rFonts w:ascii="Times New Roman" w:hAnsi="Times New Roman" w:eastAsia="黑体"/>
          <w:color w:val="000000"/>
        </w:rPr>
      </w:pPr>
      <w:r>
        <w:rPr>
          <w:rFonts w:ascii="Times New Roman" w:hAnsi="Times New Roman" w:eastAsia="黑体"/>
          <w:color w:val="000000"/>
        </w:rPr>
        <w:tab/>
      </w:r>
    </w:p>
    <w:p>
      <w:pPr>
        <w:adjustRightInd w:val="0"/>
        <w:snapToGrid w:val="0"/>
        <w:spacing w:line="440" w:lineRule="exact"/>
        <w:rPr>
          <w:rFonts w:ascii="Times New Roman" w:hAnsi="Times New Roman"/>
          <w:color w:val="000000"/>
        </w:rPr>
      </w:pPr>
      <w:r>
        <w:rPr>
          <w:rFonts w:ascii="Times New Roman" w:hAnsi="Times New Roman" w:cs="宋体"/>
          <w:color w:val="000000"/>
        </w:rPr>
        <w:t xml:space="preserve">2 </w:t>
      </w:r>
      <w:r>
        <w:rPr>
          <w:rFonts w:hint="eastAsia" w:ascii="Times New Roman" w:hAnsi="Times New Roman" w:eastAsia="黑体" w:cs="黑体"/>
          <w:color w:val="000000"/>
        </w:rPr>
        <w:t>检验依据</w:t>
      </w:r>
    </w:p>
    <w:p>
      <w:pPr>
        <w:adjustRightInd w:val="0"/>
        <w:snapToGrid w:val="0"/>
        <w:spacing w:before="156" w:beforeLines="50"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1 </w:t>
      </w:r>
      <w:r>
        <w:rPr>
          <w:rFonts w:hint="eastAsia" w:ascii="Times New Roman" w:hAnsi="Times New Roman" w:cs="宋体"/>
        </w:rPr>
        <w:t>儿童旅游鞋</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3820"/>
        <w:gridCol w:w="4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15"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8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40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帮底剥离强度或</w:t>
            </w:r>
          </w:p>
          <w:p>
            <w:pPr>
              <w:adjustRightInd w:val="0"/>
              <w:snapToGrid w:val="0"/>
              <w:jc w:val="center"/>
              <w:rPr>
                <w:rFonts w:ascii="Times New Roman" w:hAnsi="Times New Roman" w:cs="宋体"/>
              </w:rPr>
            </w:pPr>
            <w:r>
              <w:rPr>
                <w:rFonts w:hint="eastAsia" w:ascii="Times New Roman" w:hAnsi="Times New Roman" w:cs="宋体"/>
              </w:rPr>
              <w:t>底墙与帮面剥离强度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82" w:type="pct"/>
            <w:vAlign w:val="center"/>
          </w:tcPr>
          <w:p>
            <w:pPr>
              <w:adjustRightInd w:val="0"/>
              <w:snapToGrid w:val="0"/>
              <w:jc w:val="center"/>
              <w:rPr>
                <w:rFonts w:ascii="Times New Roman" w:hAnsi="Times New Roman" w:cs="宋体"/>
                <w:color w:val="FF0000"/>
              </w:rPr>
            </w:pPr>
            <w:r>
              <w:rPr>
                <w:rFonts w:hint="eastAsia" w:ascii="Times New Roman" w:hAnsi="Times New Roman" w:cs="宋体"/>
              </w:rPr>
              <w:t>外底耐磨性能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物理机械安全性能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 30585-2014</w:t>
            </w:r>
          </w:p>
          <w:p>
            <w:pPr>
              <w:adjustRightInd w:val="0"/>
              <w:snapToGrid w:val="0"/>
              <w:jc w:val="center"/>
              <w:rPr>
                <w:rFonts w:ascii="Times New Roman" w:hAnsi="Times New Roman" w:cs="宋体"/>
              </w:rPr>
            </w:pPr>
            <w:r>
              <w:rPr>
                <w:rFonts w:ascii="Times New Roman" w:hAnsi="Times New Roman" w:cs="宋体"/>
              </w:rPr>
              <w:t>GB 6675.2-2014</w:t>
            </w:r>
            <w:r>
              <w:rPr>
                <w:rFonts w:hint="eastAsia" w:ascii="Times New Roman" w:hAnsi="Times New Roman" w:cs="宋体"/>
              </w:rPr>
              <w:t xml:space="preserve"> 第5.8、5.9条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7</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重金属总量（砷、铅、镉）</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富马酸二甲酯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10</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橡胶部件中的</w:t>
            </w:r>
            <w:r>
              <w:rPr>
                <w:rFonts w:ascii="Times New Roman" w:hAnsi="Times New Roman" w:cs="宋体"/>
              </w:rPr>
              <w:t>N-</w:t>
            </w:r>
            <w:r>
              <w:rPr>
                <w:rFonts w:hint="eastAsia" w:ascii="Times New Roman" w:hAnsi="Times New Roman" w:cs="宋体"/>
              </w:rPr>
              <w:t>亚硝基胺（婴幼儿鞋）</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11</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bl>
    <w:p>
      <w:pPr>
        <w:adjustRightInd w:val="0"/>
        <w:snapToGrid w:val="0"/>
        <w:spacing w:line="440" w:lineRule="exact"/>
        <w:jc w:val="center"/>
        <w:rPr>
          <w:rFonts w:ascii="Times New Roman" w:hAnsi="Times New Roman" w:eastAsia="仿宋"/>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2 </w:t>
      </w:r>
      <w:r>
        <w:rPr>
          <w:rFonts w:hint="eastAsia" w:ascii="Times New Roman" w:hAnsi="Times New Roman" w:cs="宋体"/>
        </w:rPr>
        <w:t>儿童皮鞋</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3817"/>
        <w:gridCol w:w="4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16"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81"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402"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耐磨性能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剥离强度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鞋帮拉出强度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钢勾心纵向刚度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钢勾心硬度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7</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钢勾心长度下限值</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钢勾心弯曲性能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物理机械安全性能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 30585-2014</w:t>
            </w:r>
          </w:p>
          <w:p>
            <w:pPr>
              <w:adjustRightInd w:val="0"/>
              <w:snapToGrid w:val="0"/>
              <w:jc w:val="center"/>
              <w:rPr>
                <w:rFonts w:ascii="Times New Roman" w:hAnsi="Times New Roman" w:cs="宋体"/>
              </w:rPr>
            </w:pPr>
            <w:r>
              <w:rPr>
                <w:rFonts w:ascii="Times New Roman" w:hAnsi="Times New Roman" w:cs="宋体"/>
              </w:rPr>
              <w:t>GB 6675.2-2014</w:t>
            </w:r>
            <w:r>
              <w:rPr>
                <w:rFonts w:hint="eastAsia" w:ascii="Times New Roman" w:hAnsi="Times New Roman" w:cs="宋体"/>
              </w:rPr>
              <w:t xml:space="preserve"> 第5.8、5.9条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10</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11</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12</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13</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重金属总量（砷、铅、镉）</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14</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富马酸二甲酯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15</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橡胶部件中的</w:t>
            </w:r>
            <w:r>
              <w:rPr>
                <w:rFonts w:ascii="Times New Roman" w:hAnsi="Times New Roman" w:cs="宋体"/>
              </w:rPr>
              <w:t>N-</w:t>
            </w:r>
            <w:r>
              <w:rPr>
                <w:rFonts w:hint="eastAsia" w:ascii="Times New Roman" w:hAnsi="Times New Roman" w:cs="宋体"/>
              </w:rPr>
              <w:t>亚硝基胺（婴幼儿鞋）</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16</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bl>
    <w:p>
      <w:pPr>
        <w:adjustRightInd w:val="0"/>
        <w:snapToGrid w:val="0"/>
        <w:spacing w:line="440" w:lineRule="exact"/>
        <w:jc w:val="center"/>
        <w:rPr>
          <w:rFonts w:ascii="Times New Roman" w:hAnsi="Times New Roman" w:eastAsia="仿宋"/>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3 </w:t>
      </w:r>
      <w:r>
        <w:rPr>
          <w:rFonts w:hint="eastAsia" w:ascii="Times New Roman" w:hAnsi="Times New Roman" w:cs="宋体"/>
        </w:rPr>
        <w:t>儿童皮凉鞋</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
        <w:gridCol w:w="3793"/>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6"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67"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396"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耐磨性能</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帮底剥离强度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帮带拉出强度或</w:t>
            </w:r>
          </w:p>
          <w:p>
            <w:pPr>
              <w:adjustRightInd w:val="0"/>
              <w:snapToGrid w:val="0"/>
              <w:jc w:val="center"/>
              <w:rPr>
                <w:rFonts w:ascii="Times New Roman" w:hAnsi="Times New Roman" w:cs="宋体"/>
              </w:rPr>
            </w:pPr>
            <w:r>
              <w:rPr>
                <w:rFonts w:hint="eastAsia" w:ascii="Times New Roman" w:hAnsi="Times New Roman" w:cs="宋体"/>
              </w:rPr>
              <w:t>帮带拔出力</w:t>
            </w:r>
          </w:p>
        </w:tc>
        <w:tc>
          <w:tcPr>
            <w:tcW w:w="2396" w:type="pct"/>
            <w:vAlign w:val="center"/>
          </w:tcPr>
          <w:p>
            <w:pPr>
              <w:adjustRightInd w:val="0"/>
              <w:snapToGrid w:val="0"/>
              <w:jc w:val="center"/>
              <w:rPr>
                <w:rFonts w:ascii="Times New Roman" w:hAnsi="Times New Roman" w:cs="宋体"/>
              </w:rPr>
            </w:pPr>
            <w:r>
              <w:rPr>
                <w:rFonts w:hint="eastAsia" w:ascii="Times New Roman" w:hAnsi="Times New Roman" w:cs="宋体"/>
              </w:rPr>
              <w:t>QB/T 4546-2013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钢勾心纵向刚度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钢勾心硬度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7</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钢勾心长度下限值</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钢勾心弯曲性能</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物理机械安全性能</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 30585-2014</w:t>
            </w:r>
          </w:p>
          <w:p>
            <w:pPr>
              <w:adjustRightInd w:val="0"/>
              <w:snapToGrid w:val="0"/>
              <w:jc w:val="center"/>
              <w:rPr>
                <w:rFonts w:ascii="Times New Roman" w:hAnsi="Times New Roman" w:cs="宋体"/>
              </w:rPr>
            </w:pPr>
            <w:r>
              <w:rPr>
                <w:rFonts w:ascii="Times New Roman" w:hAnsi="Times New Roman" w:cs="宋体"/>
              </w:rPr>
              <w:t>GB 6675.2-2014</w:t>
            </w:r>
            <w:r>
              <w:rPr>
                <w:rFonts w:hint="eastAsia" w:ascii="Times New Roman" w:hAnsi="Times New Roman" w:cs="宋体"/>
              </w:rPr>
              <w:t xml:space="preserve"> 第5.8、5.9条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10</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11</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12</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13</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重金属总量（砷、铅、镉）</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14</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富马酸二甲酯</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15</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橡胶部件中的</w:t>
            </w:r>
            <w:r>
              <w:rPr>
                <w:rFonts w:ascii="Times New Roman" w:hAnsi="Times New Roman" w:cs="宋体"/>
              </w:rPr>
              <w:t>N-</w:t>
            </w:r>
            <w:r>
              <w:rPr>
                <w:rFonts w:hint="eastAsia" w:ascii="Times New Roman" w:hAnsi="Times New Roman" w:cs="宋体"/>
              </w:rPr>
              <w:t>亚硝基胺（婴幼儿鞋）</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16</w:t>
            </w:r>
          </w:p>
        </w:tc>
        <w:tc>
          <w:tcPr>
            <w:tcW w:w="2067"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bl>
    <w:p>
      <w:pPr>
        <w:adjustRightInd w:val="0"/>
        <w:snapToGrid w:val="0"/>
        <w:spacing w:line="440" w:lineRule="exact"/>
        <w:jc w:val="center"/>
        <w:rPr>
          <w:rFonts w:ascii="Times New Roman" w:hAnsi="Times New Roman" w:cs="宋体"/>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4 </w:t>
      </w:r>
      <w:r>
        <w:rPr>
          <w:rFonts w:hint="eastAsia" w:ascii="Times New Roman" w:hAnsi="Times New Roman" w:cs="宋体"/>
        </w:rPr>
        <w:t>布面童胶鞋</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811"/>
        <w:gridCol w:w="2985"/>
        <w:gridCol w:w="4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3"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69" w:type="pct"/>
            <w:gridSpan w:val="2"/>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397"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69" w:type="pct"/>
            <w:gridSpan w:val="2"/>
            <w:vAlign w:val="center"/>
          </w:tcPr>
          <w:p>
            <w:pPr>
              <w:adjustRightInd w:val="0"/>
              <w:snapToGrid w:val="0"/>
              <w:jc w:val="center"/>
              <w:rPr>
                <w:rFonts w:ascii="Times New Roman" w:hAnsi="Times New Roman" w:cs="宋体"/>
              </w:rPr>
            </w:pPr>
            <w:r>
              <w:rPr>
                <w:rFonts w:ascii="Times New Roman" w:hAnsi="Times New Roman" w:cs="宋体"/>
              </w:rPr>
              <w:t>pH</w:t>
            </w:r>
            <w:r>
              <w:rPr>
                <w:rFonts w:hint="eastAsia" w:ascii="Times New Roman" w:hAnsi="Times New Roman" w:cs="宋体"/>
              </w:rPr>
              <w:t>值</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游离甲醛</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可萃取的重金属</w:t>
            </w:r>
          </w:p>
          <w:p>
            <w:pPr>
              <w:adjustRightInd w:val="0"/>
              <w:snapToGrid w:val="0"/>
              <w:jc w:val="center"/>
              <w:rPr>
                <w:rFonts w:ascii="Times New Roman" w:hAnsi="Times New Roman" w:cs="宋体"/>
              </w:rPr>
            </w:pPr>
            <w:r>
              <w:rPr>
                <w:rFonts w:hint="eastAsia" w:ascii="Times New Roman" w:hAnsi="Times New Roman" w:cs="宋体"/>
              </w:rPr>
              <w:t>（铅（</w:t>
            </w:r>
            <w:r>
              <w:rPr>
                <w:rFonts w:ascii="Times New Roman" w:hAnsi="Times New Roman" w:cs="宋体"/>
              </w:rPr>
              <w:t>Pb</w:t>
            </w:r>
            <w:r>
              <w:rPr>
                <w:rFonts w:hint="eastAsia" w:ascii="Times New Roman" w:hAnsi="Times New Roman" w:cs="宋体"/>
              </w:rPr>
              <w:t>）、镉（</w:t>
            </w:r>
            <w:r>
              <w:rPr>
                <w:rFonts w:ascii="Times New Roman" w:hAnsi="Times New Roman" w:cs="宋体"/>
              </w:rPr>
              <w:t>Cd</w:t>
            </w:r>
            <w:r>
              <w:rPr>
                <w:rFonts w:hint="eastAsia" w:ascii="Times New Roman" w:hAnsi="Times New Roman" w:cs="宋体"/>
              </w:rPr>
              <w:t>）、砷（</w:t>
            </w:r>
            <w:r>
              <w:rPr>
                <w:rFonts w:ascii="Times New Roman" w:hAnsi="Times New Roman" w:cs="宋体"/>
              </w:rPr>
              <w:t>As</w:t>
            </w:r>
            <w:r>
              <w:rPr>
                <w:rFonts w:hint="eastAsia" w:ascii="Times New Roman" w:hAnsi="Times New Roman" w:cs="宋体"/>
              </w:rPr>
              <w:t>））</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含氯酚</w:t>
            </w:r>
          </w:p>
          <w:p>
            <w:pPr>
              <w:adjustRightInd w:val="0"/>
              <w:snapToGrid w:val="0"/>
              <w:jc w:val="center"/>
              <w:rPr>
                <w:rFonts w:ascii="Times New Roman" w:hAnsi="Times New Roman" w:cs="宋体"/>
              </w:rPr>
            </w:pPr>
            <w:r>
              <w:rPr>
                <w:rFonts w:hint="eastAsia" w:ascii="Times New Roman" w:hAnsi="Times New Roman" w:cs="宋体"/>
              </w:rPr>
              <w:t>（五氯苯酚（</w:t>
            </w:r>
            <w:r>
              <w:rPr>
                <w:rFonts w:ascii="Times New Roman" w:hAnsi="Times New Roman" w:cs="宋体"/>
              </w:rPr>
              <w:t>PCP</w:t>
            </w:r>
            <w:r>
              <w:rPr>
                <w:rFonts w:hint="eastAsia" w:ascii="Times New Roman" w:hAnsi="Times New Roman" w:cs="宋体"/>
              </w:rPr>
              <w:t>）、</w:t>
            </w:r>
          </w:p>
          <w:p>
            <w:pPr>
              <w:adjustRightInd w:val="0"/>
              <w:snapToGrid w:val="0"/>
              <w:jc w:val="center"/>
              <w:rPr>
                <w:rFonts w:ascii="Times New Roman" w:hAnsi="Times New Roman" w:cs="宋体"/>
              </w:rPr>
            </w:pPr>
            <w:r>
              <w:rPr>
                <w:rFonts w:ascii="Times New Roman" w:hAnsi="Times New Roman" w:cs="宋体"/>
              </w:rPr>
              <w:t>2,3,5,6-</w:t>
            </w:r>
            <w:r>
              <w:rPr>
                <w:rFonts w:hint="eastAsia" w:ascii="Times New Roman" w:hAnsi="Times New Roman" w:cs="宋体"/>
              </w:rPr>
              <w:t>四氯苯酚（</w:t>
            </w:r>
            <w:r>
              <w:rPr>
                <w:rFonts w:ascii="Times New Roman" w:hAnsi="Times New Roman" w:cs="宋体"/>
              </w:rPr>
              <w:t>TeCP</w:t>
            </w:r>
            <w:r>
              <w:rPr>
                <w:rFonts w:hint="eastAsia" w:ascii="Times New Roman" w:hAnsi="Times New Roman" w:cs="宋体"/>
              </w:rPr>
              <w:t>））</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69" w:type="pct"/>
            <w:gridSpan w:val="2"/>
            <w:vAlign w:val="center"/>
          </w:tcPr>
          <w:p>
            <w:pPr>
              <w:adjustRightInd w:val="0"/>
              <w:snapToGrid w:val="0"/>
              <w:jc w:val="center"/>
              <w:rPr>
                <w:rFonts w:ascii="Times New Roman" w:hAnsi="Times New Roman" w:cs="宋体"/>
              </w:rPr>
            </w:pPr>
            <w:r>
              <w:rPr>
                <w:rFonts w:ascii="Times New Roman" w:hAnsi="Times New Roman" w:cs="宋体"/>
              </w:rPr>
              <w:t>N-</w:t>
            </w:r>
            <w:r>
              <w:rPr>
                <w:rFonts w:hint="eastAsia" w:ascii="Times New Roman" w:hAnsi="Times New Roman" w:cs="宋体"/>
              </w:rPr>
              <w:t>亚硝基胺</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Merge w:val="restart"/>
            <w:vAlign w:val="center"/>
          </w:tcPr>
          <w:p>
            <w:pPr>
              <w:adjustRightInd w:val="0"/>
              <w:snapToGrid w:val="0"/>
              <w:jc w:val="center"/>
              <w:rPr>
                <w:rFonts w:ascii="Times New Roman" w:hAnsi="Times New Roman" w:cs="宋体"/>
              </w:rPr>
            </w:pPr>
            <w:r>
              <w:rPr>
                <w:rFonts w:ascii="Times New Roman" w:hAnsi="Times New Roman" w:cs="宋体"/>
              </w:rPr>
              <w:t>7</w:t>
            </w:r>
          </w:p>
        </w:tc>
        <w:tc>
          <w:tcPr>
            <w:tcW w:w="442" w:type="pct"/>
            <w:vMerge w:val="restart"/>
            <w:vAlign w:val="center"/>
          </w:tcPr>
          <w:p>
            <w:pPr>
              <w:adjustRightInd w:val="0"/>
              <w:snapToGrid w:val="0"/>
              <w:jc w:val="center"/>
              <w:rPr>
                <w:rFonts w:ascii="Times New Roman" w:hAnsi="Times New Roman" w:cs="宋体"/>
              </w:rPr>
            </w:pPr>
            <w:r>
              <w:rPr>
                <w:rFonts w:hint="eastAsia" w:ascii="Times New Roman" w:hAnsi="Times New Roman" w:cs="宋体"/>
              </w:rPr>
              <w:t>物理安全性能</w:t>
            </w:r>
          </w:p>
        </w:tc>
        <w:tc>
          <w:tcPr>
            <w:tcW w:w="1626" w:type="pct"/>
            <w:vAlign w:val="center"/>
          </w:tcPr>
          <w:p>
            <w:pPr>
              <w:adjustRightInd w:val="0"/>
              <w:snapToGrid w:val="0"/>
              <w:jc w:val="center"/>
              <w:rPr>
                <w:rFonts w:ascii="Times New Roman" w:hAnsi="Times New Roman" w:cs="宋体"/>
              </w:rPr>
            </w:pPr>
            <w:r>
              <w:rPr>
                <w:rFonts w:hint="eastAsia" w:ascii="Times New Roman" w:hAnsi="Times New Roman" w:cs="宋体"/>
              </w:rPr>
              <w:t>断针检测</w:t>
            </w:r>
          </w:p>
        </w:tc>
        <w:tc>
          <w:tcPr>
            <w:tcW w:w="2397" w:type="pct"/>
            <w:vAlign w:val="center"/>
          </w:tcPr>
          <w:p>
            <w:pPr>
              <w:adjustRightInd w:val="0"/>
              <w:snapToGrid w:val="0"/>
              <w:jc w:val="center"/>
              <w:rPr>
                <w:rFonts w:ascii="Times New Roman" w:hAnsi="Times New Roman" w:cs="宋体"/>
              </w:rPr>
            </w:pPr>
            <w:r>
              <w:rPr>
                <w:rFonts w:hint="eastAsia" w:ascii="Times New Roman" w:hAnsi="Times New Roman" w:cs="宋体"/>
              </w:rPr>
              <w:t>GB 25036-2010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6" w:type="pct"/>
            <w:vAlign w:val="center"/>
          </w:tcPr>
          <w:p>
            <w:pPr>
              <w:adjustRightInd w:val="0"/>
              <w:snapToGrid w:val="0"/>
              <w:jc w:val="center"/>
              <w:rPr>
                <w:rFonts w:ascii="Times New Roman" w:hAnsi="Times New Roman" w:cs="宋体"/>
              </w:rPr>
            </w:pPr>
            <w:r>
              <w:rPr>
                <w:rFonts w:hint="eastAsia" w:ascii="Times New Roman" w:hAnsi="Times New Roman" w:cs="宋体"/>
              </w:rPr>
              <w:t>可触及的锐利边缘</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 6675-2003 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6" w:type="pct"/>
            <w:vAlign w:val="center"/>
          </w:tcPr>
          <w:p>
            <w:pPr>
              <w:adjustRightInd w:val="0"/>
              <w:snapToGrid w:val="0"/>
              <w:jc w:val="center"/>
              <w:rPr>
                <w:rFonts w:ascii="Times New Roman" w:hAnsi="Times New Roman" w:cs="宋体"/>
              </w:rPr>
            </w:pPr>
            <w:r>
              <w:rPr>
                <w:rFonts w:hint="eastAsia" w:ascii="Times New Roman" w:hAnsi="Times New Roman" w:cs="宋体"/>
              </w:rPr>
              <w:t>可触及的锐利尖端</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 6675-2003 A.5.9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6" w:type="pct"/>
            <w:vAlign w:val="center"/>
          </w:tcPr>
          <w:p>
            <w:pPr>
              <w:adjustRightInd w:val="0"/>
              <w:snapToGrid w:val="0"/>
              <w:jc w:val="center"/>
              <w:rPr>
                <w:rFonts w:ascii="Times New Roman" w:hAnsi="Times New Roman" w:cs="宋体"/>
              </w:rPr>
            </w:pPr>
            <w:r>
              <w:rPr>
                <w:rFonts w:hint="eastAsia" w:ascii="Times New Roman" w:hAnsi="Times New Roman" w:cs="宋体"/>
              </w:rPr>
              <w:t>可拆卸或经可预见的合理滥用测试后脱落的小附件</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 6675-2003 A.5.2</w:t>
            </w:r>
            <w:r>
              <w:rPr>
                <w:rFonts w:hint="eastAsia" w:ascii="Times New Roman" w:hAnsi="Times New Roman" w:cs="宋体"/>
              </w:rPr>
              <w:t>、</w:t>
            </w:r>
            <w:r>
              <w:rPr>
                <w:rFonts w:ascii="Times New Roman" w:hAnsi="Times New Roman" w:cs="宋体"/>
              </w:rPr>
              <w:t>A.5.24.5</w:t>
            </w:r>
            <w:r>
              <w:rPr>
                <w:rFonts w:hint="eastAsia" w:ascii="Times New Roman" w:hAnsi="Times New Roman" w:cs="宋体"/>
              </w:rPr>
              <w:t>、A</w:t>
            </w:r>
            <w:r>
              <w:rPr>
                <w:rFonts w:ascii="Times New Roman" w:hAnsi="Times New Roman" w:cs="宋体"/>
              </w:rPr>
              <w:t>.5.24.6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531-1999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3"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围条与鞋帮粘附强度</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532-1997</w:t>
            </w:r>
          </w:p>
        </w:tc>
      </w:tr>
    </w:tbl>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olor w:val="000000"/>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200"/>
        <w:rPr>
          <w:rFonts w:ascii="Times New Roman" w:hAnsi="Times New Roman" w:eastAsia="黑体" w:cs="黑体"/>
          <w:color w:val="000000"/>
        </w:rPr>
      </w:pP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3 </w:t>
      </w:r>
      <w:r>
        <w:rPr>
          <w:rFonts w:hint="eastAsia" w:ascii="Times New Roman" w:hAnsi="Times New Roman" w:eastAsia="黑体" w:cs="黑体"/>
          <w:color w:val="000000"/>
        </w:rPr>
        <w:t>判定规则</w:t>
      </w:r>
    </w:p>
    <w:p>
      <w:pPr>
        <w:adjustRightInd w:val="0"/>
        <w:snapToGrid w:val="0"/>
        <w:spacing w:line="440" w:lineRule="exact"/>
        <w:jc w:val="left"/>
        <w:rPr>
          <w:rFonts w:ascii="Times New Roman" w:hAnsi="Times New Roman"/>
          <w:color w:val="000000"/>
        </w:rPr>
      </w:pPr>
      <w:r>
        <w:rPr>
          <w:rFonts w:ascii="Times New Roman" w:hAnsi="Times New Roman" w:cs="宋体"/>
          <w:color w:val="000000"/>
        </w:rPr>
        <w:t>3.1</w:t>
      </w:r>
      <w:r>
        <w:rPr>
          <w:rFonts w:hint="eastAsia" w:ascii="Times New Roman" w:hAnsi="Times New Roman" w:cs="宋体"/>
          <w:color w:val="000000"/>
        </w:rPr>
        <w:t>依据标准</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GB 30585-2014</w:t>
      </w:r>
      <w:r>
        <w:rPr>
          <w:rFonts w:hint="eastAsia" w:ascii="Times New Roman" w:hAnsi="Times New Roman" w:cs="宋体"/>
          <w:color w:val="000000"/>
        </w:rPr>
        <w:t xml:space="preserve"> 儿童鞋安全技术规范</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 xml:space="preserve">GB 25036-2010 </w:t>
      </w:r>
      <w:r>
        <w:rPr>
          <w:rFonts w:hint="eastAsia" w:ascii="Times New Roman" w:hAnsi="Times New Roman" w:cs="宋体"/>
          <w:color w:val="000000"/>
        </w:rPr>
        <w:t>布面童胶鞋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4331-2012</w:t>
      </w:r>
      <w:r>
        <w:rPr>
          <w:rFonts w:hint="eastAsia" w:ascii="Times New Roman" w:hAnsi="Times New Roman" w:cs="宋体"/>
          <w:color w:val="000000"/>
        </w:rPr>
        <w:t xml:space="preserve"> 儿童旅游鞋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2880-2016</w:t>
      </w:r>
      <w:r>
        <w:rPr>
          <w:rFonts w:hint="eastAsia" w:ascii="Times New Roman" w:hAnsi="Times New Roman" w:cs="宋体"/>
          <w:color w:val="000000"/>
        </w:rPr>
        <w:t xml:space="preserve"> 儿童皮鞋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4546-2013</w:t>
      </w:r>
      <w:r>
        <w:rPr>
          <w:rFonts w:hint="eastAsia" w:ascii="Times New Roman" w:hAnsi="Times New Roman" w:cs="宋体"/>
          <w:color w:val="000000"/>
        </w:rPr>
        <w:t xml:space="preserve"> 儿童皮凉鞋</w:t>
      </w:r>
    </w:p>
    <w:p>
      <w:pPr>
        <w:adjustRightInd w:val="0"/>
        <w:snapToGrid w:val="0"/>
        <w:spacing w:line="440" w:lineRule="exact"/>
        <w:ind w:firstLine="359" w:firstLineChars="171"/>
        <w:rPr>
          <w:rFonts w:ascii="Times New Roman" w:hAnsi="Times New Roman"/>
          <w:color w:val="000000"/>
        </w:rPr>
      </w:pPr>
      <w:r>
        <w:rPr>
          <w:rFonts w:hint="eastAsia" w:ascii="Times New Roman" w:hAnsi="Times New Roman" w:cs="宋体"/>
          <w:color w:val="000000"/>
        </w:rPr>
        <w:t>现行有效的企业标准、团体标准、地方标准及产品明示质量要求</w:t>
      </w:r>
    </w:p>
    <w:p>
      <w:pPr>
        <w:adjustRightInd w:val="0"/>
        <w:snapToGrid w:val="0"/>
        <w:spacing w:line="440" w:lineRule="exact"/>
        <w:jc w:val="left"/>
        <w:rPr>
          <w:rFonts w:ascii="Times New Roman" w:hAnsi="Times New Roman"/>
        </w:rPr>
      </w:pPr>
      <w:r>
        <w:rPr>
          <w:rFonts w:ascii="Times New Roman" w:hAnsi="Times New Roman" w:cs="宋体"/>
        </w:rPr>
        <w:t>3.2</w:t>
      </w:r>
      <w:r>
        <w:rPr>
          <w:rFonts w:hint="eastAsia" w:ascii="Times New Roman" w:hAnsi="Times New Roman" w:cs="宋体"/>
        </w:rPr>
        <w:t>判定原则</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经检验，检验项目全部合格，判定为被抽查产品合格；检验项目中任一项或一项以上不合格，判定为被抽查产品不合格。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eastAsia" w:ascii="Times New Roman" w:hAnsi="Times New Roman" w:cs="宋体"/>
          <w:color w:val="000000"/>
        </w:rPr>
      </w:pPr>
      <w:r>
        <w:rPr>
          <w:rFonts w:hint="eastAsia" w:ascii="Times New Roman" w:hAnsi="Times New Roman" w:cs="宋体"/>
          <w:color w:val="000000"/>
        </w:rPr>
        <w:t>若被检产品明示的质量要求缺少本细则中检验项目依据的推荐性标准要求时，该项目不参与判定。</w:t>
      </w:r>
    </w:p>
    <w:p>
      <w:pPr>
        <w:adjustRightInd w:val="0"/>
        <w:snapToGrid w:val="0"/>
        <w:spacing w:line="440" w:lineRule="exact"/>
        <w:ind w:firstLine="417" w:firstLineChars="199"/>
        <w:rPr>
          <w:rFonts w:hint="eastAsia" w:ascii="Times New Roman" w:hAnsi="Times New Roman" w:cs="宋体"/>
          <w:color w:val="000000"/>
        </w:rPr>
      </w:pPr>
    </w:p>
    <w:p>
      <w:pPr>
        <w:spacing w:line="440" w:lineRule="exact"/>
        <w:rPr>
          <w:rFonts w:hint="eastAsia" w:eastAsia="黑体"/>
          <w:color w:val="000000"/>
          <w:szCs w:val="21"/>
        </w:rPr>
      </w:pPr>
      <w:r>
        <w:rPr>
          <w:rFonts w:hint="eastAsia" w:eastAsia="黑体"/>
          <w:color w:val="000000"/>
          <w:szCs w:val="21"/>
        </w:rPr>
        <w:t>4 附则</w:t>
      </w:r>
    </w:p>
    <w:p>
      <w:pPr>
        <w:snapToGrid w:val="0"/>
        <w:spacing w:line="440" w:lineRule="exact"/>
        <w:ind w:firstLine="420" w:firstLineChars="200"/>
        <w:rPr>
          <w:rFonts w:hint="eastAsia"/>
          <w:color w:val="000000"/>
          <w:szCs w:val="21"/>
        </w:rPr>
      </w:pPr>
      <w:bookmarkStart w:id="0" w:name="_GoBack"/>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w:t>
      </w:r>
      <w:bookmarkEnd w:id="0"/>
      <w:r>
        <w:rPr>
          <w:rFonts w:hint="eastAsia"/>
          <w:color w:val="000000"/>
          <w:szCs w:val="21"/>
        </w:rPr>
        <w:t>中的《贵州省</w:t>
      </w:r>
      <w:r>
        <w:rPr>
          <w:rFonts w:hint="eastAsia"/>
          <w:color w:val="000000"/>
          <w:szCs w:val="21"/>
          <w:lang w:eastAsia="zh-CN"/>
        </w:rPr>
        <w:t>童鞋</w:t>
      </w:r>
      <w:r>
        <w:rPr>
          <w:rFonts w:hint="eastAsia"/>
          <w:color w:val="000000"/>
          <w:szCs w:val="21"/>
        </w:rPr>
        <w:t>产品质量监督抽查实施细则（202</w:t>
      </w:r>
      <w:r>
        <w:rPr>
          <w:rFonts w:hint="eastAsia"/>
          <w:color w:val="000000"/>
          <w:szCs w:val="21"/>
          <w:lang w:val="en-US" w:eastAsia="zh-CN"/>
        </w:rPr>
        <w:t>1</w:t>
      </w:r>
      <w:r>
        <w:rPr>
          <w:rFonts w:hint="eastAsia"/>
          <w:color w:val="000000"/>
          <w:szCs w:val="21"/>
        </w:rPr>
        <w:t>版）》。</w:t>
      </w:r>
    </w:p>
    <w:p>
      <w:pPr>
        <w:adjustRightInd w:val="0"/>
        <w:snapToGrid w:val="0"/>
        <w:spacing w:line="440" w:lineRule="exact"/>
        <w:ind w:firstLine="417" w:firstLineChars="199"/>
        <w:rPr>
          <w:rFonts w:hint="eastAsia" w:ascii="Times New Roman" w:hAnsi="Times New Roman" w:cs="宋体"/>
          <w:color w:val="000000"/>
        </w:rPr>
      </w:pPr>
    </w:p>
    <w:sectPr>
      <w:footerReference r:id="rId4" w:type="first"/>
      <w:footerReference r:id="rId3"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5405B"/>
    <w:rsid w:val="000072CC"/>
    <w:rsid w:val="0002043B"/>
    <w:rsid w:val="00026506"/>
    <w:rsid w:val="00077990"/>
    <w:rsid w:val="000A2F7A"/>
    <w:rsid w:val="000A5587"/>
    <w:rsid w:val="000F5A98"/>
    <w:rsid w:val="00103172"/>
    <w:rsid w:val="001233E8"/>
    <w:rsid w:val="0012758A"/>
    <w:rsid w:val="00133CF7"/>
    <w:rsid w:val="00156FFE"/>
    <w:rsid w:val="001B54E5"/>
    <w:rsid w:val="001C45A3"/>
    <w:rsid w:val="002F7E59"/>
    <w:rsid w:val="00363AD5"/>
    <w:rsid w:val="004031D7"/>
    <w:rsid w:val="004375FD"/>
    <w:rsid w:val="00437974"/>
    <w:rsid w:val="004465D6"/>
    <w:rsid w:val="00462456"/>
    <w:rsid w:val="00487378"/>
    <w:rsid w:val="004A75EE"/>
    <w:rsid w:val="004B5F9D"/>
    <w:rsid w:val="004D5D4E"/>
    <w:rsid w:val="004F0585"/>
    <w:rsid w:val="004F1A7A"/>
    <w:rsid w:val="0050716C"/>
    <w:rsid w:val="00513EC4"/>
    <w:rsid w:val="0054269A"/>
    <w:rsid w:val="0057124C"/>
    <w:rsid w:val="0064413B"/>
    <w:rsid w:val="00646F8C"/>
    <w:rsid w:val="00647A4F"/>
    <w:rsid w:val="00647F58"/>
    <w:rsid w:val="00661D48"/>
    <w:rsid w:val="00684DFA"/>
    <w:rsid w:val="006C3505"/>
    <w:rsid w:val="006D1BD5"/>
    <w:rsid w:val="006E0C0B"/>
    <w:rsid w:val="00704466"/>
    <w:rsid w:val="007A6ABF"/>
    <w:rsid w:val="007B7635"/>
    <w:rsid w:val="0084180E"/>
    <w:rsid w:val="00850761"/>
    <w:rsid w:val="008700CA"/>
    <w:rsid w:val="00871D2E"/>
    <w:rsid w:val="008846B4"/>
    <w:rsid w:val="008918B9"/>
    <w:rsid w:val="00894707"/>
    <w:rsid w:val="008C3204"/>
    <w:rsid w:val="008F6B06"/>
    <w:rsid w:val="00905937"/>
    <w:rsid w:val="00932D7B"/>
    <w:rsid w:val="00952820"/>
    <w:rsid w:val="009D6100"/>
    <w:rsid w:val="00A12277"/>
    <w:rsid w:val="00AA4D2B"/>
    <w:rsid w:val="00AE2BAD"/>
    <w:rsid w:val="00AE44AD"/>
    <w:rsid w:val="00AF53A0"/>
    <w:rsid w:val="00B23BC1"/>
    <w:rsid w:val="00BD14F0"/>
    <w:rsid w:val="00BE2A30"/>
    <w:rsid w:val="00C10139"/>
    <w:rsid w:val="00C40F57"/>
    <w:rsid w:val="00C45860"/>
    <w:rsid w:val="00CC797E"/>
    <w:rsid w:val="00CE67F6"/>
    <w:rsid w:val="00CE754F"/>
    <w:rsid w:val="00D05DF5"/>
    <w:rsid w:val="00D5405B"/>
    <w:rsid w:val="00D80E58"/>
    <w:rsid w:val="00DA73F1"/>
    <w:rsid w:val="00DB056C"/>
    <w:rsid w:val="00DE50BD"/>
    <w:rsid w:val="00E21DE6"/>
    <w:rsid w:val="00E67210"/>
    <w:rsid w:val="00EE5CAD"/>
    <w:rsid w:val="00EF2C5F"/>
    <w:rsid w:val="00F37CDF"/>
    <w:rsid w:val="00F50DA1"/>
    <w:rsid w:val="00F776C2"/>
    <w:rsid w:val="00F85F57"/>
    <w:rsid w:val="00FC5FE3"/>
    <w:rsid w:val="00FE440A"/>
    <w:rsid w:val="00FF67B1"/>
    <w:rsid w:val="0A0707D1"/>
    <w:rsid w:val="1AF92F65"/>
    <w:rsid w:val="2A2E52DB"/>
    <w:rsid w:val="2E2F49AB"/>
    <w:rsid w:val="33B62D38"/>
    <w:rsid w:val="40D2476E"/>
    <w:rsid w:val="47154AA7"/>
    <w:rsid w:val="48121517"/>
    <w:rsid w:val="53901ECC"/>
    <w:rsid w:val="55327046"/>
    <w:rsid w:val="57041A0F"/>
    <w:rsid w:val="573F7409"/>
    <w:rsid w:val="59D9671C"/>
    <w:rsid w:val="6BC42A4A"/>
    <w:rsid w:val="6E2C7E5B"/>
    <w:rsid w:val="7CAC402C"/>
    <w:rsid w:val="FFF76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文字 字符"/>
    <w:basedOn w:val="7"/>
    <w:link w:val="2"/>
    <w:semiHidden/>
    <w:qFormat/>
    <w:uiPriority w:val="99"/>
    <w:rPr>
      <w:rFonts w:ascii="Calibri" w:hAnsi="Calibri" w:eastAsia="宋体" w:cs="Calibri"/>
      <w:szCs w:val="21"/>
    </w:rPr>
  </w:style>
  <w:style w:type="character" w:customStyle="1" w:styleId="11">
    <w:name w:val="批注框文本 字符"/>
    <w:basedOn w:val="7"/>
    <w:link w:val="3"/>
    <w:semiHidden/>
    <w:qFormat/>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405</Words>
  <Characters>2313</Characters>
  <Lines>19</Lines>
  <Paragraphs>5</Paragraphs>
  <TotalTime>2</TotalTime>
  <ScaleCrop>false</ScaleCrop>
  <LinksUpToDate>false</LinksUpToDate>
  <CharactersWithSpaces>2713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2020-01-13T09:23:00Z</dcterms:created>
  <dc:creator>lenovo</dc:creator>
  <cp:lastModifiedBy>ysgz</cp:lastModifiedBy>
  <dcterms:modified xsi:type="dcterms:W3CDTF">2022-04-26T16:36:03Z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E88C3C7042D840E58701A220F70EB3F1</vt:lpwstr>
  </property>
</Properties>
</file>