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594" w:lineRule="exact"/>
        <w:jc w:val="center"/>
        <w:rPr>
          <w:rFonts w:ascii="方正小标宋_GBK" w:hAnsi="方正小标宋_GBK" w:eastAsia="方正小标宋_GBK" w:cs="方正小标宋_GBK"/>
          <w:color w:val="000000"/>
          <w:sz w:val="32"/>
          <w:szCs w:val="32"/>
        </w:rPr>
      </w:pPr>
      <w:r>
        <w:rPr>
          <w:rFonts w:hint="eastAsia" w:ascii="方正小标宋_GBK" w:hAnsi="方正小标宋_GBK" w:eastAsia="方正小标宋_GBK" w:cs="方正小标宋_GBK"/>
          <w:color w:val="000000"/>
          <w:sz w:val="32"/>
          <w:szCs w:val="32"/>
        </w:rPr>
        <w:t>贵州省胶鞋产品质量监督抽查实施细则</w:t>
      </w:r>
    </w:p>
    <w:p>
      <w:pPr>
        <w:adjustRightInd w:val="0"/>
        <w:snapToGrid w:val="0"/>
        <w:spacing w:line="594" w:lineRule="exact"/>
        <w:jc w:val="center"/>
        <w:rPr>
          <w:rFonts w:eastAsia="方正小标宋简体" w:cs="方正仿宋简体"/>
          <w:color w:val="000000"/>
          <w:sz w:val="32"/>
          <w:szCs w:val="32"/>
        </w:rPr>
      </w:pPr>
      <w:r>
        <w:rPr>
          <w:rFonts w:hint="eastAsia" w:ascii="方正小标宋_GBK" w:hAnsi="方正小标宋_GBK" w:eastAsia="方正小标宋_GBK" w:cs="方正小标宋_GBK"/>
          <w:color w:val="000000"/>
          <w:sz w:val="32"/>
          <w:szCs w:val="32"/>
        </w:rPr>
        <w:t>（202</w:t>
      </w:r>
      <w:r>
        <w:rPr>
          <w:rFonts w:hint="eastAsia" w:ascii="方正小标宋_GBK" w:hAnsi="方正小标宋_GBK" w:eastAsia="方正小标宋_GBK" w:cs="方正小标宋_GBK"/>
          <w:color w:val="000000"/>
          <w:sz w:val="32"/>
          <w:szCs w:val="32"/>
          <w:lang w:val="en-US" w:eastAsia="zh-CN"/>
        </w:rPr>
        <w:t>2</w:t>
      </w:r>
      <w:r>
        <w:rPr>
          <w:rFonts w:hint="eastAsia" w:ascii="方正小标宋_GBK" w:hAnsi="方正小标宋_GBK" w:eastAsia="方正小标宋_GBK" w:cs="方正小标宋_GBK"/>
          <w:color w:val="000000"/>
          <w:sz w:val="32"/>
          <w:szCs w:val="32"/>
        </w:rPr>
        <w:t>年版）</w:t>
      </w:r>
    </w:p>
    <w:p>
      <w:pPr>
        <w:adjustRightInd w:val="0"/>
        <w:snapToGrid w:val="0"/>
        <w:spacing w:line="440" w:lineRule="exact"/>
        <w:rPr>
          <w:rFonts w:ascii="Times New Roman" w:hAnsi="Times New Roman" w:eastAsia="黑体"/>
          <w:color w:val="000000"/>
          <w:szCs w:val="21"/>
        </w:rPr>
      </w:pPr>
      <w:r>
        <w:rPr>
          <w:rFonts w:ascii="Times New Roman" w:hAnsi="Times New Roman" w:eastAsia="黑体"/>
          <w:color w:val="000000"/>
          <w:szCs w:val="21"/>
        </w:rPr>
        <w:t>1 抽样方法</w:t>
      </w:r>
    </w:p>
    <w:p>
      <w:pPr>
        <w:adjustRightInd w:val="0"/>
        <w:snapToGrid w:val="0"/>
        <w:spacing w:line="440" w:lineRule="exact"/>
        <w:ind w:firstLine="420" w:firstLineChars="200"/>
        <w:rPr>
          <w:color w:val="000000"/>
          <w:szCs w:val="21"/>
        </w:rPr>
      </w:pPr>
      <w:r>
        <w:rPr>
          <w:rFonts w:hint="eastAsia"/>
          <w:color w:val="000000"/>
          <w:szCs w:val="21"/>
        </w:rPr>
        <w:t>以随机抽样的方式在被抽样生产者、销售者的待销产品中抽取。</w:t>
      </w:r>
    </w:p>
    <w:p>
      <w:pPr>
        <w:adjustRightInd w:val="0"/>
        <w:snapToGrid w:val="0"/>
        <w:spacing w:line="440" w:lineRule="exact"/>
        <w:ind w:firstLine="420" w:firstLineChars="200"/>
        <w:rPr>
          <w:color w:val="000000"/>
          <w:szCs w:val="21"/>
        </w:rPr>
      </w:pPr>
      <w:r>
        <w:rPr>
          <w:rFonts w:hint="eastAsia"/>
          <w:color w:val="000000"/>
          <w:szCs w:val="21"/>
        </w:rPr>
        <w:t>随机数一般可使用随机数表等方法产生。</w:t>
      </w:r>
    </w:p>
    <w:p>
      <w:pPr>
        <w:adjustRightInd w:val="0"/>
        <w:snapToGrid w:val="0"/>
        <w:spacing w:line="440" w:lineRule="exact"/>
        <w:ind w:firstLine="420" w:firstLineChars="200"/>
        <w:rPr>
          <w:color w:val="000000"/>
          <w:szCs w:val="21"/>
        </w:rPr>
      </w:pPr>
      <w:r>
        <w:rPr>
          <w:rFonts w:hint="eastAsia"/>
          <w:color w:val="000000"/>
          <w:szCs w:val="21"/>
        </w:rPr>
        <w:t>每批次抽取样品</w:t>
      </w:r>
      <w:r>
        <w:rPr>
          <w:color w:val="000000"/>
          <w:szCs w:val="21"/>
        </w:rPr>
        <w:t>3</w:t>
      </w:r>
      <w:r>
        <w:rPr>
          <w:rFonts w:hint="eastAsia"/>
          <w:color w:val="000000"/>
          <w:szCs w:val="21"/>
        </w:rPr>
        <w:t>双，其中</w:t>
      </w:r>
      <w:r>
        <w:rPr>
          <w:color w:val="000000"/>
          <w:szCs w:val="21"/>
        </w:rPr>
        <w:t>2</w:t>
      </w:r>
      <w:r>
        <w:rPr>
          <w:rFonts w:hint="eastAsia"/>
          <w:color w:val="000000"/>
          <w:szCs w:val="21"/>
        </w:rPr>
        <w:t>双作为检验样品，1双作为备用样品。</w:t>
      </w:r>
    </w:p>
    <w:p>
      <w:pPr>
        <w:adjustRightInd w:val="0"/>
        <w:snapToGrid w:val="0"/>
        <w:spacing w:line="440" w:lineRule="exact"/>
        <w:rPr>
          <w:color w:val="000000"/>
          <w:szCs w:val="21"/>
        </w:rPr>
      </w:pPr>
    </w:p>
    <w:p>
      <w:pPr>
        <w:adjustRightInd w:val="0"/>
        <w:snapToGrid w:val="0"/>
        <w:spacing w:line="440" w:lineRule="exact"/>
        <w:rPr>
          <w:rFonts w:ascii="Times New Roman" w:hAnsi="Times New Roman" w:eastAsia="黑体"/>
          <w:color w:val="000000"/>
          <w:szCs w:val="21"/>
        </w:rPr>
      </w:pPr>
      <w:r>
        <w:rPr>
          <w:rFonts w:ascii="Times New Roman" w:hAnsi="Times New Roman" w:eastAsia="黑体"/>
          <w:color w:val="000000"/>
          <w:szCs w:val="21"/>
        </w:rPr>
        <w:t>2 检验依据</w:t>
      </w:r>
    </w:p>
    <w:p>
      <w:pPr>
        <w:snapToGrid w:val="0"/>
        <w:spacing w:line="440" w:lineRule="exact"/>
        <w:jc w:val="center"/>
        <w:rPr>
          <w:color w:val="000000"/>
          <w:szCs w:val="21"/>
        </w:rPr>
      </w:pPr>
      <w:r>
        <w:rPr>
          <w:color w:val="000000"/>
          <w:szCs w:val="21"/>
        </w:rPr>
        <w:t>表</w:t>
      </w:r>
      <w:r>
        <w:rPr>
          <w:rFonts w:hint="eastAsia"/>
          <w:color w:val="000000"/>
          <w:szCs w:val="21"/>
        </w:rPr>
        <w:t>1</w:t>
      </w:r>
      <w:r>
        <w:rPr>
          <w:color w:val="000000"/>
          <w:szCs w:val="21"/>
        </w:rPr>
        <w:t xml:space="preserve"> 普通运动鞋</w:t>
      </w:r>
    </w:p>
    <w:tbl>
      <w:tblPr>
        <w:tblStyle w:val="5"/>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32"/>
        <w:gridCol w:w="1571"/>
        <w:gridCol w:w="2554"/>
        <w:gridCol w:w="39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617" w:type="pct"/>
          </w:tcPr>
          <w:p>
            <w:pPr>
              <w:snapToGrid w:val="0"/>
              <w:spacing w:line="440" w:lineRule="exact"/>
              <w:jc w:val="center"/>
              <w:rPr>
                <w:color w:val="000000"/>
                <w:szCs w:val="21"/>
              </w:rPr>
            </w:pPr>
            <w:r>
              <w:rPr>
                <w:color w:val="000000"/>
                <w:szCs w:val="21"/>
              </w:rPr>
              <w:t>序号</w:t>
            </w:r>
          </w:p>
        </w:tc>
        <w:tc>
          <w:tcPr>
            <w:tcW w:w="2248" w:type="pct"/>
            <w:gridSpan w:val="2"/>
          </w:tcPr>
          <w:p>
            <w:pPr>
              <w:snapToGrid w:val="0"/>
              <w:spacing w:line="440" w:lineRule="exact"/>
              <w:jc w:val="center"/>
              <w:rPr>
                <w:color w:val="000000"/>
                <w:szCs w:val="21"/>
              </w:rPr>
            </w:pPr>
            <w:r>
              <w:rPr>
                <w:color w:val="000000"/>
                <w:szCs w:val="21"/>
              </w:rPr>
              <w:t>检验项目</w:t>
            </w:r>
          </w:p>
        </w:tc>
        <w:tc>
          <w:tcPr>
            <w:tcW w:w="2135" w:type="pct"/>
          </w:tcPr>
          <w:p>
            <w:pPr>
              <w:snapToGrid w:val="0"/>
              <w:spacing w:line="440" w:lineRule="exact"/>
              <w:jc w:val="center"/>
              <w:rPr>
                <w:color w:val="000000"/>
                <w:szCs w:val="21"/>
              </w:rPr>
            </w:pPr>
            <w:r>
              <w:rPr>
                <w:color w:val="000000"/>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17" w:type="pct"/>
            <w:vAlign w:val="center"/>
          </w:tcPr>
          <w:p>
            <w:pPr>
              <w:adjustRightInd w:val="0"/>
              <w:snapToGrid w:val="0"/>
              <w:jc w:val="center"/>
              <w:rPr>
                <w:color w:val="000000"/>
                <w:szCs w:val="21"/>
              </w:rPr>
            </w:pPr>
            <w:r>
              <w:rPr>
                <w:color w:val="000000"/>
                <w:szCs w:val="21"/>
              </w:rPr>
              <w:t>1</w:t>
            </w:r>
          </w:p>
        </w:tc>
        <w:tc>
          <w:tcPr>
            <w:tcW w:w="2248" w:type="pct"/>
            <w:gridSpan w:val="2"/>
            <w:vAlign w:val="center"/>
          </w:tcPr>
          <w:p>
            <w:pPr>
              <w:adjustRightInd w:val="0"/>
              <w:snapToGrid w:val="0"/>
              <w:jc w:val="center"/>
              <w:rPr>
                <w:color w:val="000000"/>
                <w:szCs w:val="21"/>
              </w:rPr>
            </w:pPr>
            <w:r>
              <w:rPr>
                <w:color w:val="000000"/>
                <w:szCs w:val="21"/>
              </w:rPr>
              <w:t>外底拉伸强度</w:t>
            </w:r>
          </w:p>
        </w:tc>
        <w:tc>
          <w:tcPr>
            <w:tcW w:w="2135" w:type="pct"/>
            <w:vAlign w:val="center"/>
          </w:tcPr>
          <w:p>
            <w:pPr>
              <w:adjustRightInd w:val="0"/>
              <w:snapToGrid w:val="0"/>
              <w:jc w:val="center"/>
              <w:rPr>
                <w:color w:val="000000"/>
                <w:szCs w:val="21"/>
              </w:rPr>
            </w:pPr>
            <w:r>
              <w:rPr>
                <w:color w:val="000000"/>
                <w:szCs w:val="21"/>
              </w:rPr>
              <w:t>GB/T 528-2009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17" w:type="pct"/>
            <w:vAlign w:val="center"/>
          </w:tcPr>
          <w:p>
            <w:pPr>
              <w:adjustRightInd w:val="0"/>
              <w:snapToGrid w:val="0"/>
              <w:jc w:val="center"/>
              <w:rPr>
                <w:color w:val="000000"/>
                <w:szCs w:val="21"/>
              </w:rPr>
            </w:pPr>
            <w:r>
              <w:rPr>
                <w:color w:val="000000"/>
                <w:szCs w:val="21"/>
              </w:rPr>
              <w:t>2</w:t>
            </w:r>
          </w:p>
        </w:tc>
        <w:tc>
          <w:tcPr>
            <w:tcW w:w="2248" w:type="pct"/>
            <w:gridSpan w:val="2"/>
            <w:vAlign w:val="center"/>
          </w:tcPr>
          <w:p>
            <w:pPr>
              <w:adjustRightInd w:val="0"/>
              <w:snapToGrid w:val="0"/>
              <w:jc w:val="center"/>
              <w:rPr>
                <w:color w:val="000000"/>
                <w:szCs w:val="21"/>
              </w:rPr>
            </w:pPr>
            <w:r>
              <w:rPr>
                <w:color w:val="000000"/>
                <w:szCs w:val="21"/>
              </w:rPr>
              <w:t>外底拉断伸长率</w:t>
            </w:r>
          </w:p>
        </w:tc>
        <w:tc>
          <w:tcPr>
            <w:tcW w:w="2135" w:type="pct"/>
            <w:vAlign w:val="center"/>
          </w:tcPr>
          <w:p>
            <w:pPr>
              <w:adjustRightInd w:val="0"/>
              <w:snapToGrid w:val="0"/>
              <w:jc w:val="center"/>
              <w:rPr>
                <w:color w:val="000000"/>
                <w:szCs w:val="21"/>
              </w:rPr>
            </w:pPr>
            <w:r>
              <w:rPr>
                <w:color w:val="000000"/>
                <w:szCs w:val="21"/>
              </w:rPr>
              <w:t>GB/T 528-2009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17" w:type="pct"/>
            <w:vAlign w:val="center"/>
          </w:tcPr>
          <w:p>
            <w:pPr>
              <w:adjustRightInd w:val="0"/>
              <w:snapToGrid w:val="0"/>
              <w:jc w:val="center"/>
              <w:rPr>
                <w:color w:val="000000"/>
                <w:szCs w:val="21"/>
              </w:rPr>
            </w:pPr>
            <w:r>
              <w:rPr>
                <w:color w:val="000000"/>
                <w:szCs w:val="21"/>
              </w:rPr>
              <w:t>3</w:t>
            </w:r>
          </w:p>
        </w:tc>
        <w:tc>
          <w:tcPr>
            <w:tcW w:w="2248" w:type="pct"/>
            <w:gridSpan w:val="2"/>
            <w:vAlign w:val="center"/>
          </w:tcPr>
          <w:p>
            <w:pPr>
              <w:adjustRightInd w:val="0"/>
              <w:snapToGrid w:val="0"/>
              <w:jc w:val="center"/>
              <w:rPr>
                <w:color w:val="000000"/>
                <w:szCs w:val="21"/>
              </w:rPr>
            </w:pPr>
            <w:r>
              <w:rPr>
                <w:color w:val="000000"/>
                <w:szCs w:val="21"/>
              </w:rPr>
              <w:t>外底磨耗量</w:t>
            </w:r>
          </w:p>
        </w:tc>
        <w:tc>
          <w:tcPr>
            <w:tcW w:w="2135" w:type="pct"/>
            <w:vAlign w:val="center"/>
          </w:tcPr>
          <w:p>
            <w:pPr>
              <w:adjustRightInd w:val="0"/>
              <w:snapToGrid w:val="0"/>
              <w:jc w:val="center"/>
              <w:rPr>
                <w:color w:val="000000"/>
                <w:szCs w:val="21"/>
              </w:rPr>
            </w:pPr>
            <w:r>
              <w:rPr>
                <w:color w:val="000000"/>
                <w:szCs w:val="21"/>
              </w:rPr>
              <w:t>GB/T 1689-1998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17" w:type="pct"/>
            <w:vAlign w:val="center"/>
          </w:tcPr>
          <w:p>
            <w:pPr>
              <w:adjustRightInd w:val="0"/>
              <w:snapToGrid w:val="0"/>
              <w:jc w:val="center"/>
              <w:rPr>
                <w:color w:val="000000"/>
                <w:szCs w:val="21"/>
              </w:rPr>
            </w:pPr>
            <w:r>
              <w:rPr>
                <w:color w:val="000000"/>
                <w:szCs w:val="21"/>
              </w:rPr>
              <w:t>4</w:t>
            </w:r>
          </w:p>
        </w:tc>
        <w:tc>
          <w:tcPr>
            <w:tcW w:w="2248" w:type="pct"/>
            <w:gridSpan w:val="2"/>
            <w:vAlign w:val="center"/>
          </w:tcPr>
          <w:p>
            <w:pPr>
              <w:adjustRightInd w:val="0"/>
              <w:snapToGrid w:val="0"/>
              <w:jc w:val="center"/>
              <w:rPr>
                <w:color w:val="000000"/>
                <w:szCs w:val="21"/>
              </w:rPr>
            </w:pPr>
            <w:r>
              <w:rPr>
                <w:color w:val="000000"/>
                <w:szCs w:val="21"/>
              </w:rPr>
              <w:t>外底硬度</w:t>
            </w:r>
          </w:p>
        </w:tc>
        <w:tc>
          <w:tcPr>
            <w:tcW w:w="2135" w:type="pct"/>
            <w:vAlign w:val="center"/>
          </w:tcPr>
          <w:p>
            <w:pPr>
              <w:adjustRightInd w:val="0"/>
              <w:snapToGrid w:val="0"/>
              <w:jc w:val="center"/>
              <w:rPr>
                <w:color w:val="000000"/>
                <w:szCs w:val="21"/>
              </w:rPr>
            </w:pPr>
            <w:r>
              <w:rPr>
                <w:color w:val="000000"/>
                <w:szCs w:val="21"/>
              </w:rPr>
              <w:t>GB/T 531.1-2008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17" w:type="pct"/>
            <w:vAlign w:val="center"/>
          </w:tcPr>
          <w:p>
            <w:pPr>
              <w:adjustRightInd w:val="0"/>
              <w:snapToGrid w:val="0"/>
              <w:jc w:val="center"/>
              <w:rPr>
                <w:color w:val="000000"/>
                <w:szCs w:val="21"/>
              </w:rPr>
            </w:pPr>
            <w:r>
              <w:rPr>
                <w:color w:val="000000"/>
                <w:szCs w:val="21"/>
              </w:rPr>
              <w:t>5</w:t>
            </w:r>
          </w:p>
        </w:tc>
        <w:tc>
          <w:tcPr>
            <w:tcW w:w="2248" w:type="pct"/>
            <w:gridSpan w:val="2"/>
            <w:vAlign w:val="center"/>
          </w:tcPr>
          <w:p>
            <w:pPr>
              <w:adjustRightInd w:val="0"/>
              <w:snapToGrid w:val="0"/>
              <w:jc w:val="center"/>
              <w:rPr>
                <w:color w:val="000000"/>
                <w:szCs w:val="21"/>
              </w:rPr>
            </w:pPr>
            <w:r>
              <w:rPr>
                <w:color w:val="000000"/>
                <w:szCs w:val="21"/>
              </w:rPr>
              <w:t>围条与鞋帮粘合强度</w:t>
            </w:r>
          </w:p>
        </w:tc>
        <w:tc>
          <w:tcPr>
            <w:tcW w:w="2135" w:type="pct"/>
            <w:vAlign w:val="center"/>
          </w:tcPr>
          <w:p>
            <w:pPr>
              <w:adjustRightInd w:val="0"/>
              <w:snapToGrid w:val="0"/>
              <w:jc w:val="center"/>
              <w:rPr>
                <w:color w:val="000000"/>
                <w:szCs w:val="21"/>
              </w:rPr>
            </w:pPr>
            <w:r>
              <w:rPr>
                <w:color w:val="000000"/>
                <w:szCs w:val="21"/>
              </w:rPr>
              <w:t>GB/T 532-2008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17" w:type="pct"/>
            <w:vAlign w:val="center"/>
          </w:tcPr>
          <w:p>
            <w:pPr>
              <w:adjustRightInd w:val="0"/>
              <w:snapToGrid w:val="0"/>
              <w:jc w:val="center"/>
              <w:rPr>
                <w:color w:val="000000"/>
                <w:szCs w:val="21"/>
              </w:rPr>
            </w:pPr>
            <w:r>
              <w:rPr>
                <w:color w:val="000000"/>
                <w:szCs w:val="21"/>
              </w:rPr>
              <w:t>6</w:t>
            </w:r>
          </w:p>
        </w:tc>
        <w:tc>
          <w:tcPr>
            <w:tcW w:w="2248" w:type="pct"/>
            <w:gridSpan w:val="2"/>
            <w:vAlign w:val="center"/>
          </w:tcPr>
          <w:p>
            <w:pPr>
              <w:adjustRightInd w:val="0"/>
              <w:snapToGrid w:val="0"/>
              <w:jc w:val="center"/>
              <w:rPr>
                <w:color w:val="000000"/>
                <w:szCs w:val="21"/>
              </w:rPr>
            </w:pPr>
            <w:r>
              <w:rPr>
                <w:color w:val="000000"/>
                <w:szCs w:val="21"/>
              </w:rPr>
              <w:t>整鞋屈挠性能</w:t>
            </w:r>
          </w:p>
        </w:tc>
        <w:tc>
          <w:tcPr>
            <w:tcW w:w="2135" w:type="pct"/>
            <w:vAlign w:val="center"/>
          </w:tcPr>
          <w:p>
            <w:pPr>
              <w:adjustRightInd w:val="0"/>
              <w:snapToGrid w:val="0"/>
              <w:jc w:val="center"/>
              <w:rPr>
                <w:color w:val="000000"/>
                <w:szCs w:val="21"/>
              </w:rPr>
            </w:pPr>
            <w:r>
              <w:rPr>
                <w:color w:val="000000"/>
                <w:szCs w:val="21"/>
              </w:rPr>
              <w:t>HG/T 2871-2008 A法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17" w:type="pct"/>
            <w:vAlign w:val="center"/>
          </w:tcPr>
          <w:p>
            <w:pPr>
              <w:adjustRightInd w:val="0"/>
              <w:snapToGrid w:val="0"/>
              <w:jc w:val="center"/>
              <w:rPr>
                <w:color w:val="000000"/>
                <w:szCs w:val="21"/>
              </w:rPr>
            </w:pPr>
            <w:r>
              <w:rPr>
                <w:color w:val="000000"/>
                <w:szCs w:val="21"/>
              </w:rPr>
              <w:t>7</w:t>
            </w:r>
          </w:p>
        </w:tc>
        <w:tc>
          <w:tcPr>
            <w:tcW w:w="2248" w:type="pct"/>
            <w:gridSpan w:val="2"/>
            <w:vAlign w:val="center"/>
          </w:tcPr>
          <w:p>
            <w:pPr>
              <w:adjustRightInd w:val="0"/>
              <w:snapToGrid w:val="0"/>
              <w:jc w:val="center"/>
              <w:rPr>
                <w:color w:val="000000"/>
                <w:szCs w:val="21"/>
              </w:rPr>
            </w:pPr>
            <w:r>
              <w:rPr>
                <w:color w:val="000000"/>
                <w:szCs w:val="21"/>
              </w:rPr>
              <w:t>pH值</w:t>
            </w:r>
          </w:p>
        </w:tc>
        <w:tc>
          <w:tcPr>
            <w:tcW w:w="2135" w:type="pct"/>
            <w:vAlign w:val="center"/>
          </w:tcPr>
          <w:p>
            <w:pPr>
              <w:spacing w:line="320" w:lineRule="exact"/>
              <w:jc w:val="center"/>
              <w:rPr>
                <w:color w:val="000000"/>
                <w:szCs w:val="21"/>
              </w:rPr>
            </w:pPr>
            <w:r>
              <w:rPr>
                <w:color w:val="000000"/>
                <w:szCs w:val="21"/>
              </w:rPr>
              <w:t>GB/T 7573-2002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17" w:type="pct"/>
            <w:vAlign w:val="center"/>
          </w:tcPr>
          <w:p>
            <w:pPr>
              <w:adjustRightInd w:val="0"/>
              <w:snapToGrid w:val="0"/>
              <w:jc w:val="center"/>
              <w:rPr>
                <w:color w:val="000000"/>
                <w:szCs w:val="21"/>
              </w:rPr>
            </w:pPr>
            <w:r>
              <w:rPr>
                <w:color w:val="000000"/>
                <w:szCs w:val="21"/>
              </w:rPr>
              <w:t>8</w:t>
            </w:r>
          </w:p>
        </w:tc>
        <w:tc>
          <w:tcPr>
            <w:tcW w:w="2248" w:type="pct"/>
            <w:gridSpan w:val="2"/>
            <w:vAlign w:val="center"/>
          </w:tcPr>
          <w:p>
            <w:pPr>
              <w:adjustRightInd w:val="0"/>
              <w:snapToGrid w:val="0"/>
              <w:jc w:val="center"/>
              <w:rPr>
                <w:color w:val="000000"/>
                <w:szCs w:val="21"/>
              </w:rPr>
            </w:pPr>
            <w:r>
              <w:rPr>
                <w:color w:val="000000"/>
                <w:szCs w:val="21"/>
              </w:rPr>
              <w:t>游离甲醛</w:t>
            </w:r>
          </w:p>
        </w:tc>
        <w:tc>
          <w:tcPr>
            <w:tcW w:w="2135" w:type="pct"/>
            <w:vAlign w:val="center"/>
          </w:tcPr>
          <w:p>
            <w:pPr>
              <w:spacing w:line="320" w:lineRule="exact"/>
              <w:jc w:val="center"/>
              <w:rPr>
                <w:color w:val="000000"/>
                <w:szCs w:val="21"/>
              </w:rPr>
            </w:pPr>
            <w:r>
              <w:rPr>
                <w:color w:val="000000"/>
                <w:szCs w:val="21"/>
              </w:rPr>
              <w:t>GB/T 2912.1-1998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17" w:type="pct"/>
            <w:vMerge w:val="restart"/>
            <w:vAlign w:val="center"/>
          </w:tcPr>
          <w:p>
            <w:pPr>
              <w:adjustRightInd w:val="0"/>
              <w:snapToGrid w:val="0"/>
              <w:jc w:val="center"/>
              <w:rPr>
                <w:color w:val="000000"/>
                <w:szCs w:val="21"/>
              </w:rPr>
            </w:pPr>
            <w:r>
              <w:rPr>
                <w:color w:val="000000"/>
                <w:szCs w:val="21"/>
              </w:rPr>
              <w:t>9</w:t>
            </w:r>
          </w:p>
        </w:tc>
        <w:tc>
          <w:tcPr>
            <w:tcW w:w="856" w:type="pct"/>
            <w:vMerge w:val="restart"/>
            <w:vAlign w:val="center"/>
          </w:tcPr>
          <w:p>
            <w:pPr>
              <w:adjustRightInd w:val="0"/>
              <w:snapToGrid w:val="0"/>
              <w:jc w:val="center"/>
              <w:rPr>
                <w:szCs w:val="21"/>
              </w:rPr>
            </w:pPr>
            <w:r>
              <w:rPr>
                <w:szCs w:val="21"/>
              </w:rPr>
              <w:t>可萃取的重金属</w:t>
            </w:r>
          </w:p>
        </w:tc>
        <w:tc>
          <w:tcPr>
            <w:tcW w:w="1392" w:type="pct"/>
            <w:vAlign w:val="center"/>
          </w:tcPr>
          <w:p>
            <w:pPr>
              <w:adjustRightInd w:val="0"/>
              <w:snapToGrid w:val="0"/>
              <w:jc w:val="center"/>
              <w:rPr>
                <w:szCs w:val="21"/>
              </w:rPr>
            </w:pPr>
            <w:r>
              <w:rPr>
                <w:szCs w:val="21"/>
              </w:rPr>
              <w:t>铅</w:t>
            </w:r>
          </w:p>
        </w:tc>
        <w:tc>
          <w:tcPr>
            <w:tcW w:w="2135" w:type="pct"/>
            <w:vMerge w:val="restart"/>
            <w:vAlign w:val="center"/>
          </w:tcPr>
          <w:p>
            <w:pPr>
              <w:spacing w:line="320" w:lineRule="exact"/>
              <w:jc w:val="center"/>
              <w:rPr>
                <w:color w:val="000000"/>
                <w:szCs w:val="21"/>
              </w:rPr>
            </w:pPr>
            <w:r>
              <w:rPr>
                <w:color w:val="000000"/>
                <w:szCs w:val="21"/>
              </w:rPr>
              <w:t>GB/T 17593.2-2007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17" w:type="pct"/>
            <w:vMerge w:val="continue"/>
            <w:vAlign w:val="center"/>
          </w:tcPr>
          <w:p>
            <w:pPr>
              <w:adjustRightInd w:val="0"/>
              <w:snapToGrid w:val="0"/>
              <w:jc w:val="center"/>
              <w:rPr>
                <w:color w:val="000000"/>
                <w:szCs w:val="21"/>
              </w:rPr>
            </w:pPr>
          </w:p>
        </w:tc>
        <w:tc>
          <w:tcPr>
            <w:tcW w:w="856" w:type="pct"/>
            <w:vMerge w:val="continue"/>
            <w:vAlign w:val="center"/>
          </w:tcPr>
          <w:p>
            <w:pPr>
              <w:adjustRightInd w:val="0"/>
              <w:snapToGrid w:val="0"/>
              <w:jc w:val="center"/>
              <w:rPr>
                <w:szCs w:val="21"/>
              </w:rPr>
            </w:pPr>
          </w:p>
        </w:tc>
        <w:tc>
          <w:tcPr>
            <w:tcW w:w="1392" w:type="pct"/>
            <w:vAlign w:val="center"/>
          </w:tcPr>
          <w:p>
            <w:pPr>
              <w:adjustRightInd w:val="0"/>
              <w:snapToGrid w:val="0"/>
              <w:jc w:val="center"/>
              <w:rPr>
                <w:szCs w:val="21"/>
              </w:rPr>
            </w:pPr>
            <w:r>
              <w:rPr>
                <w:szCs w:val="21"/>
              </w:rPr>
              <w:t>镉</w:t>
            </w:r>
          </w:p>
        </w:tc>
        <w:tc>
          <w:tcPr>
            <w:tcW w:w="2135" w:type="pct"/>
            <w:vMerge w:val="continue"/>
            <w:vAlign w:val="center"/>
          </w:tcPr>
          <w:p>
            <w:pPr>
              <w:spacing w:line="320" w:lineRule="exact"/>
              <w:jc w:val="center"/>
              <w:rPr>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17" w:type="pct"/>
            <w:vMerge w:val="continue"/>
            <w:vAlign w:val="center"/>
          </w:tcPr>
          <w:p>
            <w:pPr>
              <w:adjustRightInd w:val="0"/>
              <w:snapToGrid w:val="0"/>
              <w:jc w:val="center"/>
              <w:rPr>
                <w:color w:val="000000"/>
                <w:szCs w:val="21"/>
              </w:rPr>
            </w:pPr>
          </w:p>
        </w:tc>
        <w:tc>
          <w:tcPr>
            <w:tcW w:w="856" w:type="pct"/>
            <w:vMerge w:val="continue"/>
            <w:vAlign w:val="center"/>
          </w:tcPr>
          <w:p>
            <w:pPr>
              <w:adjustRightInd w:val="0"/>
              <w:snapToGrid w:val="0"/>
              <w:jc w:val="center"/>
              <w:rPr>
                <w:szCs w:val="21"/>
              </w:rPr>
            </w:pPr>
          </w:p>
        </w:tc>
        <w:tc>
          <w:tcPr>
            <w:tcW w:w="1392" w:type="pct"/>
            <w:vAlign w:val="center"/>
          </w:tcPr>
          <w:p>
            <w:pPr>
              <w:adjustRightInd w:val="0"/>
              <w:snapToGrid w:val="0"/>
              <w:jc w:val="center"/>
              <w:rPr>
                <w:szCs w:val="21"/>
              </w:rPr>
            </w:pPr>
            <w:r>
              <w:rPr>
                <w:szCs w:val="21"/>
              </w:rPr>
              <w:t>砷</w:t>
            </w:r>
          </w:p>
        </w:tc>
        <w:tc>
          <w:tcPr>
            <w:tcW w:w="2135" w:type="pct"/>
            <w:vMerge w:val="continue"/>
            <w:vAlign w:val="center"/>
          </w:tcPr>
          <w:p>
            <w:pPr>
              <w:spacing w:line="320" w:lineRule="exact"/>
              <w:jc w:val="center"/>
              <w:rPr>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17" w:type="pct"/>
            <w:vAlign w:val="center"/>
          </w:tcPr>
          <w:p>
            <w:pPr>
              <w:adjustRightInd w:val="0"/>
              <w:snapToGrid w:val="0"/>
              <w:jc w:val="center"/>
              <w:rPr>
                <w:color w:val="000000"/>
                <w:szCs w:val="21"/>
              </w:rPr>
            </w:pPr>
            <w:r>
              <w:rPr>
                <w:color w:val="000000"/>
                <w:szCs w:val="21"/>
              </w:rPr>
              <w:t>10</w:t>
            </w:r>
          </w:p>
        </w:tc>
        <w:tc>
          <w:tcPr>
            <w:tcW w:w="2248" w:type="pct"/>
            <w:gridSpan w:val="2"/>
            <w:vAlign w:val="center"/>
          </w:tcPr>
          <w:p>
            <w:pPr>
              <w:adjustRightInd w:val="0"/>
              <w:snapToGrid w:val="0"/>
              <w:jc w:val="center"/>
              <w:rPr>
                <w:szCs w:val="21"/>
              </w:rPr>
            </w:pPr>
            <w:r>
              <w:rPr>
                <w:szCs w:val="21"/>
              </w:rPr>
              <w:t>可分解有害芳香胺染料</w:t>
            </w:r>
          </w:p>
        </w:tc>
        <w:tc>
          <w:tcPr>
            <w:tcW w:w="2135" w:type="pct"/>
            <w:vAlign w:val="center"/>
          </w:tcPr>
          <w:p>
            <w:pPr>
              <w:spacing w:line="320" w:lineRule="exact"/>
              <w:jc w:val="center"/>
              <w:rPr>
                <w:color w:val="000000"/>
                <w:szCs w:val="21"/>
              </w:rPr>
            </w:pPr>
            <w:r>
              <w:rPr>
                <w:color w:val="000000"/>
                <w:szCs w:val="21"/>
              </w:rPr>
              <w:t>GB/T 17592-2006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17" w:type="pct"/>
            <w:vMerge w:val="restart"/>
            <w:vAlign w:val="center"/>
          </w:tcPr>
          <w:p>
            <w:pPr>
              <w:adjustRightInd w:val="0"/>
              <w:snapToGrid w:val="0"/>
              <w:jc w:val="center"/>
              <w:rPr>
                <w:color w:val="000000"/>
                <w:szCs w:val="21"/>
              </w:rPr>
            </w:pPr>
            <w:r>
              <w:rPr>
                <w:color w:val="000000"/>
                <w:szCs w:val="21"/>
              </w:rPr>
              <w:t>11</w:t>
            </w:r>
          </w:p>
        </w:tc>
        <w:tc>
          <w:tcPr>
            <w:tcW w:w="856" w:type="pct"/>
            <w:vMerge w:val="restart"/>
            <w:vAlign w:val="center"/>
          </w:tcPr>
          <w:p>
            <w:pPr>
              <w:adjustRightInd w:val="0"/>
              <w:snapToGrid w:val="0"/>
              <w:jc w:val="center"/>
              <w:rPr>
                <w:szCs w:val="21"/>
              </w:rPr>
            </w:pPr>
            <w:r>
              <w:rPr>
                <w:szCs w:val="21"/>
              </w:rPr>
              <w:t>含氯酚</w:t>
            </w:r>
          </w:p>
        </w:tc>
        <w:tc>
          <w:tcPr>
            <w:tcW w:w="1392" w:type="pct"/>
            <w:vAlign w:val="center"/>
          </w:tcPr>
          <w:p>
            <w:pPr>
              <w:adjustRightInd w:val="0"/>
              <w:snapToGrid w:val="0"/>
              <w:jc w:val="center"/>
              <w:rPr>
                <w:szCs w:val="21"/>
              </w:rPr>
            </w:pPr>
            <w:r>
              <w:rPr>
                <w:szCs w:val="21"/>
              </w:rPr>
              <w:t>五氯苯酚</w:t>
            </w:r>
          </w:p>
        </w:tc>
        <w:tc>
          <w:tcPr>
            <w:tcW w:w="2135" w:type="pct"/>
            <w:vMerge w:val="restart"/>
            <w:vAlign w:val="center"/>
          </w:tcPr>
          <w:p>
            <w:pPr>
              <w:spacing w:line="320" w:lineRule="exact"/>
              <w:jc w:val="center"/>
              <w:rPr>
                <w:color w:val="000000"/>
                <w:szCs w:val="21"/>
              </w:rPr>
            </w:pPr>
            <w:r>
              <w:rPr>
                <w:color w:val="000000"/>
                <w:szCs w:val="21"/>
              </w:rPr>
              <w:t>GB/T 18414.1-2006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17" w:type="pct"/>
            <w:vMerge w:val="continue"/>
            <w:vAlign w:val="center"/>
          </w:tcPr>
          <w:p>
            <w:pPr>
              <w:adjustRightInd w:val="0"/>
              <w:snapToGrid w:val="0"/>
              <w:jc w:val="center"/>
              <w:rPr>
                <w:color w:val="000000"/>
                <w:szCs w:val="21"/>
              </w:rPr>
            </w:pPr>
          </w:p>
        </w:tc>
        <w:tc>
          <w:tcPr>
            <w:tcW w:w="856" w:type="pct"/>
            <w:vMerge w:val="continue"/>
            <w:vAlign w:val="center"/>
          </w:tcPr>
          <w:p>
            <w:pPr>
              <w:adjustRightInd w:val="0"/>
              <w:snapToGrid w:val="0"/>
              <w:jc w:val="center"/>
              <w:rPr>
                <w:szCs w:val="21"/>
              </w:rPr>
            </w:pPr>
          </w:p>
        </w:tc>
        <w:tc>
          <w:tcPr>
            <w:tcW w:w="1392" w:type="pct"/>
            <w:vAlign w:val="center"/>
          </w:tcPr>
          <w:p>
            <w:pPr>
              <w:adjustRightInd w:val="0"/>
              <w:snapToGrid w:val="0"/>
              <w:jc w:val="center"/>
              <w:rPr>
                <w:szCs w:val="21"/>
              </w:rPr>
            </w:pPr>
            <w:r>
              <w:rPr>
                <w:szCs w:val="21"/>
              </w:rPr>
              <w:t>2,3,5,6-四氯苯酚</w:t>
            </w:r>
          </w:p>
        </w:tc>
        <w:tc>
          <w:tcPr>
            <w:tcW w:w="2135" w:type="pct"/>
            <w:vMerge w:val="continue"/>
            <w:vAlign w:val="center"/>
          </w:tcPr>
          <w:p>
            <w:pPr>
              <w:spacing w:line="320" w:lineRule="exact"/>
              <w:jc w:val="center"/>
              <w:rPr>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17" w:type="pct"/>
            <w:vAlign w:val="center"/>
          </w:tcPr>
          <w:p>
            <w:pPr>
              <w:adjustRightInd w:val="0"/>
              <w:snapToGrid w:val="0"/>
              <w:jc w:val="center"/>
              <w:rPr>
                <w:color w:val="000000"/>
                <w:szCs w:val="21"/>
              </w:rPr>
            </w:pPr>
            <w:r>
              <w:rPr>
                <w:color w:val="000000"/>
                <w:szCs w:val="21"/>
              </w:rPr>
              <w:t>12</w:t>
            </w:r>
          </w:p>
        </w:tc>
        <w:tc>
          <w:tcPr>
            <w:tcW w:w="2248" w:type="pct"/>
            <w:gridSpan w:val="2"/>
            <w:vAlign w:val="center"/>
          </w:tcPr>
          <w:p>
            <w:pPr>
              <w:adjustRightInd w:val="0"/>
              <w:snapToGrid w:val="0"/>
              <w:jc w:val="center"/>
              <w:rPr>
                <w:color w:val="000000"/>
                <w:szCs w:val="21"/>
              </w:rPr>
            </w:pPr>
            <w:r>
              <w:rPr>
                <w:color w:val="000000"/>
                <w:szCs w:val="21"/>
              </w:rPr>
              <w:t>N-亚硝基胺</w:t>
            </w:r>
          </w:p>
        </w:tc>
        <w:tc>
          <w:tcPr>
            <w:tcW w:w="2135" w:type="pct"/>
            <w:vAlign w:val="center"/>
          </w:tcPr>
          <w:p>
            <w:pPr>
              <w:spacing w:line="320" w:lineRule="exact"/>
              <w:jc w:val="center"/>
              <w:rPr>
                <w:color w:val="000000"/>
                <w:szCs w:val="21"/>
              </w:rPr>
            </w:pPr>
            <w:r>
              <w:rPr>
                <w:color w:val="000000"/>
                <w:szCs w:val="21"/>
              </w:rPr>
              <w:t>GB/T 24153-2009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17" w:type="pct"/>
            <w:vAlign w:val="center"/>
          </w:tcPr>
          <w:p>
            <w:pPr>
              <w:adjustRightInd w:val="0"/>
              <w:snapToGrid w:val="0"/>
              <w:jc w:val="center"/>
              <w:rPr>
                <w:color w:val="000000"/>
                <w:szCs w:val="21"/>
              </w:rPr>
            </w:pPr>
            <w:r>
              <w:rPr>
                <w:color w:val="000000"/>
                <w:szCs w:val="21"/>
              </w:rPr>
              <w:t>13</w:t>
            </w:r>
          </w:p>
        </w:tc>
        <w:tc>
          <w:tcPr>
            <w:tcW w:w="2248" w:type="pct"/>
            <w:gridSpan w:val="2"/>
            <w:vAlign w:val="center"/>
          </w:tcPr>
          <w:p>
            <w:pPr>
              <w:adjustRightInd w:val="0"/>
              <w:snapToGrid w:val="0"/>
              <w:jc w:val="center"/>
              <w:rPr>
                <w:color w:val="000000"/>
                <w:szCs w:val="21"/>
              </w:rPr>
            </w:pPr>
            <w:r>
              <w:rPr>
                <w:color w:val="000000"/>
                <w:szCs w:val="21"/>
              </w:rPr>
              <w:t>鞋里和内底摩擦色牢度（沾色）</w:t>
            </w:r>
          </w:p>
        </w:tc>
        <w:tc>
          <w:tcPr>
            <w:tcW w:w="2135" w:type="pct"/>
            <w:vAlign w:val="center"/>
          </w:tcPr>
          <w:p>
            <w:pPr>
              <w:spacing w:line="320" w:lineRule="exact"/>
              <w:jc w:val="center"/>
              <w:rPr>
                <w:color w:val="000000"/>
                <w:szCs w:val="21"/>
              </w:rPr>
            </w:pPr>
            <w:r>
              <w:rPr>
                <w:color w:val="000000"/>
                <w:szCs w:val="21"/>
              </w:rPr>
              <w:t>QB/T 2882-2007</w:t>
            </w:r>
            <w:r>
              <w:rPr>
                <w:rFonts w:hint="eastAsia"/>
                <w:color w:val="000000"/>
                <w:szCs w:val="21"/>
              </w:rPr>
              <w:t xml:space="preserve"> </w:t>
            </w:r>
            <w:r>
              <w:rPr>
                <w:rFonts w:hint="eastAsia"/>
                <w:szCs w:val="21"/>
              </w:rPr>
              <w:t>A法</w:t>
            </w:r>
          </w:p>
        </w:tc>
      </w:tr>
    </w:tbl>
    <w:p>
      <w:pPr>
        <w:snapToGrid w:val="0"/>
        <w:spacing w:line="440" w:lineRule="exact"/>
        <w:jc w:val="center"/>
        <w:rPr>
          <w:color w:val="000000"/>
          <w:szCs w:val="21"/>
        </w:rPr>
      </w:pPr>
    </w:p>
    <w:p>
      <w:pPr>
        <w:snapToGrid w:val="0"/>
        <w:spacing w:line="440" w:lineRule="exact"/>
        <w:jc w:val="center"/>
        <w:rPr>
          <w:color w:val="000000"/>
          <w:szCs w:val="21"/>
        </w:rPr>
      </w:pPr>
      <w:r>
        <w:rPr>
          <w:color w:val="000000"/>
          <w:szCs w:val="21"/>
        </w:rPr>
        <w:t>表</w:t>
      </w:r>
      <w:r>
        <w:rPr>
          <w:rFonts w:hint="eastAsia"/>
          <w:color w:val="000000"/>
          <w:szCs w:val="21"/>
        </w:rPr>
        <w:t>2</w:t>
      </w:r>
      <w:r>
        <w:rPr>
          <w:color w:val="000000"/>
          <w:szCs w:val="21"/>
        </w:rPr>
        <w:t>轻便胶鞋、劳动鞋</w:t>
      </w:r>
    </w:p>
    <w:tbl>
      <w:tblPr>
        <w:tblStyle w:val="5"/>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32"/>
        <w:gridCol w:w="1811"/>
        <w:gridCol w:w="2314"/>
        <w:gridCol w:w="39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17" w:type="pct"/>
            <w:vAlign w:val="center"/>
          </w:tcPr>
          <w:p>
            <w:pPr>
              <w:snapToGrid w:val="0"/>
              <w:spacing w:line="440" w:lineRule="exact"/>
              <w:jc w:val="center"/>
              <w:rPr>
                <w:color w:val="000000"/>
                <w:szCs w:val="21"/>
              </w:rPr>
            </w:pPr>
            <w:r>
              <w:rPr>
                <w:color w:val="000000"/>
                <w:szCs w:val="21"/>
              </w:rPr>
              <w:t>序号</w:t>
            </w:r>
          </w:p>
        </w:tc>
        <w:tc>
          <w:tcPr>
            <w:tcW w:w="2248" w:type="pct"/>
            <w:gridSpan w:val="2"/>
            <w:vAlign w:val="center"/>
          </w:tcPr>
          <w:p>
            <w:pPr>
              <w:snapToGrid w:val="0"/>
              <w:spacing w:line="440" w:lineRule="exact"/>
              <w:jc w:val="center"/>
              <w:rPr>
                <w:color w:val="000000"/>
                <w:szCs w:val="21"/>
              </w:rPr>
            </w:pPr>
            <w:r>
              <w:rPr>
                <w:color w:val="000000"/>
                <w:szCs w:val="21"/>
              </w:rPr>
              <w:t>检验项目</w:t>
            </w:r>
          </w:p>
        </w:tc>
        <w:tc>
          <w:tcPr>
            <w:tcW w:w="2135" w:type="pct"/>
            <w:vAlign w:val="center"/>
          </w:tcPr>
          <w:p>
            <w:pPr>
              <w:snapToGrid w:val="0"/>
              <w:spacing w:line="440" w:lineRule="exact"/>
              <w:jc w:val="center"/>
              <w:rPr>
                <w:color w:val="000000"/>
                <w:szCs w:val="21"/>
              </w:rPr>
            </w:pPr>
            <w:r>
              <w:rPr>
                <w:color w:val="000000"/>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17" w:type="pct"/>
            <w:vAlign w:val="center"/>
          </w:tcPr>
          <w:p>
            <w:pPr>
              <w:adjustRightInd w:val="0"/>
              <w:snapToGrid w:val="0"/>
              <w:jc w:val="center"/>
              <w:rPr>
                <w:color w:val="000000"/>
                <w:szCs w:val="21"/>
              </w:rPr>
            </w:pPr>
            <w:r>
              <w:rPr>
                <w:color w:val="000000"/>
                <w:szCs w:val="21"/>
              </w:rPr>
              <w:t>1</w:t>
            </w:r>
          </w:p>
        </w:tc>
        <w:tc>
          <w:tcPr>
            <w:tcW w:w="2248" w:type="pct"/>
            <w:gridSpan w:val="2"/>
            <w:vAlign w:val="center"/>
          </w:tcPr>
          <w:p>
            <w:pPr>
              <w:adjustRightInd w:val="0"/>
              <w:snapToGrid w:val="0"/>
              <w:jc w:val="center"/>
              <w:rPr>
                <w:color w:val="000000"/>
                <w:szCs w:val="21"/>
              </w:rPr>
            </w:pPr>
            <w:r>
              <w:rPr>
                <w:color w:val="000000"/>
                <w:szCs w:val="21"/>
              </w:rPr>
              <w:t>外底拉伸强度</w:t>
            </w:r>
          </w:p>
        </w:tc>
        <w:tc>
          <w:tcPr>
            <w:tcW w:w="2135" w:type="pct"/>
            <w:vAlign w:val="center"/>
          </w:tcPr>
          <w:p>
            <w:pPr>
              <w:adjustRightInd w:val="0"/>
              <w:snapToGrid w:val="0"/>
              <w:jc w:val="center"/>
              <w:rPr>
                <w:color w:val="000000"/>
                <w:szCs w:val="21"/>
              </w:rPr>
            </w:pPr>
            <w:r>
              <w:rPr>
                <w:color w:val="000000"/>
                <w:szCs w:val="21"/>
              </w:rPr>
              <w:t>GB/T 528-2009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17" w:type="pct"/>
            <w:vAlign w:val="center"/>
          </w:tcPr>
          <w:p>
            <w:pPr>
              <w:adjustRightInd w:val="0"/>
              <w:snapToGrid w:val="0"/>
              <w:jc w:val="center"/>
              <w:rPr>
                <w:color w:val="000000"/>
                <w:szCs w:val="21"/>
              </w:rPr>
            </w:pPr>
            <w:r>
              <w:rPr>
                <w:color w:val="000000"/>
                <w:szCs w:val="21"/>
              </w:rPr>
              <w:t>2</w:t>
            </w:r>
          </w:p>
        </w:tc>
        <w:tc>
          <w:tcPr>
            <w:tcW w:w="2248" w:type="pct"/>
            <w:gridSpan w:val="2"/>
            <w:vAlign w:val="center"/>
          </w:tcPr>
          <w:p>
            <w:pPr>
              <w:adjustRightInd w:val="0"/>
              <w:snapToGrid w:val="0"/>
              <w:jc w:val="center"/>
              <w:rPr>
                <w:color w:val="000000"/>
                <w:szCs w:val="21"/>
              </w:rPr>
            </w:pPr>
            <w:r>
              <w:rPr>
                <w:color w:val="000000"/>
                <w:szCs w:val="21"/>
              </w:rPr>
              <w:t>外底拉断伸长率</w:t>
            </w:r>
          </w:p>
        </w:tc>
        <w:tc>
          <w:tcPr>
            <w:tcW w:w="2135" w:type="pct"/>
            <w:vAlign w:val="center"/>
          </w:tcPr>
          <w:p>
            <w:pPr>
              <w:adjustRightInd w:val="0"/>
              <w:snapToGrid w:val="0"/>
              <w:jc w:val="center"/>
              <w:rPr>
                <w:color w:val="000000"/>
                <w:szCs w:val="21"/>
              </w:rPr>
            </w:pPr>
            <w:r>
              <w:rPr>
                <w:color w:val="000000"/>
                <w:szCs w:val="21"/>
              </w:rPr>
              <w:t>GB/T 528-2009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17" w:type="pct"/>
            <w:vAlign w:val="center"/>
          </w:tcPr>
          <w:p>
            <w:pPr>
              <w:adjustRightInd w:val="0"/>
              <w:snapToGrid w:val="0"/>
              <w:jc w:val="center"/>
              <w:rPr>
                <w:color w:val="000000"/>
                <w:szCs w:val="21"/>
              </w:rPr>
            </w:pPr>
            <w:r>
              <w:rPr>
                <w:color w:val="000000"/>
                <w:szCs w:val="21"/>
              </w:rPr>
              <w:t>3</w:t>
            </w:r>
          </w:p>
        </w:tc>
        <w:tc>
          <w:tcPr>
            <w:tcW w:w="2248" w:type="pct"/>
            <w:gridSpan w:val="2"/>
            <w:vAlign w:val="center"/>
          </w:tcPr>
          <w:p>
            <w:pPr>
              <w:adjustRightInd w:val="0"/>
              <w:snapToGrid w:val="0"/>
              <w:jc w:val="center"/>
              <w:rPr>
                <w:color w:val="000000"/>
                <w:szCs w:val="21"/>
              </w:rPr>
            </w:pPr>
            <w:r>
              <w:rPr>
                <w:color w:val="000000"/>
                <w:szCs w:val="21"/>
              </w:rPr>
              <w:t>外底磨耗量</w:t>
            </w:r>
          </w:p>
        </w:tc>
        <w:tc>
          <w:tcPr>
            <w:tcW w:w="2135" w:type="pct"/>
            <w:vAlign w:val="center"/>
          </w:tcPr>
          <w:p>
            <w:pPr>
              <w:adjustRightInd w:val="0"/>
              <w:snapToGrid w:val="0"/>
              <w:jc w:val="center"/>
              <w:rPr>
                <w:color w:val="000000"/>
                <w:szCs w:val="21"/>
              </w:rPr>
            </w:pPr>
            <w:r>
              <w:rPr>
                <w:color w:val="000000"/>
                <w:szCs w:val="21"/>
              </w:rPr>
              <w:t>GB/T 1689-1998</w:t>
            </w:r>
          </w:p>
          <w:p>
            <w:pPr>
              <w:adjustRightInd w:val="0"/>
              <w:snapToGrid w:val="0"/>
              <w:jc w:val="center"/>
              <w:rPr>
                <w:color w:val="000000"/>
                <w:szCs w:val="21"/>
              </w:rPr>
            </w:pPr>
            <w:r>
              <w:rPr>
                <w:rFonts w:ascii="Times New Roman" w:hAnsi="Times New Roman"/>
                <w:color w:val="000000"/>
                <w:szCs w:val="21"/>
              </w:rPr>
              <w:t>GB/T 1689-2014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17" w:type="pct"/>
            <w:vAlign w:val="center"/>
          </w:tcPr>
          <w:p>
            <w:pPr>
              <w:adjustRightInd w:val="0"/>
              <w:snapToGrid w:val="0"/>
              <w:jc w:val="center"/>
              <w:rPr>
                <w:color w:val="000000"/>
                <w:szCs w:val="21"/>
              </w:rPr>
            </w:pPr>
            <w:r>
              <w:rPr>
                <w:color w:val="000000"/>
                <w:szCs w:val="21"/>
              </w:rPr>
              <w:t>4</w:t>
            </w:r>
          </w:p>
        </w:tc>
        <w:tc>
          <w:tcPr>
            <w:tcW w:w="2248" w:type="pct"/>
            <w:gridSpan w:val="2"/>
            <w:vAlign w:val="center"/>
          </w:tcPr>
          <w:p>
            <w:pPr>
              <w:adjustRightInd w:val="0"/>
              <w:snapToGrid w:val="0"/>
              <w:jc w:val="center"/>
              <w:rPr>
                <w:color w:val="000000"/>
                <w:szCs w:val="21"/>
              </w:rPr>
            </w:pPr>
            <w:r>
              <w:rPr>
                <w:color w:val="000000"/>
                <w:szCs w:val="21"/>
              </w:rPr>
              <w:t>外底硬度</w:t>
            </w:r>
          </w:p>
        </w:tc>
        <w:tc>
          <w:tcPr>
            <w:tcW w:w="2135" w:type="pct"/>
            <w:vAlign w:val="center"/>
          </w:tcPr>
          <w:p>
            <w:pPr>
              <w:adjustRightInd w:val="0"/>
              <w:snapToGrid w:val="0"/>
              <w:jc w:val="center"/>
              <w:rPr>
                <w:color w:val="000000"/>
                <w:szCs w:val="21"/>
              </w:rPr>
            </w:pPr>
            <w:r>
              <w:rPr>
                <w:color w:val="000000"/>
                <w:szCs w:val="21"/>
              </w:rPr>
              <w:t>GB/T 531.1-2008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17" w:type="pct"/>
            <w:vAlign w:val="center"/>
          </w:tcPr>
          <w:p>
            <w:pPr>
              <w:adjustRightInd w:val="0"/>
              <w:snapToGrid w:val="0"/>
              <w:jc w:val="center"/>
              <w:rPr>
                <w:color w:val="000000"/>
                <w:szCs w:val="21"/>
              </w:rPr>
            </w:pPr>
            <w:r>
              <w:rPr>
                <w:color w:val="000000"/>
                <w:szCs w:val="21"/>
              </w:rPr>
              <w:t>5</w:t>
            </w:r>
          </w:p>
        </w:tc>
        <w:tc>
          <w:tcPr>
            <w:tcW w:w="2248" w:type="pct"/>
            <w:gridSpan w:val="2"/>
            <w:vAlign w:val="center"/>
          </w:tcPr>
          <w:p>
            <w:pPr>
              <w:adjustRightInd w:val="0"/>
              <w:snapToGrid w:val="0"/>
              <w:jc w:val="center"/>
              <w:rPr>
                <w:color w:val="000000"/>
                <w:szCs w:val="21"/>
              </w:rPr>
            </w:pPr>
            <w:r>
              <w:rPr>
                <w:color w:val="000000"/>
                <w:szCs w:val="21"/>
              </w:rPr>
              <w:t>围条与鞋帮粘合强度</w:t>
            </w:r>
            <w:r>
              <w:rPr>
                <w:rFonts w:hint="eastAsia"/>
                <w:color w:val="000000"/>
                <w:szCs w:val="21"/>
              </w:rPr>
              <w:t>/</w:t>
            </w:r>
            <w:r>
              <w:rPr>
                <w:color w:val="000000"/>
                <w:szCs w:val="21"/>
              </w:rPr>
              <w:t>粘合强度</w:t>
            </w:r>
          </w:p>
        </w:tc>
        <w:tc>
          <w:tcPr>
            <w:tcW w:w="2135" w:type="pct"/>
            <w:vAlign w:val="center"/>
          </w:tcPr>
          <w:p>
            <w:pPr>
              <w:adjustRightInd w:val="0"/>
              <w:snapToGrid w:val="0"/>
              <w:jc w:val="center"/>
              <w:rPr>
                <w:color w:val="000000"/>
                <w:szCs w:val="21"/>
              </w:rPr>
            </w:pPr>
            <w:r>
              <w:rPr>
                <w:color w:val="000000"/>
                <w:szCs w:val="21"/>
              </w:rPr>
              <w:t>GB/T 532-2008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17" w:type="pct"/>
            <w:vAlign w:val="center"/>
          </w:tcPr>
          <w:p>
            <w:pPr>
              <w:adjustRightInd w:val="0"/>
              <w:snapToGrid w:val="0"/>
              <w:jc w:val="center"/>
              <w:rPr>
                <w:color w:val="000000"/>
                <w:szCs w:val="21"/>
              </w:rPr>
            </w:pPr>
            <w:r>
              <w:rPr>
                <w:color w:val="000000"/>
                <w:szCs w:val="21"/>
              </w:rPr>
              <w:t>6</w:t>
            </w:r>
          </w:p>
        </w:tc>
        <w:tc>
          <w:tcPr>
            <w:tcW w:w="2248" w:type="pct"/>
            <w:gridSpan w:val="2"/>
            <w:vAlign w:val="center"/>
          </w:tcPr>
          <w:p>
            <w:pPr>
              <w:adjustRightInd w:val="0"/>
              <w:snapToGrid w:val="0"/>
              <w:jc w:val="center"/>
              <w:rPr>
                <w:color w:val="000000"/>
                <w:szCs w:val="21"/>
              </w:rPr>
            </w:pPr>
            <w:r>
              <w:rPr>
                <w:color w:val="000000"/>
                <w:szCs w:val="21"/>
              </w:rPr>
              <w:t>整鞋耐屈挠性能</w:t>
            </w:r>
          </w:p>
        </w:tc>
        <w:tc>
          <w:tcPr>
            <w:tcW w:w="2135" w:type="pct"/>
            <w:vAlign w:val="center"/>
          </w:tcPr>
          <w:p>
            <w:pPr>
              <w:adjustRightInd w:val="0"/>
              <w:snapToGrid w:val="0"/>
              <w:jc w:val="center"/>
              <w:rPr>
                <w:color w:val="000000"/>
                <w:szCs w:val="21"/>
              </w:rPr>
            </w:pPr>
            <w:r>
              <w:rPr>
                <w:color w:val="000000"/>
                <w:szCs w:val="21"/>
              </w:rPr>
              <w:t>HG/T 2871-2008 B法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17" w:type="pct"/>
            <w:vAlign w:val="center"/>
          </w:tcPr>
          <w:p>
            <w:pPr>
              <w:adjustRightInd w:val="0"/>
              <w:snapToGrid w:val="0"/>
              <w:jc w:val="center"/>
              <w:rPr>
                <w:color w:val="000000"/>
                <w:szCs w:val="21"/>
              </w:rPr>
            </w:pPr>
            <w:r>
              <w:rPr>
                <w:color w:val="000000"/>
                <w:szCs w:val="21"/>
              </w:rPr>
              <w:t>7</w:t>
            </w:r>
          </w:p>
        </w:tc>
        <w:tc>
          <w:tcPr>
            <w:tcW w:w="2248" w:type="pct"/>
            <w:gridSpan w:val="2"/>
            <w:vAlign w:val="center"/>
          </w:tcPr>
          <w:p>
            <w:pPr>
              <w:adjustRightInd w:val="0"/>
              <w:snapToGrid w:val="0"/>
              <w:jc w:val="center"/>
              <w:rPr>
                <w:color w:val="000000"/>
                <w:szCs w:val="21"/>
              </w:rPr>
            </w:pPr>
            <w:r>
              <w:rPr>
                <w:color w:val="000000"/>
                <w:szCs w:val="21"/>
              </w:rPr>
              <w:t>pH值</w:t>
            </w:r>
          </w:p>
        </w:tc>
        <w:tc>
          <w:tcPr>
            <w:tcW w:w="2135" w:type="pct"/>
            <w:vAlign w:val="center"/>
          </w:tcPr>
          <w:p>
            <w:pPr>
              <w:spacing w:line="320" w:lineRule="exact"/>
              <w:jc w:val="center"/>
              <w:rPr>
                <w:color w:val="000000"/>
                <w:szCs w:val="21"/>
              </w:rPr>
            </w:pPr>
            <w:r>
              <w:rPr>
                <w:color w:val="000000"/>
                <w:szCs w:val="21"/>
              </w:rPr>
              <w:t>GB/T 7573-2002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17" w:type="pct"/>
            <w:vAlign w:val="center"/>
          </w:tcPr>
          <w:p>
            <w:pPr>
              <w:adjustRightInd w:val="0"/>
              <w:snapToGrid w:val="0"/>
              <w:jc w:val="center"/>
              <w:rPr>
                <w:color w:val="000000"/>
                <w:szCs w:val="21"/>
              </w:rPr>
            </w:pPr>
            <w:r>
              <w:rPr>
                <w:color w:val="000000"/>
                <w:szCs w:val="21"/>
              </w:rPr>
              <w:t>8</w:t>
            </w:r>
          </w:p>
        </w:tc>
        <w:tc>
          <w:tcPr>
            <w:tcW w:w="2248" w:type="pct"/>
            <w:gridSpan w:val="2"/>
            <w:vAlign w:val="center"/>
          </w:tcPr>
          <w:p>
            <w:pPr>
              <w:adjustRightInd w:val="0"/>
              <w:snapToGrid w:val="0"/>
              <w:jc w:val="center"/>
              <w:rPr>
                <w:color w:val="000000"/>
                <w:szCs w:val="21"/>
              </w:rPr>
            </w:pPr>
            <w:r>
              <w:rPr>
                <w:color w:val="000000"/>
                <w:szCs w:val="21"/>
              </w:rPr>
              <w:t>游离甲醛</w:t>
            </w:r>
          </w:p>
        </w:tc>
        <w:tc>
          <w:tcPr>
            <w:tcW w:w="2135" w:type="pct"/>
            <w:vAlign w:val="center"/>
          </w:tcPr>
          <w:p>
            <w:pPr>
              <w:spacing w:line="320" w:lineRule="exact"/>
              <w:jc w:val="center"/>
              <w:rPr>
                <w:color w:val="000000"/>
                <w:szCs w:val="21"/>
              </w:rPr>
            </w:pPr>
            <w:r>
              <w:rPr>
                <w:color w:val="000000"/>
                <w:szCs w:val="21"/>
              </w:rPr>
              <w:t>GB/T 2912.1-1998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17" w:type="pct"/>
            <w:vMerge w:val="restart"/>
            <w:vAlign w:val="center"/>
          </w:tcPr>
          <w:p>
            <w:pPr>
              <w:adjustRightInd w:val="0"/>
              <w:snapToGrid w:val="0"/>
              <w:jc w:val="center"/>
              <w:rPr>
                <w:color w:val="000000"/>
                <w:szCs w:val="21"/>
              </w:rPr>
            </w:pPr>
            <w:r>
              <w:rPr>
                <w:color w:val="000000"/>
                <w:szCs w:val="21"/>
              </w:rPr>
              <w:t>9</w:t>
            </w:r>
          </w:p>
        </w:tc>
        <w:tc>
          <w:tcPr>
            <w:tcW w:w="987" w:type="pct"/>
            <w:vMerge w:val="restart"/>
            <w:vAlign w:val="center"/>
          </w:tcPr>
          <w:p>
            <w:pPr>
              <w:adjustRightInd w:val="0"/>
              <w:snapToGrid w:val="0"/>
              <w:jc w:val="center"/>
              <w:rPr>
                <w:color w:val="FF0000"/>
                <w:szCs w:val="21"/>
              </w:rPr>
            </w:pPr>
            <w:r>
              <w:rPr>
                <w:szCs w:val="21"/>
              </w:rPr>
              <w:t>可萃取的重金属</w:t>
            </w:r>
          </w:p>
        </w:tc>
        <w:tc>
          <w:tcPr>
            <w:tcW w:w="1261" w:type="pct"/>
            <w:vAlign w:val="center"/>
          </w:tcPr>
          <w:p>
            <w:pPr>
              <w:adjustRightInd w:val="0"/>
              <w:snapToGrid w:val="0"/>
              <w:jc w:val="center"/>
              <w:rPr>
                <w:color w:val="FF0000"/>
                <w:szCs w:val="21"/>
              </w:rPr>
            </w:pPr>
            <w:r>
              <w:rPr>
                <w:szCs w:val="21"/>
              </w:rPr>
              <w:t>铅</w:t>
            </w:r>
          </w:p>
        </w:tc>
        <w:tc>
          <w:tcPr>
            <w:tcW w:w="2135" w:type="pct"/>
            <w:vMerge w:val="restart"/>
            <w:vAlign w:val="center"/>
          </w:tcPr>
          <w:p>
            <w:pPr>
              <w:spacing w:line="320" w:lineRule="exact"/>
              <w:jc w:val="center"/>
              <w:rPr>
                <w:color w:val="000000"/>
                <w:szCs w:val="21"/>
              </w:rPr>
            </w:pPr>
            <w:r>
              <w:rPr>
                <w:color w:val="000000"/>
                <w:szCs w:val="21"/>
              </w:rPr>
              <w:t>GB/T 17593.2-2007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17" w:type="pct"/>
            <w:vMerge w:val="continue"/>
            <w:vAlign w:val="center"/>
          </w:tcPr>
          <w:p>
            <w:pPr>
              <w:adjustRightInd w:val="0"/>
              <w:snapToGrid w:val="0"/>
              <w:jc w:val="center"/>
              <w:rPr>
                <w:color w:val="000000"/>
                <w:szCs w:val="21"/>
              </w:rPr>
            </w:pPr>
          </w:p>
        </w:tc>
        <w:tc>
          <w:tcPr>
            <w:tcW w:w="987" w:type="pct"/>
            <w:vMerge w:val="continue"/>
            <w:vAlign w:val="center"/>
          </w:tcPr>
          <w:p>
            <w:pPr>
              <w:adjustRightInd w:val="0"/>
              <w:snapToGrid w:val="0"/>
              <w:jc w:val="center"/>
              <w:rPr>
                <w:szCs w:val="21"/>
              </w:rPr>
            </w:pPr>
          </w:p>
        </w:tc>
        <w:tc>
          <w:tcPr>
            <w:tcW w:w="1261" w:type="pct"/>
            <w:vAlign w:val="center"/>
          </w:tcPr>
          <w:p>
            <w:pPr>
              <w:adjustRightInd w:val="0"/>
              <w:snapToGrid w:val="0"/>
              <w:jc w:val="center"/>
              <w:rPr>
                <w:szCs w:val="21"/>
              </w:rPr>
            </w:pPr>
            <w:r>
              <w:rPr>
                <w:szCs w:val="21"/>
              </w:rPr>
              <w:t>镉</w:t>
            </w:r>
          </w:p>
        </w:tc>
        <w:tc>
          <w:tcPr>
            <w:tcW w:w="2135" w:type="pct"/>
            <w:vMerge w:val="continue"/>
            <w:vAlign w:val="center"/>
          </w:tcPr>
          <w:p>
            <w:pPr>
              <w:spacing w:line="320" w:lineRule="exact"/>
              <w:jc w:val="center"/>
              <w:rPr>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17" w:type="pct"/>
            <w:vMerge w:val="continue"/>
            <w:vAlign w:val="center"/>
          </w:tcPr>
          <w:p>
            <w:pPr>
              <w:adjustRightInd w:val="0"/>
              <w:snapToGrid w:val="0"/>
              <w:jc w:val="center"/>
              <w:rPr>
                <w:color w:val="000000"/>
                <w:szCs w:val="21"/>
              </w:rPr>
            </w:pPr>
          </w:p>
        </w:tc>
        <w:tc>
          <w:tcPr>
            <w:tcW w:w="987" w:type="pct"/>
            <w:vMerge w:val="continue"/>
            <w:vAlign w:val="center"/>
          </w:tcPr>
          <w:p>
            <w:pPr>
              <w:adjustRightInd w:val="0"/>
              <w:snapToGrid w:val="0"/>
              <w:jc w:val="center"/>
              <w:rPr>
                <w:szCs w:val="21"/>
              </w:rPr>
            </w:pPr>
          </w:p>
        </w:tc>
        <w:tc>
          <w:tcPr>
            <w:tcW w:w="1261" w:type="pct"/>
            <w:vAlign w:val="center"/>
          </w:tcPr>
          <w:p>
            <w:pPr>
              <w:adjustRightInd w:val="0"/>
              <w:snapToGrid w:val="0"/>
              <w:jc w:val="center"/>
              <w:rPr>
                <w:szCs w:val="21"/>
              </w:rPr>
            </w:pPr>
            <w:r>
              <w:rPr>
                <w:szCs w:val="21"/>
              </w:rPr>
              <w:t>砷</w:t>
            </w:r>
          </w:p>
        </w:tc>
        <w:tc>
          <w:tcPr>
            <w:tcW w:w="2135" w:type="pct"/>
            <w:vMerge w:val="continue"/>
            <w:vAlign w:val="center"/>
          </w:tcPr>
          <w:p>
            <w:pPr>
              <w:spacing w:line="320" w:lineRule="exact"/>
              <w:jc w:val="center"/>
              <w:rPr>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17" w:type="pct"/>
            <w:vAlign w:val="center"/>
          </w:tcPr>
          <w:p>
            <w:pPr>
              <w:adjustRightInd w:val="0"/>
              <w:snapToGrid w:val="0"/>
              <w:jc w:val="center"/>
              <w:rPr>
                <w:color w:val="000000"/>
                <w:szCs w:val="21"/>
              </w:rPr>
            </w:pPr>
            <w:r>
              <w:rPr>
                <w:color w:val="000000"/>
                <w:szCs w:val="21"/>
              </w:rPr>
              <w:t>10</w:t>
            </w:r>
          </w:p>
        </w:tc>
        <w:tc>
          <w:tcPr>
            <w:tcW w:w="2248" w:type="pct"/>
            <w:gridSpan w:val="2"/>
            <w:vAlign w:val="center"/>
          </w:tcPr>
          <w:p>
            <w:pPr>
              <w:adjustRightInd w:val="0"/>
              <w:snapToGrid w:val="0"/>
              <w:jc w:val="center"/>
              <w:rPr>
                <w:color w:val="000000"/>
                <w:szCs w:val="21"/>
              </w:rPr>
            </w:pPr>
            <w:r>
              <w:rPr>
                <w:color w:val="000000"/>
                <w:szCs w:val="21"/>
              </w:rPr>
              <w:t>可分解有害芳香胺染料</w:t>
            </w:r>
          </w:p>
        </w:tc>
        <w:tc>
          <w:tcPr>
            <w:tcW w:w="2135" w:type="pct"/>
            <w:vAlign w:val="center"/>
          </w:tcPr>
          <w:p>
            <w:pPr>
              <w:spacing w:line="320" w:lineRule="exact"/>
              <w:jc w:val="center"/>
              <w:rPr>
                <w:color w:val="000000"/>
                <w:szCs w:val="21"/>
              </w:rPr>
            </w:pPr>
            <w:r>
              <w:rPr>
                <w:color w:val="000000"/>
                <w:szCs w:val="21"/>
              </w:rPr>
              <w:t>GB/T 17592-2006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17" w:type="pct"/>
            <w:vMerge w:val="restart"/>
            <w:vAlign w:val="center"/>
          </w:tcPr>
          <w:p>
            <w:pPr>
              <w:adjustRightInd w:val="0"/>
              <w:snapToGrid w:val="0"/>
              <w:jc w:val="center"/>
              <w:rPr>
                <w:color w:val="000000"/>
                <w:szCs w:val="21"/>
              </w:rPr>
            </w:pPr>
            <w:r>
              <w:rPr>
                <w:color w:val="000000"/>
                <w:szCs w:val="21"/>
              </w:rPr>
              <w:t>11</w:t>
            </w:r>
          </w:p>
        </w:tc>
        <w:tc>
          <w:tcPr>
            <w:tcW w:w="987" w:type="pct"/>
            <w:vMerge w:val="restart"/>
            <w:vAlign w:val="center"/>
          </w:tcPr>
          <w:p>
            <w:pPr>
              <w:adjustRightInd w:val="0"/>
              <w:snapToGrid w:val="0"/>
              <w:jc w:val="center"/>
              <w:rPr>
                <w:color w:val="FF0000"/>
                <w:szCs w:val="21"/>
              </w:rPr>
            </w:pPr>
            <w:r>
              <w:rPr>
                <w:szCs w:val="21"/>
              </w:rPr>
              <w:t>含氯酚</w:t>
            </w:r>
          </w:p>
        </w:tc>
        <w:tc>
          <w:tcPr>
            <w:tcW w:w="1261" w:type="pct"/>
            <w:vAlign w:val="center"/>
          </w:tcPr>
          <w:p>
            <w:pPr>
              <w:adjustRightInd w:val="0"/>
              <w:snapToGrid w:val="0"/>
              <w:jc w:val="center"/>
              <w:rPr>
                <w:color w:val="FF0000"/>
                <w:szCs w:val="21"/>
              </w:rPr>
            </w:pPr>
            <w:r>
              <w:rPr>
                <w:szCs w:val="21"/>
              </w:rPr>
              <w:t>五氯苯酚</w:t>
            </w:r>
          </w:p>
        </w:tc>
        <w:tc>
          <w:tcPr>
            <w:tcW w:w="2135" w:type="pct"/>
            <w:vMerge w:val="restart"/>
            <w:vAlign w:val="center"/>
          </w:tcPr>
          <w:p>
            <w:pPr>
              <w:spacing w:line="320" w:lineRule="exact"/>
              <w:jc w:val="center"/>
              <w:rPr>
                <w:color w:val="000000"/>
                <w:szCs w:val="21"/>
              </w:rPr>
            </w:pPr>
            <w:r>
              <w:rPr>
                <w:color w:val="000000"/>
                <w:szCs w:val="21"/>
              </w:rPr>
              <w:t>GB/T 18414.1-2006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17" w:type="pct"/>
            <w:vMerge w:val="continue"/>
            <w:vAlign w:val="center"/>
          </w:tcPr>
          <w:p>
            <w:pPr>
              <w:adjustRightInd w:val="0"/>
              <w:snapToGrid w:val="0"/>
              <w:jc w:val="center"/>
              <w:rPr>
                <w:color w:val="000000"/>
                <w:szCs w:val="21"/>
              </w:rPr>
            </w:pPr>
          </w:p>
        </w:tc>
        <w:tc>
          <w:tcPr>
            <w:tcW w:w="987" w:type="pct"/>
            <w:vMerge w:val="continue"/>
            <w:vAlign w:val="center"/>
          </w:tcPr>
          <w:p>
            <w:pPr>
              <w:adjustRightInd w:val="0"/>
              <w:snapToGrid w:val="0"/>
              <w:jc w:val="center"/>
              <w:rPr>
                <w:szCs w:val="21"/>
              </w:rPr>
            </w:pPr>
          </w:p>
        </w:tc>
        <w:tc>
          <w:tcPr>
            <w:tcW w:w="1261" w:type="pct"/>
            <w:vAlign w:val="center"/>
          </w:tcPr>
          <w:p>
            <w:pPr>
              <w:adjustRightInd w:val="0"/>
              <w:snapToGrid w:val="0"/>
              <w:jc w:val="center"/>
              <w:rPr>
                <w:szCs w:val="21"/>
              </w:rPr>
            </w:pPr>
            <w:r>
              <w:rPr>
                <w:szCs w:val="21"/>
              </w:rPr>
              <w:t>2,3,5,6-四氯苯酚</w:t>
            </w:r>
          </w:p>
        </w:tc>
        <w:tc>
          <w:tcPr>
            <w:tcW w:w="2135" w:type="pct"/>
            <w:vMerge w:val="continue"/>
            <w:vAlign w:val="center"/>
          </w:tcPr>
          <w:p>
            <w:pPr>
              <w:spacing w:line="320" w:lineRule="exact"/>
              <w:jc w:val="center"/>
              <w:rPr>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17" w:type="pct"/>
            <w:vAlign w:val="center"/>
          </w:tcPr>
          <w:p>
            <w:pPr>
              <w:adjustRightInd w:val="0"/>
              <w:snapToGrid w:val="0"/>
              <w:jc w:val="center"/>
              <w:rPr>
                <w:color w:val="000000"/>
                <w:szCs w:val="21"/>
              </w:rPr>
            </w:pPr>
            <w:r>
              <w:rPr>
                <w:color w:val="000000"/>
                <w:szCs w:val="21"/>
              </w:rPr>
              <w:t>12</w:t>
            </w:r>
          </w:p>
        </w:tc>
        <w:tc>
          <w:tcPr>
            <w:tcW w:w="2248" w:type="pct"/>
            <w:gridSpan w:val="2"/>
            <w:vAlign w:val="center"/>
          </w:tcPr>
          <w:p>
            <w:pPr>
              <w:adjustRightInd w:val="0"/>
              <w:snapToGrid w:val="0"/>
              <w:jc w:val="center"/>
              <w:rPr>
                <w:color w:val="000000"/>
                <w:szCs w:val="21"/>
              </w:rPr>
            </w:pPr>
            <w:r>
              <w:rPr>
                <w:color w:val="000000"/>
                <w:szCs w:val="21"/>
              </w:rPr>
              <w:t>N-亚硝基胺</w:t>
            </w:r>
          </w:p>
        </w:tc>
        <w:tc>
          <w:tcPr>
            <w:tcW w:w="2135" w:type="pct"/>
            <w:vAlign w:val="center"/>
          </w:tcPr>
          <w:p>
            <w:pPr>
              <w:spacing w:line="320" w:lineRule="exact"/>
              <w:jc w:val="center"/>
              <w:rPr>
                <w:color w:val="000000"/>
                <w:szCs w:val="21"/>
              </w:rPr>
            </w:pPr>
            <w:r>
              <w:rPr>
                <w:color w:val="000000"/>
                <w:szCs w:val="21"/>
              </w:rPr>
              <w:t>GB/T 24153-2009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17" w:type="pct"/>
            <w:vAlign w:val="center"/>
          </w:tcPr>
          <w:p>
            <w:pPr>
              <w:adjustRightInd w:val="0"/>
              <w:snapToGrid w:val="0"/>
              <w:jc w:val="center"/>
              <w:rPr>
                <w:color w:val="000000"/>
                <w:szCs w:val="21"/>
              </w:rPr>
            </w:pPr>
            <w:r>
              <w:rPr>
                <w:color w:val="000000"/>
                <w:szCs w:val="21"/>
              </w:rPr>
              <w:t>13</w:t>
            </w:r>
          </w:p>
        </w:tc>
        <w:tc>
          <w:tcPr>
            <w:tcW w:w="2248" w:type="pct"/>
            <w:gridSpan w:val="2"/>
            <w:vAlign w:val="center"/>
          </w:tcPr>
          <w:p>
            <w:pPr>
              <w:adjustRightInd w:val="0"/>
              <w:snapToGrid w:val="0"/>
              <w:jc w:val="center"/>
              <w:rPr>
                <w:color w:val="000000"/>
                <w:szCs w:val="21"/>
              </w:rPr>
            </w:pPr>
            <w:r>
              <w:rPr>
                <w:color w:val="000000"/>
                <w:szCs w:val="21"/>
              </w:rPr>
              <w:t>鞋里和内底摩擦色牢度（沾色）</w:t>
            </w:r>
          </w:p>
        </w:tc>
        <w:tc>
          <w:tcPr>
            <w:tcW w:w="2135" w:type="pct"/>
            <w:vAlign w:val="center"/>
          </w:tcPr>
          <w:p>
            <w:pPr>
              <w:spacing w:line="320" w:lineRule="exact"/>
              <w:jc w:val="center"/>
              <w:rPr>
                <w:color w:val="000000"/>
                <w:szCs w:val="21"/>
              </w:rPr>
            </w:pPr>
            <w:r>
              <w:rPr>
                <w:color w:val="000000"/>
                <w:szCs w:val="21"/>
              </w:rPr>
              <w:t>QB/T 2882-2007</w:t>
            </w:r>
            <w:r>
              <w:rPr>
                <w:rFonts w:hint="eastAsia"/>
                <w:color w:val="000000"/>
                <w:szCs w:val="21"/>
              </w:rPr>
              <w:t xml:space="preserve"> </w:t>
            </w:r>
            <w:r>
              <w:rPr>
                <w:rFonts w:hint="eastAsia"/>
                <w:szCs w:val="21"/>
              </w:rPr>
              <w:t>A法</w:t>
            </w:r>
          </w:p>
        </w:tc>
      </w:tr>
    </w:tbl>
    <w:p>
      <w:pPr>
        <w:adjustRightInd w:val="0"/>
        <w:snapToGrid w:val="0"/>
        <w:spacing w:line="440" w:lineRule="exact"/>
        <w:ind w:firstLine="420" w:firstLineChars="200"/>
        <w:rPr>
          <w:color w:val="000000"/>
          <w:szCs w:val="21"/>
        </w:rPr>
      </w:pPr>
      <w:r>
        <w:rPr>
          <w:rFonts w:hint="eastAsia"/>
          <w:color w:val="000000"/>
          <w:szCs w:val="21"/>
        </w:rPr>
        <w:t>执行企业标准、团体标准、地方标准的产品，检验项目参照上述内容执行。</w:t>
      </w:r>
    </w:p>
    <w:p>
      <w:pPr>
        <w:adjustRightInd w:val="0"/>
        <w:snapToGrid w:val="0"/>
        <w:spacing w:line="440" w:lineRule="exact"/>
        <w:ind w:firstLine="420" w:firstLineChars="200"/>
        <w:rPr>
          <w:color w:val="000000"/>
          <w:szCs w:val="21"/>
        </w:rPr>
      </w:pPr>
      <w:r>
        <w:rPr>
          <w:rFonts w:hint="eastAsia"/>
          <w:color w:val="000000"/>
          <w:szCs w:val="21"/>
        </w:rPr>
        <w:t>凡是注日期的文件，其随后所有的修改单（不包括勘误的内容）或修订版不适用于本细则。凡是不注日期的文件，其最新版本适用于本细则。</w:t>
      </w:r>
    </w:p>
    <w:p>
      <w:pPr>
        <w:adjustRightInd w:val="0"/>
        <w:snapToGrid w:val="0"/>
        <w:spacing w:line="440" w:lineRule="exact"/>
        <w:rPr>
          <w:rFonts w:ascii="Times New Roman" w:hAnsi="Times New Roman" w:eastAsia="黑体"/>
          <w:color w:val="000000"/>
          <w:szCs w:val="21"/>
        </w:rPr>
      </w:pPr>
      <w:r>
        <w:rPr>
          <w:rFonts w:ascii="Times New Roman" w:hAnsi="Times New Roman" w:eastAsia="黑体"/>
          <w:color w:val="000000"/>
          <w:szCs w:val="21"/>
        </w:rPr>
        <w:t>3 判定规则</w:t>
      </w:r>
    </w:p>
    <w:p>
      <w:pPr>
        <w:adjustRightInd w:val="0"/>
        <w:snapToGrid w:val="0"/>
        <w:spacing w:line="440" w:lineRule="exact"/>
        <w:rPr>
          <w:rFonts w:ascii="Times New Roman" w:hAnsi="Times New Roman"/>
          <w:color w:val="000000"/>
          <w:szCs w:val="21"/>
        </w:rPr>
      </w:pPr>
      <w:r>
        <w:rPr>
          <w:rFonts w:ascii="Times New Roman" w:hAnsi="Times New Roman"/>
          <w:color w:val="000000"/>
          <w:szCs w:val="21"/>
        </w:rPr>
        <w:t>3.1依据标准</w:t>
      </w:r>
    </w:p>
    <w:p>
      <w:pPr>
        <w:adjustRightInd w:val="0"/>
        <w:snapToGrid w:val="0"/>
        <w:spacing w:line="440" w:lineRule="exact"/>
        <w:ind w:firstLine="420" w:firstLineChars="200"/>
        <w:rPr>
          <w:rFonts w:ascii="Times New Roman" w:hAnsi="Times New Roman"/>
          <w:szCs w:val="21"/>
        </w:rPr>
      </w:pPr>
      <w:r>
        <w:rPr>
          <w:rFonts w:hint="eastAsia" w:ascii="Times New Roman" w:hAnsi="Times New Roman"/>
          <w:szCs w:val="21"/>
        </w:rPr>
        <w:t xml:space="preserve">GB 25038-2010 </w:t>
      </w:r>
      <w:r>
        <w:rPr>
          <w:rFonts w:ascii="Times New Roman" w:hAnsi="Times New Roman"/>
          <w:szCs w:val="21"/>
        </w:rPr>
        <w:t xml:space="preserve">  </w:t>
      </w:r>
      <w:r>
        <w:rPr>
          <w:rFonts w:hint="eastAsia" w:ascii="Times New Roman" w:hAnsi="Times New Roman"/>
          <w:szCs w:val="21"/>
        </w:rPr>
        <w:t>胶鞋健康安全技术规范</w:t>
      </w:r>
    </w:p>
    <w:p>
      <w:pPr>
        <w:adjustRightInd w:val="0"/>
        <w:snapToGrid w:val="0"/>
        <w:spacing w:line="440" w:lineRule="exact"/>
        <w:ind w:firstLine="420" w:firstLineChars="200"/>
        <w:rPr>
          <w:rFonts w:ascii="Times New Roman" w:hAnsi="Times New Roman"/>
          <w:szCs w:val="21"/>
        </w:rPr>
      </w:pPr>
      <w:r>
        <w:rPr>
          <w:rFonts w:hint="eastAsia" w:ascii="Times New Roman" w:hAnsi="Times New Roman"/>
          <w:szCs w:val="21"/>
        </w:rPr>
        <w:t xml:space="preserve">HG/T 2017-2011 </w:t>
      </w:r>
      <w:r>
        <w:rPr>
          <w:rFonts w:ascii="Times New Roman" w:hAnsi="Times New Roman"/>
          <w:szCs w:val="21"/>
        </w:rPr>
        <w:t xml:space="preserve"> </w:t>
      </w:r>
      <w:r>
        <w:rPr>
          <w:rFonts w:hint="eastAsia" w:ascii="Times New Roman" w:hAnsi="Times New Roman"/>
          <w:szCs w:val="21"/>
        </w:rPr>
        <w:t>普通运动鞋</w:t>
      </w:r>
    </w:p>
    <w:p>
      <w:pPr>
        <w:adjustRightInd w:val="0"/>
        <w:snapToGrid w:val="0"/>
        <w:spacing w:line="440" w:lineRule="exact"/>
        <w:ind w:firstLine="420" w:firstLineChars="200"/>
        <w:rPr>
          <w:rFonts w:ascii="Times New Roman" w:hAnsi="Times New Roman"/>
          <w:szCs w:val="21"/>
        </w:rPr>
      </w:pPr>
      <w:r>
        <w:rPr>
          <w:rFonts w:hint="eastAsia" w:ascii="Times New Roman" w:hAnsi="Times New Roman"/>
          <w:szCs w:val="21"/>
        </w:rPr>
        <w:t xml:space="preserve">HG/T 2018-2014 </w:t>
      </w:r>
      <w:r>
        <w:rPr>
          <w:rFonts w:ascii="Times New Roman" w:hAnsi="Times New Roman"/>
          <w:szCs w:val="21"/>
        </w:rPr>
        <w:t xml:space="preserve"> </w:t>
      </w:r>
      <w:r>
        <w:rPr>
          <w:rFonts w:hint="eastAsia" w:ascii="Times New Roman" w:hAnsi="Times New Roman"/>
          <w:szCs w:val="21"/>
        </w:rPr>
        <w:t>轻便胶鞋</w:t>
      </w:r>
    </w:p>
    <w:p>
      <w:pPr>
        <w:adjustRightInd w:val="0"/>
        <w:snapToGrid w:val="0"/>
        <w:spacing w:line="440" w:lineRule="exact"/>
        <w:ind w:firstLine="420" w:firstLineChars="200"/>
        <w:rPr>
          <w:rFonts w:ascii="Times New Roman" w:hAnsi="Times New Roman"/>
          <w:szCs w:val="21"/>
        </w:rPr>
      </w:pPr>
      <w:r>
        <w:rPr>
          <w:rFonts w:hint="eastAsia" w:ascii="Times New Roman" w:hAnsi="Times New Roman"/>
          <w:szCs w:val="21"/>
        </w:rPr>
        <w:t>HG/T 2495-2020</w:t>
      </w:r>
      <w:r>
        <w:rPr>
          <w:rFonts w:ascii="Times New Roman" w:hAnsi="Times New Roman"/>
          <w:szCs w:val="21"/>
        </w:rPr>
        <w:t xml:space="preserve"> </w:t>
      </w:r>
      <w:r>
        <w:rPr>
          <w:rFonts w:hint="eastAsia" w:ascii="Times New Roman" w:hAnsi="Times New Roman"/>
          <w:szCs w:val="21"/>
        </w:rPr>
        <w:t xml:space="preserve"> 劳动鞋</w:t>
      </w:r>
    </w:p>
    <w:p>
      <w:pPr>
        <w:adjustRightInd w:val="0"/>
        <w:snapToGrid w:val="0"/>
        <w:spacing w:line="440" w:lineRule="exact"/>
        <w:ind w:left="439" w:leftChars="209"/>
        <w:rPr>
          <w:color w:val="000000"/>
          <w:szCs w:val="21"/>
        </w:rPr>
      </w:pPr>
      <w:r>
        <w:rPr>
          <w:rFonts w:hint="eastAsia"/>
          <w:color w:val="000000"/>
          <w:szCs w:val="21"/>
        </w:rPr>
        <w:t>现行有效的企业标准、团体标准、地方标准及产品明示质量要求</w:t>
      </w:r>
    </w:p>
    <w:p>
      <w:pPr>
        <w:adjustRightInd w:val="0"/>
        <w:snapToGrid w:val="0"/>
        <w:spacing w:line="440" w:lineRule="exact"/>
        <w:rPr>
          <w:rFonts w:ascii="Times New Roman" w:hAnsi="Times New Roman"/>
          <w:color w:val="000000"/>
          <w:szCs w:val="21"/>
        </w:rPr>
      </w:pPr>
      <w:r>
        <w:rPr>
          <w:rFonts w:ascii="Times New Roman" w:hAnsi="Times New Roman"/>
          <w:color w:val="000000"/>
          <w:szCs w:val="21"/>
        </w:rPr>
        <w:t>3.2判定原则</w:t>
      </w:r>
    </w:p>
    <w:p>
      <w:pPr>
        <w:adjustRightInd w:val="0"/>
        <w:snapToGrid w:val="0"/>
        <w:spacing w:line="440" w:lineRule="exact"/>
        <w:ind w:firstLine="417" w:firstLineChars="199"/>
        <w:rPr>
          <w:color w:val="000000"/>
          <w:szCs w:val="21"/>
        </w:rPr>
      </w:pPr>
      <w:r>
        <w:rPr>
          <w:rFonts w:hint="eastAsia"/>
          <w:color w:val="000000"/>
          <w:szCs w:val="21"/>
        </w:rPr>
        <w:t>经检验，检验项目全部合格，判定为被抽查产品所检项目未发现不合格；检验项目中任一项或一项以上不合格，判定为被抽查产品不合格。</w:t>
      </w:r>
    </w:p>
    <w:p>
      <w:pPr>
        <w:adjustRightInd w:val="0"/>
        <w:snapToGrid w:val="0"/>
        <w:spacing w:line="440" w:lineRule="exact"/>
        <w:ind w:firstLine="417" w:firstLineChars="199"/>
        <w:rPr>
          <w:color w:val="000000"/>
          <w:szCs w:val="21"/>
        </w:rPr>
      </w:pPr>
      <w:r>
        <w:rPr>
          <w:rFonts w:hint="eastAsia"/>
          <w:color w:val="000000"/>
          <w:szCs w:val="21"/>
        </w:rPr>
        <w:t>若被检产品明示的质量要求高于本细则中检验项目依据的标准要求时，应按被检产品明示的质量要求判定。</w:t>
      </w:r>
    </w:p>
    <w:p>
      <w:pPr>
        <w:adjustRightInd w:val="0"/>
        <w:snapToGrid w:val="0"/>
        <w:spacing w:line="440" w:lineRule="exact"/>
        <w:ind w:firstLine="417" w:firstLineChars="199"/>
        <w:rPr>
          <w:color w:val="000000"/>
          <w:szCs w:val="21"/>
        </w:rPr>
      </w:pPr>
      <w:r>
        <w:rPr>
          <w:rFonts w:hint="eastAsia"/>
          <w:color w:val="000000"/>
          <w:szCs w:val="21"/>
        </w:rPr>
        <w:t>若被检产品明示的质量要求低于本细则中检验项目依据的强制性标准要求时，应按照强制性标准要求判定。</w:t>
      </w:r>
    </w:p>
    <w:p>
      <w:pPr>
        <w:adjustRightInd w:val="0"/>
        <w:snapToGrid w:val="0"/>
        <w:spacing w:line="440" w:lineRule="exact"/>
        <w:ind w:firstLine="417" w:firstLineChars="199"/>
        <w:rPr>
          <w:color w:val="000000"/>
          <w:szCs w:val="21"/>
        </w:rPr>
      </w:pPr>
      <w:r>
        <w:rPr>
          <w:rFonts w:hint="eastAsia"/>
          <w:color w:val="000000"/>
          <w:szCs w:val="21"/>
        </w:rPr>
        <w:t>若被检产品明示的质量要求低于或包含本细则中检验项目依据的推荐性标准要求时，应以被检产品明示的质量要求判定。</w:t>
      </w:r>
    </w:p>
    <w:p>
      <w:pPr>
        <w:adjustRightInd w:val="0"/>
        <w:snapToGrid w:val="0"/>
        <w:spacing w:line="440" w:lineRule="exact"/>
        <w:ind w:firstLine="417" w:firstLineChars="199"/>
        <w:rPr>
          <w:color w:val="000000"/>
          <w:szCs w:val="21"/>
        </w:rPr>
      </w:pPr>
      <w:r>
        <w:rPr>
          <w:rFonts w:hint="eastAsia"/>
          <w:color w:val="000000"/>
          <w:szCs w:val="21"/>
        </w:rPr>
        <w:t>若被检产品明示的质量要求缺少本细则中检验项目依据的强制性标准要求时，应按照强制性标准要求判定。</w:t>
      </w:r>
    </w:p>
    <w:p>
      <w:pPr>
        <w:adjustRightInd w:val="0"/>
        <w:snapToGrid w:val="0"/>
        <w:spacing w:line="440" w:lineRule="exact"/>
        <w:ind w:firstLine="417" w:firstLineChars="199"/>
        <w:rPr>
          <w:color w:val="000000"/>
          <w:szCs w:val="21"/>
        </w:rPr>
      </w:pPr>
      <w:r>
        <w:rPr>
          <w:rFonts w:hint="eastAsia"/>
          <w:color w:val="000000"/>
          <w:szCs w:val="21"/>
        </w:rPr>
        <w:t>若被检产品明示的质量要求缺少本细则中检验项目依据的推荐性标准要求时，该项目不参与判定。</w:t>
      </w:r>
    </w:p>
    <w:p>
      <w:pPr>
        <w:spacing w:line="440" w:lineRule="exact"/>
        <w:rPr>
          <w:rFonts w:eastAsia="黑体"/>
          <w:color w:val="000000"/>
          <w:szCs w:val="21"/>
        </w:rPr>
      </w:pPr>
      <w:r>
        <w:rPr>
          <w:rFonts w:eastAsia="黑体"/>
          <w:color w:val="000000"/>
          <w:szCs w:val="21"/>
        </w:rPr>
        <w:t xml:space="preserve">4 </w:t>
      </w:r>
      <w:r>
        <w:rPr>
          <w:rFonts w:hint="eastAsia" w:eastAsia="黑体"/>
          <w:color w:val="000000"/>
          <w:szCs w:val="21"/>
        </w:rPr>
        <w:t>附则</w:t>
      </w:r>
    </w:p>
    <w:p>
      <w:pPr>
        <w:rPr>
          <w:rFonts w:ascii="Times New Roman" w:hAnsi="Times New Roman"/>
          <w:color w:val="000000"/>
          <w:szCs w:val="21"/>
        </w:rPr>
      </w:pPr>
      <w:r>
        <w:rPr>
          <w:rFonts w:hint="eastAsia"/>
          <w:color w:val="000000"/>
          <w:szCs w:val="21"/>
        </w:rPr>
        <w:t>本细则代替《贵州省市场监管局关于发布</w:t>
      </w:r>
      <w:r>
        <w:rPr>
          <w:rFonts w:hint="eastAsia"/>
          <w:color w:val="000000"/>
          <w:szCs w:val="21"/>
          <w:lang w:val="en-US" w:eastAsia="zh-CN"/>
        </w:rPr>
        <w:t>2021年</w:t>
      </w:r>
      <w:r>
        <w:rPr>
          <w:rFonts w:hint="eastAsia"/>
          <w:color w:val="000000"/>
          <w:szCs w:val="21"/>
        </w:rPr>
        <w:t>贵州省产品质量监督抽查实施细则（第</w:t>
      </w:r>
      <w:r>
        <w:rPr>
          <w:rFonts w:hint="eastAsia"/>
          <w:color w:val="000000"/>
          <w:szCs w:val="21"/>
          <w:lang w:eastAsia="zh-CN"/>
        </w:rPr>
        <w:t>二</w:t>
      </w:r>
      <w:r>
        <w:rPr>
          <w:rFonts w:hint="eastAsia"/>
          <w:color w:val="000000"/>
          <w:szCs w:val="21"/>
        </w:rPr>
        <w:t>批）的公告》（黔市监公告〔202</w:t>
      </w:r>
      <w:r>
        <w:rPr>
          <w:rFonts w:hint="eastAsia"/>
          <w:color w:val="000000"/>
          <w:szCs w:val="21"/>
          <w:lang w:val="en-US" w:eastAsia="zh-CN"/>
        </w:rPr>
        <w:t>1</w:t>
      </w:r>
      <w:r>
        <w:rPr>
          <w:rFonts w:hint="eastAsia"/>
          <w:color w:val="000000"/>
          <w:szCs w:val="21"/>
        </w:rPr>
        <w:t>〕</w:t>
      </w:r>
      <w:r>
        <w:rPr>
          <w:rFonts w:hint="eastAsia"/>
          <w:color w:val="000000"/>
          <w:szCs w:val="21"/>
          <w:lang w:val="en-US" w:eastAsia="zh-CN"/>
        </w:rPr>
        <w:t>41</w:t>
      </w:r>
      <w:r>
        <w:rPr>
          <w:rFonts w:hint="eastAsia"/>
          <w:color w:val="000000"/>
          <w:szCs w:val="21"/>
        </w:rPr>
        <w:t>号）</w:t>
      </w:r>
      <w:bookmarkStart w:id="0" w:name="_GoBack"/>
      <w:bookmarkEnd w:id="0"/>
      <w:r>
        <w:rPr>
          <w:rFonts w:hint="eastAsia" w:ascii="Times New Roman" w:hAnsi="Times New Roman"/>
          <w:color w:val="000000"/>
          <w:szCs w:val="21"/>
        </w:rPr>
        <w:t>中的《贵州省胶鞋产品质量监督抽查实施细则（</w:t>
      </w:r>
      <w:r>
        <w:rPr>
          <w:rFonts w:hint="eastAsia" w:ascii="Times New Roman" w:hAnsi="Times New Roman"/>
          <w:color w:val="000000"/>
          <w:szCs w:val="21"/>
          <w:lang w:val="en-US" w:eastAsia="zh-CN"/>
        </w:rPr>
        <w:t>2021版</w:t>
      </w:r>
      <w:r>
        <w:rPr>
          <w:rFonts w:hint="eastAsia" w:ascii="Times New Roman" w:hAnsi="Times New Roman"/>
          <w:color w:val="000000"/>
          <w:szCs w:val="21"/>
        </w:rPr>
        <w:t>）》。</w:t>
      </w:r>
    </w:p>
    <w:p>
      <w:pPr>
        <w:adjustRightInd w:val="0"/>
        <w:snapToGrid w:val="0"/>
        <w:spacing w:line="440" w:lineRule="exact"/>
        <w:ind w:firstLine="417" w:firstLineChars="199"/>
        <w:rPr>
          <w:color w:val="000000"/>
          <w:szCs w:val="21"/>
        </w:rPr>
      </w:pPr>
    </w:p>
    <w:sectPr>
      <w:headerReference r:id="rId3" w:type="default"/>
      <w:footerReference r:id="rId4" w:type="default"/>
      <w:footerReference r:id="rId5" w:type="even"/>
      <w:pgSz w:w="11906" w:h="16838"/>
      <w:pgMar w:top="1984" w:right="1474" w:bottom="1644" w:left="1474" w:header="851" w:footer="1191"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微软雅黑堵.">
    <w:altName w:val="方正黑体_GBK"/>
    <w:panose1 w:val="00000000000000000000"/>
    <w:charset w:val="86"/>
    <w:family w:val="swiss"/>
    <w:pitch w:val="default"/>
    <w:sig w:usb0="00000000" w:usb1="00000000" w:usb2="00000010" w:usb3="00000000" w:csb0="00040000" w:csb1="00000000"/>
  </w:font>
  <w:font w:name="方正小标宋_GBK">
    <w:panose1 w:val="02000000000000000000"/>
    <w:charset w:val="86"/>
    <w:family w:val="auto"/>
    <w:pitch w:val="default"/>
    <w:sig w:usb0="00000001" w:usb1="0800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方正仿宋简体">
    <w:panose1 w:val="03000509000000000000"/>
    <w:charset w:val="86"/>
    <w:family w:val="auto"/>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黑体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lang w:val="zh-CN"/>
      </w:rPr>
      <w:fldChar w:fldCharType="begin"/>
    </w:r>
    <w:r>
      <w:rPr>
        <w:lang w:val="zh-CN"/>
      </w:rPr>
      <w:instrText xml:space="preserve"> PAGE   \* MERGEFORMAT </w:instrText>
    </w:r>
    <w:r>
      <w:rPr>
        <w:lang w:val="zh-CN"/>
      </w:rPr>
      <w:fldChar w:fldCharType="separate"/>
    </w:r>
    <w:r>
      <w:t>2</w:t>
    </w:r>
    <w:r>
      <w:rPr>
        <w:lang w:val="zh-CN"/>
      </w:rPr>
      <w:fldChar w:fldCharType="end"/>
    </w:r>
  </w:p>
  <w:p>
    <w:pPr>
      <w:pStyle w:val="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7"/>
      </w:rPr>
    </w:pPr>
    <w:r>
      <w:fldChar w:fldCharType="begin"/>
    </w:r>
    <w:r>
      <w:rPr>
        <w:rStyle w:val="7"/>
      </w:rPr>
      <w:instrText xml:space="preserve">PAGE  </w:instrText>
    </w:r>
    <w:r>
      <w:fldChar w:fldCharType="separate"/>
    </w:r>
    <w:r>
      <w:rPr>
        <w:rStyle w:val="7"/>
      </w:rPr>
      <w:t>2</w:t>
    </w:r>
    <w:r>
      <w:fldChar w:fldCharType="end"/>
    </w:r>
  </w:p>
  <w:p>
    <w:pPr>
      <w:pStyle w:val="3"/>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2"/>
  <w:embedTrueType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78BF"/>
    <w:rsid w:val="000411F6"/>
    <w:rsid w:val="00051A44"/>
    <w:rsid w:val="00057215"/>
    <w:rsid w:val="0006546B"/>
    <w:rsid w:val="000724E0"/>
    <w:rsid w:val="00081CBD"/>
    <w:rsid w:val="000976DE"/>
    <w:rsid w:val="000D4520"/>
    <w:rsid w:val="0011126F"/>
    <w:rsid w:val="00120E56"/>
    <w:rsid w:val="00121AD2"/>
    <w:rsid w:val="00133CE4"/>
    <w:rsid w:val="00160226"/>
    <w:rsid w:val="00160AC0"/>
    <w:rsid w:val="00172A27"/>
    <w:rsid w:val="001752B3"/>
    <w:rsid w:val="001809DD"/>
    <w:rsid w:val="00181027"/>
    <w:rsid w:val="001B1B80"/>
    <w:rsid w:val="001C5B9E"/>
    <w:rsid w:val="001E2A58"/>
    <w:rsid w:val="001E5FDD"/>
    <w:rsid w:val="001F3B67"/>
    <w:rsid w:val="00200F7E"/>
    <w:rsid w:val="00204381"/>
    <w:rsid w:val="00232530"/>
    <w:rsid w:val="00253624"/>
    <w:rsid w:val="00271173"/>
    <w:rsid w:val="002813F3"/>
    <w:rsid w:val="002A0EB6"/>
    <w:rsid w:val="002C427E"/>
    <w:rsid w:val="002D7664"/>
    <w:rsid w:val="002D7F8A"/>
    <w:rsid w:val="002E0D1D"/>
    <w:rsid w:val="002E31EC"/>
    <w:rsid w:val="002E54BA"/>
    <w:rsid w:val="00302CE5"/>
    <w:rsid w:val="00315F5D"/>
    <w:rsid w:val="003203A3"/>
    <w:rsid w:val="00365CBE"/>
    <w:rsid w:val="00370478"/>
    <w:rsid w:val="003A7D30"/>
    <w:rsid w:val="003B2104"/>
    <w:rsid w:val="003B6032"/>
    <w:rsid w:val="003C388C"/>
    <w:rsid w:val="003D5B53"/>
    <w:rsid w:val="003E61BF"/>
    <w:rsid w:val="003F61BC"/>
    <w:rsid w:val="00403495"/>
    <w:rsid w:val="004104AC"/>
    <w:rsid w:val="004360C9"/>
    <w:rsid w:val="00445E86"/>
    <w:rsid w:val="00457AD3"/>
    <w:rsid w:val="00474E04"/>
    <w:rsid w:val="004C5716"/>
    <w:rsid w:val="004D0C5A"/>
    <w:rsid w:val="004D1178"/>
    <w:rsid w:val="004D6938"/>
    <w:rsid w:val="004E1396"/>
    <w:rsid w:val="004F6A1B"/>
    <w:rsid w:val="005059B8"/>
    <w:rsid w:val="005246DF"/>
    <w:rsid w:val="00532956"/>
    <w:rsid w:val="00532C7D"/>
    <w:rsid w:val="005547B9"/>
    <w:rsid w:val="00563EBC"/>
    <w:rsid w:val="005B2B74"/>
    <w:rsid w:val="005F410D"/>
    <w:rsid w:val="0061401E"/>
    <w:rsid w:val="00653ACE"/>
    <w:rsid w:val="00683D59"/>
    <w:rsid w:val="00686C1D"/>
    <w:rsid w:val="006C39AE"/>
    <w:rsid w:val="006C5099"/>
    <w:rsid w:val="006E1171"/>
    <w:rsid w:val="006F0971"/>
    <w:rsid w:val="00707D4C"/>
    <w:rsid w:val="00712870"/>
    <w:rsid w:val="00716EF7"/>
    <w:rsid w:val="0072334C"/>
    <w:rsid w:val="00734EA6"/>
    <w:rsid w:val="00736047"/>
    <w:rsid w:val="00755A2C"/>
    <w:rsid w:val="00782991"/>
    <w:rsid w:val="00787192"/>
    <w:rsid w:val="00787F29"/>
    <w:rsid w:val="0079176A"/>
    <w:rsid w:val="00795117"/>
    <w:rsid w:val="00797FDC"/>
    <w:rsid w:val="00847CA2"/>
    <w:rsid w:val="00854A39"/>
    <w:rsid w:val="00895BEA"/>
    <w:rsid w:val="008A3497"/>
    <w:rsid w:val="008A784B"/>
    <w:rsid w:val="008C2891"/>
    <w:rsid w:val="00917A54"/>
    <w:rsid w:val="00920531"/>
    <w:rsid w:val="00947017"/>
    <w:rsid w:val="009508C0"/>
    <w:rsid w:val="009672B3"/>
    <w:rsid w:val="00983208"/>
    <w:rsid w:val="00986DAA"/>
    <w:rsid w:val="009C0FEB"/>
    <w:rsid w:val="009E1DB3"/>
    <w:rsid w:val="009F79F0"/>
    <w:rsid w:val="00A01D94"/>
    <w:rsid w:val="00A12535"/>
    <w:rsid w:val="00A14555"/>
    <w:rsid w:val="00A23744"/>
    <w:rsid w:val="00A43553"/>
    <w:rsid w:val="00A47A81"/>
    <w:rsid w:val="00A53F64"/>
    <w:rsid w:val="00A82E3B"/>
    <w:rsid w:val="00A85372"/>
    <w:rsid w:val="00A96C53"/>
    <w:rsid w:val="00AA32FA"/>
    <w:rsid w:val="00AB58F6"/>
    <w:rsid w:val="00AB7EC8"/>
    <w:rsid w:val="00AC5391"/>
    <w:rsid w:val="00AD4B7A"/>
    <w:rsid w:val="00AE1D84"/>
    <w:rsid w:val="00AF3D2A"/>
    <w:rsid w:val="00B023F6"/>
    <w:rsid w:val="00B22E26"/>
    <w:rsid w:val="00B23213"/>
    <w:rsid w:val="00B23618"/>
    <w:rsid w:val="00B44C01"/>
    <w:rsid w:val="00B4598B"/>
    <w:rsid w:val="00B47302"/>
    <w:rsid w:val="00B8665C"/>
    <w:rsid w:val="00B92E75"/>
    <w:rsid w:val="00BB6DAB"/>
    <w:rsid w:val="00BD79CA"/>
    <w:rsid w:val="00BE523F"/>
    <w:rsid w:val="00BE6F40"/>
    <w:rsid w:val="00BF2B8C"/>
    <w:rsid w:val="00BF3D4C"/>
    <w:rsid w:val="00C137F6"/>
    <w:rsid w:val="00C13E31"/>
    <w:rsid w:val="00C21CDF"/>
    <w:rsid w:val="00C26074"/>
    <w:rsid w:val="00C34172"/>
    <w:rsid w:val="00C40B45"/>
    <w:rsid w:val="00C44E9C"/>
    <w:rsid w:val="00C75FB6"/>
    <w:rsid w:val="00C83B0A"/>
    <w:rsid w:val="00C95495"/>
    <w:rsid w:val="00CB2C68"/>
    <w:rsid w:val="00CB7D9D"/>
    <w:rsid w:val="00CD5D2C"/>
    <w:rsid w:val="00CE1E0C"/>
    <w:rsid w:val="00CE277E"/>
    <w:rsid w:val="00CE412B"/>
    <w:rsid w:val="00CF7F32"/>
    <w:rsid w:val="00D016B3"/>
    <w:rsid w:val="00D25729"/>
    <w:rsid w:val="00D31D57"/>
    <w:rsid w:val="00D47B37"/>
    <w:rsid w:val="00D56867"/>
    <w:rsid w:val="00D62093"/>
    <w:rsid w:val="00D710BD"/>
    <w:rsid w:val="00D735DB"/>
    <w:rsid w:val="00D80BE1"/>
    <w:rsid w:val="00DA5E7F"/>
    <w:rsid w:val="00DE3787"/>
    <w:rsid w:val="00E02A7F"/>
    <w:rsid w:val="00E07880"/>
    <w:rsid w:val="00E12C14"/>
    <w:rsid w:val="00E17038"/>
    <w:rsid w:val="00E23D31"/>
    <w:rsid w:val="00E32408"/>
    <w:rsid w:val="00E57DD6"/>
    <w:rsid w:val="00E62061"/>
    <w:rsid w:val="00E65655"/>
    <w:rsid w:val="00E710E0"/>
    <w:rsid w:val="00E7720E"/>
    <w:rsid w:val="00E82621"/>
    <w:rsid w:val="00E94B8D"/>
    <w:rsid w:val="00EA11A5"/>
    <w:rsid w:val="00EB05D5"/>
    <w:rsid w:val="00EC5582"/>
    <w:rsid w:val="00EE701C"/>
    <w:rsid w:val="00EF0F70"/>
    <w:rsid w:val="00EF127A"/>
    <w:rsid w:val="00EF4681"/>
    <w:rsid w:val="00EF7D98"/>
    <w:rsid w:val="00F02CFF"/>
    <w:rsid w:val="00F041CC"/>
    <w:rsid w:val="00F047B9"/>
    <w:rsid w:val="00F13300"/>
    <w:rsid w:val="00F137FF"/>
    <w:rsid w:val="00F15460"/>
    <w:rsid w:val="00F24D81"/>
    <w:rsid w:val="00F37FFC"/>
    <w:rsid w:val="00F427D1"/>
    <w:rsid w:val="00F55BB7"/>
    <w:rsid w:val="00F77C9A"/>
    <w:rsid w:val="00FB576C"/>
    <w:rsid w:val="00FC4DB1"/>
    <w:rsid w:val="00FD2AA6"/>
    <w:rsid w:val="00FD6D81"/>
    <w:rsid w:val="00FD75C6"/>
    <w:rsid w:val="00FE7E8A"/>
    <w:rsid w:val="00FF5126"/>
    <w:rsid w:val="0385268A"/>
    <w:rsid w:val="06AC3180"/>
    <w:rsid w:val="123767B7"/>
    <w:rsid w:val="1C0C4212"/>
    <w:rsid w:val="227F6C37"/>
    <w:rsid w:val="28C25756"/>
    <w:rsid w:val="2B0013F2"/>
    <w:rsid w:val="2EC2549B"/>
    <w:rsid w:val="30F44350"/>
    <w:rsid w:val="373175D4"/>
    <w:rsid w:val="3F241496"/>
    <w:rsid w:val="3F332F51"/>
    <w:rsid w:val="45397ECA"/>
    <w:rsid w:val="4B16063C"/>
    <w:rsid w:val="4CEC5FD7"/>
    <w:rsid w:val="54786C3F"/>
    <w:rsid w:val="65282E3C"/>
    <w:rsid w:val="67302690"/>
    <w:rsid w:val="6AFF3292"/>
    <w:rsid w:val="707E5095"/>
    <w:rsid w:val="70FE4E7D"/>
    <w:rsid w:val="F7F3B6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8"/>
    <w:unhideWhenUsed/>
    <w:qFormat/>
    <w:uiPriority w:val="99"/>
    <w:rPr>
      <w:sz w:val="18"/>
      <w:szCs w:val="18"/>
    </w:r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page number"/>
    <w:basedOn w:val="6"/>
    <w:qFormat/>
    <w:uiPriority w:val="0"/>
  </w:style>
  <w:style w:type="character" w:customStyle="1" w:styleId="8">
    <w:name w:val="批注框文本 字符"/>
    <w:link w:val="2"/>
    <w:semiHidden/>
    <w:qFormat/>
    <w:uiPriority w:val="99"/>
    <w:rPr>
      <w:kern w:val="2"/>
      <w:sz w:val="18"/>
      <w:szCs w:val="18"/>
    </w:rPr>
  </w:style>
  <w:style w:type="character" w:customStyle="1" w:styleId="9">
    <w:name w:val="fontstyle01"/>
    <w:qFormat/>
    <w:uiPriority w:val="0"/>
    <w:rPr>
      <w:rFonts w:hint="eastAsia" w:ascii="宋体" w:hAnsi="宋体" w:eastAsia="宋体"/>
      <w:color w:val="000000"/>
      <w:sz w:val="22"/>
      <w:szCs w:val="22"/>
    </w:rPr>
  </w:style>
  <w:style w:type="character" w:customStyle="1" w:styleId="10">
    <w:name w:val="页眉 字符"/>
    <w:link w:val="4"/>
    <w:semiHidden/>
    <w:qFormat/>
    <w:uiPriority w:val="99"/>
    <w:rPr>
      <w:kern w:val="2"/>
      <w:sz w:val="18"/>
      <w:szCs w:val="18"/>
    </w:rPr>
  </w:style>
  <w:style w:type="character" w:customStyle="1" w:styleId="11">
    <w:name w:val="页脚 字符"/>
    <w:link w:val="3"/>
    <w:qFormat/>
    <w:uiPriority w:val="99"/>
    <w:rPr>
      <w:kern w:val="2"/>
      <w:sz w:val="18"/>
      <w:szCs w:val="18"/>
    </w:rPr>
  </w:style>
  <w:style w:type="paragraph" w:customStyle="1" w:styleId="12">
    <w:name w:val="Default"/>
    <w:qFormat/>
    <w:uiPriority w:val="0"/>
    <w:pPr>
      <w:widowControl w:val="0"/>
      <w:autoSpaceDE w:val="0"/>
      <w:autoSpaceDN w:val="0"/>
      <w:adjustRightInd w:val="0"/>
    </w:pPr>
    <w:rPr>
      <w:rFonts w:ascii="微软雅黑堵." w:hAnsi="Calibri" w:eastAsia="微软雅黑堵." w:cs="微软雅黑堵."/>
      <w:color w:val="000000"/>
      <w:sz w:val="24"/>
      <w:szCs w:val="24"/>
      <w:lang w:val="en-US" w:eastAsia="zh-CN" w:bidi="ar-SA"/>
    </w:rPr>
  </w:style>
  <w:style w:type="paragraph" w:customStyle="1" w:styleId="13">
    <w:name w:val="列出段落1"/>
    <w:basedOn w:val="1"/>
    <w:qFormat/>
    <w:uiPriority w:val="34"/>
    <w:pPr>
      <w:ind w:firstLine="420" w:firstLineChars="200"/>
    </w:pPr>
    <w:rPr>
      <w:szCs w:val="2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Legend (Beijing) Limited</Company>
  <Pages>3</Pages>
  <Words>237</Words>
  <Characters>1356</Characters>
  <Lines>11</Lines>
  <Paragraphs>3</Paragraphs>
  <TotalTime>0</TotalTime>
  <ScaleCrop>false</ScaleCrop>
  <LinksUpToDate>false</LinksUpToDate>
  <CharactersWithSpaces>1590</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2021-08-02T23:30:00Z</dcterms:created>
  <dc:creator>Legend User</dc:creator>
  <cp:lastModifiedBy>ysgz</cp:lastModifiedBy>
  <cp:lastPrinted>2020-02-12T10:19:00Z</cp:lastPrinted>
  <dcterms:modified xsi:type="dcterms:W3CDTF">2022-04-26T17:07:17Z</dcterms:modified>
  <dc:title>××产品质量监督抽查实施细则</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y fmtid="{D5CDD505-2E9C-101B-9397-08002B2CF9AE}" pid="3" name="KSOSaveFontToCloudKey">
    <vt:lpwstr>550453206_embed</vt:lpwstr>
  </property>
  <property fmtid="{D5CDD505-2E9C-101B-9397-08002B2CF9AE}" pid="4" name="ICV">
    <vt:lpwstr>6562026FDD214330B305281673E4C39D</vt:lpwstr>
  </property>
</Properties>
</file>