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ascii="Times New Roman" w:hAnsi="Times New Roman" w:eastAsia="方正小标宋简体" w:cs="方正仿宋简体"/>
          <w:color w:val="000000"/>
          <w:sz w:val="32"/>
          <w:szCs w:val="32"/>
        </w:rPr>
        <w:t>木家具产品质量监督抽查实施细则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方正小标宋简体" w:cs="方正仿宋简体"/>
          <w:color w:val="000000"/>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hint="eastAsia"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p>
    <w:p>
      <w:pPr>
        <w:adjustRightInd w:val="0"/>
        <w:snapToGrid w:val="0"/>
        <w:spacing w:line="440" w:lineRule="exact"/>
        <w:ind w:firstLine="420" w:firstLineChars="200"/>
        <w:rPr>
          <w:rFonts w:ascii="宋体" w:hAnsi="宋体"/>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0"/>
        <w:tblpPr w:leftFromText="180" w:rightFromText="180" w:vertAnchor="text" w:horzAnchor="page" w:tblpX="1807" w:tblpY="423"/>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657"/>
        <w:gridCol w:w="2866"/>
        <w:gridCol w:w="2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blHeader/>
        </w:trPr>
        <w:tc>
          <w:tcPr>
            <w:tcW w:w="474" w:type="pct"/>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010" w:type="pct"/>
            <w:gridSpan w:val="2"/>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1514" w:type="pct"/>
            <w:vAlign w:val="center"/>
          </w:tcPr>
          <w:p>
            <w:pPr>
              <w:spacing w:line="440" w:lineRule="exact"/>
              <w:jc w:val="center"/>
              <w:textAlignment w:val="center"/>
              <w:rPr>
                <w:rFonts w:ascii="Times New Roman" w:hAnsi="Times New Roman"/>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010" w:type="pct"/>
            <w:gridSpan w:val="2"/>
            <w:vAlign w:val="center"/>
          </w:tcPr>
          <w:p>
            <w:pPr>
              <w:snapToGrid w:val="0"/>
              <w:jc w:val="center"/>
              <w:rPr>
                <w:rFonts w:ascii="Times New Roman" w:hAnsi="Times New Roman"/>
                <w:color w:val="000000"/>
                <w:szCs w:val="21"/>
              </w:rPr>
            </w:pPr>
            <w:r>
              <w:rPr>
                <w:rFonts w:ascii="Times New Roman" w:hAnsi="Times New Roman"/>
                <w:color w:val="000000"/>
                <w:szCs w:val="21"/>
              </w:rPr>
              <w:t>木工要求</w:t>
            </w:r>
          </w:p>
        </w:tc>
        <w:tc>
          <w:tcPr>
            <w:tcW w:w="1514" w:type="pct"/>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表面理化性能（漆膜）</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耐液性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耐湿热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耐干热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附着力</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耐磨性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7</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抗冲击</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8</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表面理化性能（软、硬质覆面）</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耐冷热循环</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9</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耐干热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10</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耐湿热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11</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表面耐磨性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12</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抗冲击</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13</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力学性能（柜类）</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结构和底架强度试验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推拉构件结构强度试验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推拉构件强度试验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17</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力学性能（桌类）</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桌面垂直静载荷试验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18</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水平静载荷试验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19</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桌面垂直冲击试验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20</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桌腿跌落试验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21</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22</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力学性能（椅凳类）</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座面和椅背静载荷试验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23</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椅腿前向静载荷试验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椅腿侧向静载荷试验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座面冲击试验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跌落试验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27</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28</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力学性能（单层床）</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床铺面集中静载荷试验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29</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床长边静载荷试验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30</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床铺面冲击载荷试验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31</w:t>
            </w:r>
          </w:p>
        </w:tc>
        <w:tc>
          <w:tcPr>
            <w:tcW w:w="3010" w:type="pct"/>
            <w:gridSpan w:val="2"/>
            <w:vAlign w:val="center"/>
          </w:tcPr>
          <w:p>
            <w:pPr>
              <w:snapToGrid w:val="0"/>
              <w:jc w:val="center"/>
              <w:rPr>
                <w:rFonts w:ascii="Times New Roman" w:hAnsi="Times New Roman"/>
                <w:color w:val="000000"/>
                <w:szCs w:val="21"/>
              </w:rPr>
            </w:pPr>
            <w:r>
              <w:rPr>
                <w:rFonts w:ascii="Times New Roman" w:hAnsi="Times New Roman"/>
                <w:color w:val="000000"/>
                <w:szCs w:val="21"/>
              </w:rPr>
              <w:t>结构安全性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32</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有害物质限量</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甲醛释放量</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33</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（可溶性铅）</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（可溶性镉）</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（可溶性铬）</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（可溶性汞）</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hint="eastAsia"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Times New Roman" w:hAnsi="Times New Roman"/>
          <w:color w:val="000000"/>
          <w:szCs w:val="21"/>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GB/T 3324-2017</w:t>
      </w:r>
      <w:r>
        <w:rPr>
          <w:rFonts w:hint="eastAsia" w:ascii="Times New Roman" w:hAnsi="Times New Roman"/>
          <w:color w:val="000000"/>
          <w:szCs w:val="21"/>
        </w:rPr>
        <w:t xml:space="preserve"> </w:t>
      </w:r>
      <w:r>
        <w:rPr>
          <w:rFonts w:ascii="Times New Roman" w:hAnsi="Times New Roman"/>
          <w:color w:val="000000"/>
          <w:szCs w:val="21"/>
        </w:rPr>
        <w:t>木家具通用技术条件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ascii="Times New Roman" w:hAnsi="Times New Roman"/>
          <w:color w:val="000000"/>
          <w:szCs w:val="21"/>
        </w:rPr>
      </w:pPr>
    </w:p>
    <w:p>
      <w:pPr>
        <w:spacing w:line="440" w:lineRule="exact"/>
        <w:rPr>
          <w:rFonts w:hint="eastAsia" w:eastAsia="黑体"/>
          <w:color w:val="000000"/>
          <w:szCs w:val="21"/>
        </w:rPr>
      </w:pPr>
      <w:r>
        <w:rPr>
          <w:rFonts w:hint="eastAsia" w:eastAsia="黑体"/>
          <w:color w:val="000000"/>
          <w:szCs w:val="21"/>
        </w:rPr>
        <w:t>4 附则</w:t>
      </w:r>
    </w:p>
    <w:p>
      <w:pPr>
        <w:rPr>
          <w:rFonts w:hint="eastAsia"/>
          <w:color w:val="000000"/>
          <w:szCs w:val="21"/>
        </w:rPr>
      </w:pPr>
      <w:r>
        <w:rPr>
          <w:rFonts w:hint="eastAsia"/>
          <w:color w:val="000000"/>
          <w:szCs w:val="21"/>
        </w:rPr>
        <w:t>本细则代替《贵州省市场监管局关于发布</w:t>
      </w:r>
      <w:r>
        <w:rPr>
          <w:rFonts w:hint="eastAsia"/>
          <w:color w:val="000000"/>
          <w:szCs w:val="21"/>
          <w:lang w:val="en-US" w:eastAsia="zh-CN"/>
        </w:rPr>
        <w:t>2021年</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41</w:t>
      </w:r>
      <w:r>
        <w:rPr>
          <w:rFonts w:hint="eastAsia"/>
          <w:color w:val="000000"/>
          <w:szCs w:val="21"/>
        </w:rPr>
        <w:t>号）</w:t>
      </w:r>
      <w:bookmarkStart w:id="0" w:name="_GoBack"/>
      <w:bookmarkEnd w:id="0"/>
      <w:r>
        <w:rPr>
          <w:rFonts w:hint="eastAsia"/>
          <w:color w:val="000000"/>
          <w:szCs w:val="21"/>
        </w:rPr>
        <w:t>中的《贵州省木家具产品质量监督抽查实施细则（</w:t>
      </w:r>
      <w:r>
        <w:rPr>
          <w:rFonts w:hint="eastAsia"/>
          <w:color w:val="000000"/>
          <w:szCs w:val="21"/>
          <w:lang w:val="en-US" w:eastAsia="zh-CN"/>
        </w:rPr>
        <w:t>2021版</w:t>
      </w:r>
      <w:r>
        <w:rPr>
          <w:rFonts w:hint="eastAsia"/>
          <w:color w:val="000000"/>
          <w:szCs w:val="21"/>
        </w:rPr>
        <w:t>）》。</w:t>
      </w:r>
    </w:p>
    <w:p>
      <w:pPr>
        <w:snapToGrid w:val="0"/>
        <w:spacing w:line="384" w:lineRule="auto"/>
        <w:ind w:firstLine="420" w:firstLineChars="200"/>
        <w:rPr>
          <w:rFonts w:ascii="Times New Roman" w:hAnsi="Times New Roman"/>
          <w:color w:val="000000"/>
          <w:szCs w:val="21"/>
        </w:rPr>
      </w:pP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52D0A"/>
    <w:rsid w:val="0006741A"/>
    <w:rsid w:val="00080190"/>
    <w:rsid w:val="000A0C0F"/>
    <w:rsid w:val="000A1F68"/>
    <w:rsid w:val="0010045C"/>
    <w:rsid w:val="001134E2"/>
    <w:rsid w:val="0013450E"/>
    <w:rsid w:val="00135D58"/>
    <w:rsid w:val="001479E1"/>
    <w:rsid w:val="00175325"/>
    <w:rsid w:val="001960E8"/>
    <w:rsid w:val="00197FAE"/>
    <w:rsid w:val="001B1ECE"/>
    <w:rsid w:val="001B3557"/>
    <w:rsid w:val="001D3021"/>
    <w:rsid w:val="001E7E75"/>
    <w:rsid w:val="001F4D89"/>
    <w:rsid w:val="002642D1"/>
    <w:rsid w:val="00283526"/>
    <w:rsid w:val="00287CFB"/>
    <w:rsid w:val="002A1067"/>
    <w:rsid w:val="002B6418"/>
    <w:rsid w:val="002C75FA"/>
    <w:rsid w:val="002F3260"/>
    <w:rsid w:val="00301FD0"/>
    <w:rsid w:val="00342341"/>
    <w:rsid w:val="00354255"/>
    <w:rsid w:val="00355360"/>
    <w:rsid w:val="003611BA"/>
    <w:rsid w:val="003701D3"/>
    <w:rsid w:val="003C4925"/>
    <w:rsid w:val="004565AD"/>
    <w:rsid w:val="004A4DFC"/>
    <w:rsid w:val="004B58D8"/>
    <w:rsid w:val="004B599D"/>
    <w:rsid w:val="004C6EAB"/>
    <w:rsid w:val="004C79DF"/>
    <w:rsid w:val="004D05AF"/>
    <w:rsid w:val="00507AE0"/>
    <w:rsid w:val="0051512A"/>
    <w:rsid w:val="00560FE5"/>
    <w:rsid w:val="00624DD6"/>
    <w:rsid w:val="006350F9"/>
    <w:rsid w:val="00652075"/>
    <w:rsid w:val="00652B40"/>
    <w:rsid w:val="00660FFF"/>
    <w:rsid w:val="0067449B"/>
    <w:rsid w:val="00675807"/>
    <w:rsid w:val="006C75F5"/>
    <w:rsid w:val="006F3686"/>
    <w:rsid w:val="006F6818"/>
    <w:rsid w:val="00700705"/>
    <w:rsid w:val="007032EA"/>
    <w:rsid w:val="00712FE6"/>
    <w:rsid w:val="00721DBD"/>
    <w:rsid w:val="00766407"/>
    <w:rsid w:val="007C5B37"/>
    <w:rsid w:val="007E7B78"/>
    <w:rsid w:val="00801099"/>
    <w:rsid w:val="0081765C"/>
    <w:rsid w:val="008536DB"/>
    <w:rsid w:val="00863267"/>
    <w:rsid w:val="00863F48"/>
    <w:rsid w:val="00872CC4"/>
    <w:rsid w:val="008737DB"/>
    <w:rsid w:val="008B262B"/>
    <w:rsid w:val="008E4C32"/>
    <w:rsid w:val="008F131B"/>
    <w:rsid w:val="00911043"/>
    <w:rsid w:val="00933214"/>
    <w:rsid w:val="00963128"/>
    <w:rsid w:val="009A6925"/>
    <w:rsid w:val="009B3AF3"/>
    <w:rsid w:val="009B48C4"/>
    <w:rsid w:val="009C1C38"/>
    <w:rsid w:val="009D2CD9"/>
    <w:rsid w:val="009D2E2A"/>
    <w:rsid w:val="009E6086"/>
    <w:rsid w:val="009F189F"/>
    <w:rsid w:val="00A055B0"/>
    <w:rsid w:val="00A0674B"/>
    <w:rsid w:val="00A256FA"/>
    <w:rsid w:val="00A5157E"/>
    <w:rsid w:val="00A66A3D"/>
    <w:rsid w:val="00A7543F"/>
    <w:rsid w:val="00A77E8A"/>
    <w:rsid w:val="00A916BA"/>
    <w:rsid w:val="00AB2350"/>
    <w:rsid w:val="00AB462B"/>
    <w:rsid w:val="00AE1821"/>
    <w:rsid w:val="00AE471A"/>
    <w:rsid w:val="00AE5734"/>
    <w:rsid w:val="00AF5572"/>
    <w:rsid w:val="00B51584"/>
    <w:rsid w:val="00B54E2B"/>
    <w:rsid w:val="00B55224"/>
    <w:rsid w:val="00B80476"/>
    <w:rsid w:val="00B97F97"/>
    <w:rsid w:val="00BD2490"/>
    <w:rsid w:val="00C17712"/>
    <w:rsid w:val="00C17F20"/>
    <w:rsid w:val="00C207B1"/>
    <w:rsid w:val="00C21785"/>
    <w:rsid w:val="00C345BB"/>
    <w:rsid w:val="00C46A22"/>
    <w:rsid w:val="00C57739"/>
    <w:rsid w:val="00C9467F"/>
    <w:rsid w:val="00CD3877"/>
    <w:rsid w:val="00CD7EE7"/>
    <w:rsid w:val="00CF5F1B"/>
    <w:rsid w:val="00D1325F"/>
    <w:rsid w:val="00D31DB4"/>
    <w:rsid w:val="00D6657B"/>
    <w:rsid w:val="00D732ED"/>
    <w:rsid w:val="00D85C2A"/>
    <w:rsid w:val="00D879A0"/>
    <w:rsid w:val="00D9506C"/>
    <w:rsid w:val="00DC0140"/>
    <w:rsid w:val="00DD7E3B"/>
    <w:rsid w:val="00E1489E"/>
    <w:rsid w:val="00E24FC8"/>
    <w:rsid w:val="00E66BAB"/>
    <w:rsid w:val="00E96130"/>
    <w:rsid w:val="00EF0AC2"/>
    <w:rsid w:val="00F24C84"/>
    <w:rsid w:val="00FA2884"/>
    <w:rsid w:val="00FA45C8"/>
    <w:rsid w:val="00FA59DC"/>
    <w:rsid w:val="00FC0C80"/>
    <w:rsid w:val="00FE1549"/>
    <w:rsid w:val="01757279"/>
    <w:rsid w:val="02394E6E"/>
    <w:rsid w:val="071C39DD"/>
    <w:rsid w:val="0C3020D5"/>
    <w:rsid w:val="0D184869"/>
    <w:rsid w:val="14707C4A"/>
    <w:rsid w:val="14A748C1"/>
    <w:rsid w:val="29817179"/>
    <w:rsid w:val="2C062286"/>
    <w:rsid w:val="4A1D0919"/>
    <w:rsid w:val="55CC633D"/>
    <w:rsid w:val="60D566FD"/>
    <w:rsid w:val="61D054C2"/>
    <w:rsid w:val="61F5033B"/>
    <w:rsid w:val="652F585C"/>
    <w:rsid w:val="723415EF"/>
    <w:rsid w:val="97E8B2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244</Words>
  <Characters>1396</Characters>
  <Lines>11</Lines>
  <Paragraphs>3</Paragraphs>
  <TotalTime>0</TotalTime>
  <ScaleCrop>false</ScaleCrop>
  <LinksUpToDate>false</LinksUpToDate>
  <CharactersWithSpaces>1637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2019-12-09T10:31:00Z</dcterms:created>
  <dc:creator>lenovo</dc:creator>
  <cp:lastModifiedBy>ysgz</cp:lastModifiedBy>
  <dcterms:modified xsi:type="dcterms:W3CDTF">2022-04-26T16:42:04Z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E6143228EC144789B85BBDDAA55DF99B</vt:lpwstr>
  </property>
</Properties>
</file>