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方正小标宋_GBK" w:hAnsi="Times New Roman" w:eastAsia="方正小标宋_GBK" w:cs="方正仿宋简体"/>
          <w:color w:val="000000"/>
          <w:sz w:val="32"/>
          <w:szCs w:val="32"/>
        </w:rPr>
      </w:pPr>
      <w:r>
        <w:rPr>
          <w:rFonts w:hint="eastAsia" w:ascii="方正小标宋_GBK" w:hAnsi="Times New Roman" w:eastAsia="方正小标宋_GBK" w:cs="方正仿宋简体"/>
          <w:color w:val="000000"/>
          <w:sz w:val="32"/>
          <w:szCs w:val="32"/>
        </w:rPr>
        <w:t>贵州省建筑</w:t>
      </w:r>
      <w:r>
        <w:rPr>
          <w:rFonts w:hint="eastAsia" w:ascii="方正小标宋_GBK" w:hAnsi="Times New Roman" w:eastAsia="方正小标宋_GBK" w:cs="方正仿宋简体"/>
          <w:color w:val="000000"/>
          <w:sz w:val="32"/>
          <w:szCs w:val="32"/>
          <w:lang w:eastAsia="zh-CN"/>
        </w:rPr>
        <w:t>用</w:t>
      </w:r>
      <w:r>
        <w:rPr>
          <w:rFonts w:hint="eastAsia" w:ascii="方正小标宋_GBK" w:hAnsi="Times New Roman" w:eastAsia="方正小标宋_GBK" w:cs="方正仿宋简体"/>
          <w:color w:val="000000"/>
          <w:sz w:val="32"/>
          <w:szCs w:val="32"/>
        </w:rPr>
        <w:t>隔墙板产品质量监督抽查实施细则</w:t>
      </w:r>
    </w:p>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eastAsia="黑体"/>
          <w:color w:val="000000"/>
          <w:szCs w:val="21"/>
          <w:lang w:eastAsia="zh-CN"/>
        </w:rPr>
      </w:pPr>
      <w:r>
        <w:rPr>
          <w:rFonts w:hint="eastAsia" w:ascii="方正小标宋_GBK" w:hAnsi="Times New Roman" w:eastAsia="方正小标宋_GBK" w:cs="方正仿宋简体"/>
          <w:color w:val="000000"/>
          <w:sz w:val="32"/>
          <w:szCs w:val="32"/>
          <w:lang w:eastAsia="zh-CN"/>
        </w:rPr>
        <w:t>（</w:t>
      </w:r>
      <w:r>
        <w:rPr>
          <w:rFonts w:hint="eastAsia" w:ascii="方正小标宋_GBK" w:hAnsi="Times New Roman" w:eastAsia="方正小标宋_GBK" w:cs="方正仿宋简体"/>
          <w:color w:val="000000"/>
          <w:sz w:val="32"/>
          <w:szCs w:val="32"/>
          <w:lang w:val="en-US" w:eastAsia="zh-CN"/>
        </w:rPr>
        <w:t>2022年版</w:t>
      </w:r>
      <w:r>
        <w:rPr>
          <w:rFonts w:hint="eastAsia" w:ascii="方正小标宋_GBK" w:hAnsi="Times New Roman" w:eastAsia="方正小标宋_GBK" w:cs="方正仿宋简体"/>
          <w:color w:val="000000"/>
          <w:sz w:val="32"/>
          <w:szCs w:val="32"/>
          <w:lang w:eastAsia="zh-CN"/>
        </w:rPr>
        <w:t>）</w:t>
      </w:r>
    </w:p>
    <w:p>
      <w:pPr>
        <w:keepNext w:val="0"/>
        <w:keepLines w:val="0"/>
        <w:pageBreakBefore w:val="0"/>
        <w:widowControl w:val="0"/>
        <w:kinsoku/>
        <w:wordWrap/>
        <w:overflowPunct/>
        <w:topLinePunct w:val="0"/>
        <w:autoSpaceDE/>
        <w:autoSpaceDN/>
        <w:bidi w:val="0"/>
        <w:snapToGrid w:val="0"/>
        <w:spacing w:line="440" w:lineRule="exact"/>
        <w:textAlignment w:val="auto"/>
        <w:rPr>
          <w:rFonts w:eastAsia="黑体"/>
          <w:color w:val="000000"/>
          <w:szCs w:val="21"/>
        </w:rPr>
      </w:pPr>
    </w:p>
    <w:p>
      <w:pPr>
        <w:keepNext w:val="0"/>
        <w:keepLines w:val="0"/>
        <w:pageBreakBefore w:val="0"/>
        <w:widowControl w:val="0"/>
        <w:kinsoku/>
        <w:wordWrap/>
        <w:overflowPunct/>
        <w:topLinePunct w:val="0"/>
        <w:autoSpaceDE/>
        <w:autoSpaceDN/>
        <w:bidi w:val="0"/>
        <w:snapToGrid w:val="0"/>
        <w:spacing w:line="440" w:lineRule="exact"/>
        <w:textAlignment w:val="auto"/>
        <w:rPr>
          <w:rFonts w:eastAsia="黑体"/>
          <w:color w:val="000000"/>
          <w:szCs w:val="21"/>
        </w:rPr>
      </w:pPr>
      <w:r>
        <w:rPr>
          <w:rFonts w:eastAsia="黑体"/>
          <w:color w:val="000000"/>
          <w:szCs w:val="21"/>
        </w:rPr>
        <w:t>1 抽样方法</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color w:val="000000"/>
          <w:szCs w:val="21"/>
        </w:rPr>
      </w:pPr>
      <w:r>
        <w:rPr>
          <w:color w:val="000000"/>
          <w:szCs w:val="21"/>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lang w:val="en-US" w:eastAsia="zh-CN"/>
        </w:rPr>
      </w:pPr>
      <w:r>
        <w:rPr>
          <w:rFonts w:hint="eastAsia"/>
          <w:lang w:val="en-US" w:eastAsia="zh-CN"/>
        </w:rPr>
        <w:t>随机数一般可使用随机数表等方法产生。</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lang w:val="en-US" w:eastAsia="zh-CN"/>
        </w:rPr>
      </w:pPr>
      <w:r>
        <w:rPr>
          <w:rFonts w:hint="eastAsia" w:ascii="Times New Roman" w:hAnsi="Times New Roman" w:cs="Times New Roman"/>
          <w:color w:val="000000"/>
        </w:rPr>
        <w:t>每批次产品抽取样品</w:t>
      </w:r>
      <w:r>
        <w:rPr>
          <w:rFonts w:hint="eastAsia" w:ascii="Times New Roman" w:hAnsi="Times New Roman" w:cs="Times New Roman"/>
          <w:color w:val="000000"/>
          <w:lang w:val="en-US" w:eastAsia="zh-CN"/>
        </w:rPr>
        <w:t>9块</w:t>
      </w:r>
      <w:r>
        <w:rPr>
          <w:rFonts w:hint="eastAsia" w:ascii="Times New Roman" w:hAnsi="Times New Roman" w:cs="Times New Roman"/>
          <w:color w:val="000000"/>
        </w:rPr>
        <w:t>，其中</w:t>
      </w:r>
      <w:r>
        <w:rPr>
          <w:rFonts w:hint="eastAsia" w:ascii="Times New Roman" w:hAnsi="Times New Roman" w:cs="Times New Roman"/>
          <w:color w:val="000000"/>
          <w:lang w:val="en-US" w:eastAsia="zh-CN"/>
        </w:rPr>
        <w:t>5块</w:t>
      </w:r>
      <w:r>
        <w:rPr>
          <w:rFonts w:hint="eastAsia" w:ascii="Times New Roman" w:hAnsi="Times New Roman" w:cs="Times New Roman"/>
          <w:color w:val="000000"/>
        </w:rPr>
        <w:t>作为检验样品，</w:t>
      </w:r>
      <w:r>
        <w:rPr>
          <w:rFonts w:hint="eastAsia" w:ascii="Times New Roman" w:hAnsi="Times New Roman" w:cs="Times New Roman"/>
          <w:color w:val="000000"/>
          <w:lang w:val="en-US" w:eastAsia="zh-CN"/>
        </w:rPr>
        <w:t>4块</w:t>
      </w:r>
      <w:r>
        <w:rPr>
          <w:rFonts w:hint="eastAsia" w:ascii="Times New Roman" w:hAnsi="Times New Roman" w:cs="Times New Roman"/>
          <w:color w:val="000000"/>
        </w:rPr>
        <w:t>作为备用样品。</w:t>
      </w:r>
    </w:p>
    <w:p>
      <w:pPr>
        <w:keepNext w:val="0"/>
        <w:keepLines w:val="0"/>
        <w:pageBreakBefore w:val="0"/>
        <w:widowControl w:val="0"/>
        <w:kinsoku/>
        <w:wordWrap/>
        <w:overflowPunct/>
        <w:topLinePunct w:val="0"/>
        <w:autoSpaceDE/>
        <w:autoSpaceDN/>
        <w:bidi w:val="0"/>
        <w:spacing w:line="440" w:lineRule="exact"/>
        <w:jc w:val="both"/>
        <w:textAlignment w:val="auto"/>
        <w:rPr>
          <w:rFonts w:hint="eastAsia" w:ascii="宋体" w:hAnsi="宋体"/>
          <w:color w:val="000000"/>
          <w:szCs w:val="21"/>
        </w:rPr>
      </w:pPr>
    </w:p>
    <w:p>
      <w:pPr>
        <w:keepNext w:val="0"/>
        <w:keepLines w:val="0"/>
        <w:pageBreakBefore w:val="0"/>
        <w:widowControl w:val="0"/>
        <w:kinsoku/>
        <w:wordWrap/>
        <w:overflowPunct/>
        <w:topLinePunct w:val="0"/>
        <w:autoSpaceDE/>
        <w:autoSpaceDN/>
        <w:bidi w:val="0"/>
        <w:snapToGrid w:val="0"/>
        <w:spacing w:line="440" w:lineRule="exact"/>
        <w:textAlignment w:val="auto"/>
        <w:rPr>
          <w:rFonts w:eastAsia="黑体"/>
          <w:color w:val="000000"/>
          <w:szCs w:val="21"/>
        </w:rPr>
      </w:pPr>
      <w:r>
        <w:rPr>
          <w:rFonts w:eastAsia="黑体"/>
          <w:color w:val="000000"/>
          <w:szCs w:val="21"/>
        </w:rPr>
        <w:t>2 检验依据</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eastAsia="黑体"/>
          <w:color w:val="000000"/>
          <w:szCs w:val="21"/>
          <w:lang w:val="en-US" w:eastAsia="zh-CN"/>
        </w:rPr>
      </w:pPr>
      <w:r>
        <w:rPr>
          <w:rFonts w:hint="eastAsia" w:ascii="Times New Roman" w:hAnsi="Times New Roman" w:cs="Times New Roman"/>
          <w:color w:val="000000"/>
          <w:lang w:val="en-US" w:eastAsia="zh-CN"/>
        </w:rPr>
        <w:t>表1 建筑用轻质隔墙条板</w:t>
      </w:r>
    </w:p>
    <w:tbl>
      <w:tblPr>
        <w:tblStyle w:val="3"/>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4266"/>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序号</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面密度</w:t>
            </w:r>
          </w:p>
        </w:tc>
        <w:tc>
          <w:tcPr>
            <w:tcW w:w="3927" w:type="dxa"/>
            <w:vMerge w:val="restart"/>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GB/T 23451-2009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抗冲击性能</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3</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rPr>
              <w:t>抗弯承载</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抗压强度</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5</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含水率</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6</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干燥收缩值</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7</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吊挂力</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8</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软化系数</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9</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抗冻性</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10</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放射性</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GB 6566-2010</w:t>
            </w:r>
          </w:p>
        </w:tc>
      </w:tr>
    </w:tbl>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eastAsia="黑体"/>
          <w:color w:val="000000"/>
          <w:szCs w:val="21"/>
          <w:lang w:val="en-US" w:eastAsia="zh-CN"/>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eastAsia="黑体"/>
          <w:color w:val="000000"/>
          <w:szCs w:val="21"/>
          <w:lang w:val="en-US" w:eastAsia="zh-CN"/>
        </w:rPr>
      </w:pPr>
      <w:r>
        <w:rPr>
          <w:rFonts w:hint="eastAsia" w:ascii="Times New Roman" w:hAnsi="Times New Roman" w:cs="Times New Roman"/>
          <w:color w:val="000000"/>
          <w:lang w:val="en-US" w:eastAsia="zh-CN"/>
        </w:rPr>
        <w:t>表2 建筑隔墙用轻质条板</w:t>
      </w:r>
    </w:p>
    <w:tbl>
      <w:tblPr>
        <w:tblStyle w:val="3"/>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4266"/>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序号</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面密度</w:t>
            </w:r>
          </w:p>
        </w:tc>
        <w:tc>
          <w:tcPr>
            <w:tcW w:w="3927" w:type="dxa"/>
            <w:vMerge w:val="restart"/>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JG/T 169-2016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抗冲击性能</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3</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heme="minorEastAsia" w:hAnsiTheme="minorEastAsia" w:eastAsia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抗弯破坏荷载</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抗压强度</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5</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含水率</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6</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干燥收缩值</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cstheme="minorEastAsia"/>
                <w:color w:val="000000"/>
                <w:sz w:val="21"/>
                <w:szCs w:val="21"/>
                <w:lang w:val="en-US" w:eastAsia="zh-CN"/>
              </w:rPr>
              <w:t>GB/T 30100-2013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7</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吊挂力</w:t>
            </w:r>
          </w:p>
        </w:tc>
        <w:tc>
          <w:tcPr>
            <w:tcW w:w="3927" w:type="dxa"/>
            <w:vMerge w:val="restart"/>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JG/T 169-2016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8</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软化系数</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val="en-US" w:eastAsia="zh-CN"/>
              </w:rPr>
              <w:t>9</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放射性</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GB 6566-2010</w:t>
            </w:r>
          </w:p>
        </w:tc>
      </w:tr>
    </w:tbl>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eastAsia="黑体"/>
          <w:color w:val="000000"/>
          <w:szCs w:val="21"/>
          <w:lang w:val="en-US" w:eastAsia="zh-CN"/>
        </w:rPr>
      </w:pPr>
      <w:r>
        <w:rPr>
          <w:rFonts w:hint="eastAsia" w:ascii="Times New Roman" w:hAnsi="Times New Roman" w:cs="Times New Roman"/>
          <w:color w:val="000000"/>
          <w:lang w:val="en-US" w:eastAsia="zh-CN"/>
        </w:rPr>
        <w:t>表3 灰渣混凝土空心隔墙板</w:t>
      </w:r>
    </w:p>
    <w:tbl>
      <w:tblPr>
        <w:tblStyle w:val="3"/>
        <w:tblW w:w="9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7"/>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blHeader/>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序号</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面密度</w:t>
            </w:r>
          </w:p>
        </w:tc>
        <w:tc>
          <w:tcPr>
            <w:tcW w:w="3927" w:type="dxa"/>
            <w:vMerge w:val="restart"/>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GB/T 23449-2009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抗冲击性能</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3</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抗弯承载</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抗压强度</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5</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含水率</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6</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干燥收缩值</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7</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吊挂力</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8</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软化系数</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9</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抗冻性</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10</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放射性</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GB 6566-2010</w:t>
            </w:r>
          </w:p>
        </w:tc>
      </w:tr>
    </w:tbl>
    <w:p>
      <w:pPr>
        <w:keepNext w:val="0"/>
        <w:keepLines w:val="0"/>
        <w:pageBreakBefore w:val="0"/>
        <w:widowControl w:val="0"/>
        <w:kinsoku/>
        <w:wordWrap/>
        <w:overflowPunct/>
        <w:topLinePunct w:val="0"/>
        <w:autoSpaceDE/>
        <w:autoSpaceDN/>
        <w:bidi w:val="0"/>
        <w:snapToGrid w:val="0"/>
        <w:spacing w:line="440" w:lineRule="exact"/>
        <w:jc w:val="both"/>
        <w:textAlignment w:val="auto"/>
        <w:rPr>
          <w:rFonts w:hint="eastAsia" w:eastAsia="黑体"/>
          <w:color w:val="000000"/>
          <w:szCs w:val="21"/>
          <w:lang w:val="en-US" w:eastAsia="zh-CN"/>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eastAsia="黑体"/>
          <w:color w:val="000000"/>
          <w:szCs w:val="21"/>
          <w:lang w:val="en-US" w:eastAsia="zh-CN"/>
        </w:rPr>
      </w:pPr>
      <w:r>
        <w:rPr>
          <w:rFonts w:hint="eastAsia" w:ascii="Times New Roman" w:hAnsi="Times New Roman" w:cs="Times New Roman"/>
          <w:color w:val="000000"/>
          <w:lang w:val="en-US" w:eastAsia="zh-CN"/>
        </w:rPr>
        <w:t>表4石膏空心条板</w:t>
      </w:r>
    </w:p>
    <w:tbl>
      <w:tblPr>
        <w:tblStyle w:val="3"/>
        <w:tblW w:w="9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7"/>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序号</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面密度</w:t>
            </w:r>
          </w:p>
        </w:tc>
        <w:tc>
          <w:tcPr>
            <w:tcW w:w="3927" w:type="dxa"/>
            <w:vMerge w:val="restart"/>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JC/T 829-2010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抗冲击性能</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3</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抗弯破坏荷载</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吊挂力</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5</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放射性</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GB 6566-2010</w:t>
            </w:r>
          </w:p>
        </w:tc>
      </w:tr>
    </w:tbl>
    <w:p>
      <w:pPr>
        <w:keepNext w:val="0"/>
        <w:keepLines w:val="0"/>
        <w:pageBreakBefore w:val="0"/>
        <w:widowControl w:val="0"/>
        <w:kinsoku/>
        <w:wordWrap/>
        <w:overflowPunct/>
        <w:topLinePunct w:val="0"/>
        <w:autoSpaceDE/>
        <w:autoSpaceDN/>
        <w:bidi w:val="0"/>
        <w:spacing w:line="440" w:lineRule="exact"/>
        <w:textAlignment w:val="auto"/>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eastAsia="黑体"/>
          <w:color w:val="000000"/>
          <w:szCs w:val="21"/>
          <w:lang w:val="en-US" w:eastAsia="zh-CN"/>
        </w:rPr>
      </w:pPr>
      <w:r>
        <w:rPr>
          <w:rFonts w:hint="eastAsia" w:ascii="Times New Roman" w:hAnsi="Times New Roman" w:cs="Times New Roman"/>
          <w:color w:val="000000"/>
          <w:lang w:val="en-US" w:eastAsia="zh-CN"/>
        </w:rPr>
        <w:t>表5 建筑隔墙用保温条板</w:t>
      </w:r>
    </w:p>
    <w:tbl>
      <w:tblPr>
        <w:tblStyle w:val="3"/>
        <w:tblW w:w="9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7"/>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序号</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面密度</w:t>
            </w:r>
          </w:p>
        </w:tc>
        <w:tc>
          <w:tcPr>
            <w:tcW w:w="3927" w:type="dxa"/>
            <w:vMerge w:val="restart"/>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GB/T 23450-2009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抗冲击性能</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3</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抗弯承载</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抗压强度</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5</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含水率</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6</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干燥收缩值</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7</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吊挂力</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8</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软化系数</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9</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抗冻性</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10</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放射性</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GB 6566-2010</w:t>
            </w:r>
          </w:p>
        </w:tc>
      </w:tr>
    </w:tbl>
    <w:p>
      <w:pPr>
        <w:keepNext w:val="0"/>
        <w:keepLines w:val="0"/>
        <w:pageBreakBefore w:val="0"/>
        <w:widowControl w:val="0"/>
        <w:kinsoku/>
        <w:wordWrap/>
        <w:overflowPunct/>
        <w:topLinePunct w:val="0"/>
        <w:autoSpaceDE/>
        <w:autoSpaceDN/>
        <w:bidi w:val="0"/>
        <w:spacing w:line="440" w:lineRule="exact"/>
        <w:textAlignment w:val="auto"/>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imes New Roman" w:hAnsi="Times New Roman" w:cs="Times New Roman"/>
          <w:color w:val="000000"/>
          <w:lang w:val="en-US" w:eastAsia="zh-CN"/>
        </w:rPr>
        <w:t>表6 钢丝网架水泥聚苯乙烯夹芯板（GSJ板）</w:t>
      </w:r>
    </w:p>
    <w:tbl>
      <w:tblPr>
        <w:tblStyle w:val="3"/>
        <w:tblW w:w="9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7"/>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序号</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每平方米面积的重量</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JC/T 623-1996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抗冻性</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GB/T 50082-2009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3</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轴向荷载允许值</w:t>
            </w:r>
          </w:p>
        </w:tc>
        <w:tc>
          <w:tcPr>
            <w:tcW w:w="3927" w:type="dxa"/>
            <w:vMerge w:val="restart"/>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JC/T 623-1996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横向荷载允许值</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5</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抗冲击性能</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6</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放射性</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GB 6566-2010</w:t>
            </w:r>
          </w:p>
        </w:tc>
      </w:tr>
    </w:tbl>
    <w:p>
      <w:pPr>
        <w:keepNext w:val="0"/>
        <w:keepLines w:val="0"/>
        <w:pageBreakBefore w:val="0"/>
        <w:widowControl w:val="0"/>
        <w:kinsoku/>
        <w:wordWrap/>
        <w:overflowPunct/>
        <w:topLinePunct w:val="0"/>
        <w:autoSpaceDE/>
        <w:autoSpaceDN/>
        <w:bidi w:val="0"/>
        <w:spacing w:line="440" w:lineRule="exact"/>
        <w:textAlignment w:val="auto"/>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eastAsia="黑体"/>
          <w:color w:val="000000"/>
          <w:szCs w:val="21"/>
          <w:lang w:val="en-US" w:eastAsia="zh-CN"/>
        </w:rPr>
      </w:pPr>
      <w:r>
        <w:rPr>
          <w:rFonts w:hint="eastAsia" w:ascii="Times New Roman" w:hAnsi="Times New Roman" w:cs="Times New Roman"/>
          <w:color w:val="000000"/>
          <w:lang w:val="en-US" w:eastAsia="zh-CN"/>
        </w:rPr>
        <w:t>表7 蒸压加气混凝土板</w:t>
      </w:r>
    </w:p>
    <w:tbl>
      <w:tblPr>
        <w:tblStyle w:val="3"/>
        <w:tblW w:w="9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7"/>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序号</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1</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干密度</w:t>
            </w:r>
          </w:p>
        </w:tc>
        <w:tc>
          <w:tcPr>
            <w:tcW w:w="3927" w:type="dxa"/>
            <w:vMerge w:val="restart"/>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heme="minorEastAsia" w:hAnsiTheme="minorEastAsia" w:eastAsia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GB/T 11969-2008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heme="minorEastAsia" w:hAnsi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2</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抗压强度</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heme="minorEastAsia" w:hAnsi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3</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rPr>
              <w:t>干燥收缩值</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heme="minorEastAsia" w:hAnsi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4</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抗冻性</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heme="minorEastAsia" w:hAnsi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5</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导热系数</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heme="minorEastAsia" w:hAnsiTheme="minorEastAsia" w:eastAsiaTheme="minorEastAsia" w:cstheme="minorEastAsia"/>
                <w:color w:val="000000"/>
                <w:sz w:val="21"/>
                <w:szCs w:val="21"/>
                <w:lang w:val="en-US"/>
              </w:rPr>
            </w:pPr>
            <w:r>
              <w:rPr>
                <w:rFonts w:hint="eastAsia" w:asciiTheme="minorEastAsia" w:hAnsiTheme="minorEastAsia" w:cstheme="minorEastAsia"/>
                <w:color w:val="000000"/>
                <w:sz w:val="21"/>
                <w:szCs w:val="21"/>
                <w:lang w:val="en-US" w:eastAsia="zh-CN"/>
              </w:rPr>
              <w:t>GB/T 10294-2008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heme="minorEastAsia" w:hAnsi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6</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钢筋粘着力</w:t>
            </w:r>
          </w:p>
        </w:tc>
        <w:tc>
          <w:tcPr>
            <w:tcW w:w="3927" w:type="dxa"/>
            <w:vMerge w:val="restart"/>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heme="minorEastAsia" w:hAnsiTheme="minorEastAsia" w:eastAsiaTheme="minorEastAsia" w:cstheme="minorEastAsia"/>
                <w:color w:val="000000"/>
                <w:sz w:val="21"/>
                <w:szCs w:val="21"/>
                <w:lang w:val="en-US"/>
              </w:rPr>
            </w:pPr>
            <w:r>
              <w:rPr>
                <w:rFonts w:hint="eastAsia" w:asciiTheme="minorEastAsia" w:hAnsiTheme="minorEastAsia" w:cstheme="minorEastAsia"/>
                <w:color w:val="000000"/>
                <w:sz w:val="21"/>
                <w:szCs w:val="21"/>
                <w:lang w:val="en-US" w:eastAsia="zh-CN"/>
              </w:rPr>
              <w:t>GB/T 15762-2008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heme="minorEastAsia" w:hAnsi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7</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纵向钢筋保护层厚度</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heme="minorEastAsia" w:hAnsi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8</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结构性能</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p>
        </w:tc>
      </w:tr>
    </w:tbl>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color w:val="000000"/>
        </w:rPr>
      </w:pPr>
      <w:r>
        <w:rPr>
          <w:color w:val="000000"/>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default"/>
          <w:color w:val="000000"/>
          <w:szCs w:val="21"/>
          <w:lang w:val="en-US" w:eastAsia="zh-CN"/>
        </w:rPr>
      </w:pPr>
      <w:r>
        <w:rPr>
          <w:color w:val="000000"/>
          <w:szCs w:val="21"/>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pacing w:line="440" w:lineRule="exact"/>
        <w:textAlignment w:val="auto"/>
        <w:rPr>
          <w:rFonts w:eastAsia="黑体"/>
          <w:color w:val="000000"/>
          <w:szCs w:val="21"/>
        </w:rPr>
      </w:pPr>
    </w:p>
    <w:p>
      <w:pPr>
        <w:keepNext w:val="0"/>
        <w:keepLines w:val="0"/>
        <w:pageBreakBefore w:val="0"/>
        <w:widowControl w:val="0"/>
        <w:kinsoku/>
        <w:wordWrap/>
        <w:overflowPunct/>
        <w:topLinePunct w:val="0"/>
        <w:autoSpaceDE/>
        <w:autoSpaceDN/>
        <w:bidi w:val="0"/>
        <w:spacing w:line="440" w:lineRule="exact"/>
        <w:textAlignment w:val="auto"/>
        <w:rPr>
          <w:rFonts w:eastAsia="黑体"/>
          <w:color w:val="000000"/>
          <w:szCs w:val="21"/>
        </w:rPr>
      </w:pPr>
      <w:r>
        <w:rPr>
          <w:rFonts w:eastAsia="黑体"/>
          <w:color w:val="000000"/>
          <w:szCs w:val="21"/>
        </w:rPr>
        <w:t>3 判定规则</w:t>
      </w:r>
    </w:p>
    <w:p>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Theme="minorEastAsia" w:hAnsiTheme="minorEastAsia" w:cstheme="minorEastAsia"/>
          <w:color w:val="000000"/>
          <w:szCs w:val="21"/>
          <w:lang w:val="en-US" w:eastAsia="zh-CN"/>
        </w:rPr>
      </w:pPr>
      <w:r>
        <w:rPr>
          <w:rFonts w:hint="eastAsia" w:asciiTheme="minorEastAsia" w:hAnsiTheme="minorEastAsia" w:eastAsiaTheme="minorEastAsia" w:cstheme="minorEastAsia"/>
          <w:color w:val="000000"/>
          <w:szCs w:val="21"/>
        </w:rPr>
        <w:t>3.1依据标准</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Theme="minorEastAsia" w:hAnsiTheme="minorEastAsia" w:cstheme="minorEastAsia"/>
          <w:color w:val="000000"/>
          <w:szCs w:val="21"/>
          <w:lang w:eastAsia="zh-CN"/>
        </w:rPr>
      </w:pPr>
      <w:r>
        <w:rPr>
          <w:rFonts w:hint="eastAsia" w:asciiTheme="minorEastAsia" w:hAnsiTheme="minorEastAsia" w:cstheme="minorEastAsia"/>
          <w:color w:val="000000"/>
          <w:szCs w:val="21"/>
          <w:lang w:eastAsia="zh-CN"/>
        </w:rPr>
        <w:t>GB/T 23451-2009</w:t>
      </w:r>
      <w:r>
        <w:rPr>
          <w:rFonts w:hint="eastAsia" w:asciiTheme="minorEastAsia" w:hAnsiTheme="minorEastAsia" w:eastAsiaTheme="minorEastAsia" w:cstheme="minorEastAsia"/>
          <w:color w:val="000000"/>
          <w:szCs w:val="21"/>
        </w:rPr>
        <w:t xml:space="preserve"> 建筑用轻质隔墙条板</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Theme="minorEastAsia" w:hAnsiTheme="minorEastAsia" w:cstheme="minorEastAsia"/>
          <w:color w:val="000000"/>
          <w:szCs w:val="21"/>
          <w:lang w:eastAsia="zh-CN"/>
        </w:rPr>
      </w:pPr>
      <w:r>
        <w:rPr>
          <w:rFonts w:hint="eastAsia" w:asciiTheme="minorEastAsia" w:hAnsiTheme="minorEastAsia" w:cstheme="minorEastAsia"/>
          <w:color w:val="000000"/>
          <w:szCs w:val="21"/>
          <w:lang w:val="en-US" w:eastAsia="zh-CN"/>
        </w:rPr>
        <w:t>JG/T 169-2016  建筑隔墙用轻质条板通用技术要求</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Theme="minorEastAsia" w:hAnsiTheme="minorEastAsia" w:cstheme="minorEastAsia"/>
          <w:color w:val="000000"/>
          <w:szCs w:val="21"/>
          <w:lang w:eastAsia="zh-CN"/>
        </w:rPr>
      </w:pPr>
      <w:r>
        <w:rPr>
          <w:rFonts w:hint="eastAsia" w:asciiTheme="minorEastAsia" w:hAnsiTheme="minorEastAsia" w:cstheme="minorEastAsia"/>
          <w:color w:val="000000"/>
          <w:szCs w:val="21"/>
          <w:lang w:eastAsia="zh-CN"/>
        </w:rPr>
        <w:t>GB/T 23449-2009</w:t>
      </w:r>
      <w:r>
        <w:rPr>
          <w:rFonts w:hint="eastAsia" w:asciiTheme="minorEastAsia" w:hAnsiTheme="minorEastAsia" w:eastAsiaTheme="minorEastAsia" w:cstheme="minorEastAsia"/>
          <w:color w:val="000000"/>
          <w:szCs w:val="21"/>
        </w:rPr>
        <w:t xml:space="preserve"> 灰渣混凝土空心隔墙板</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Theme="minorEastAsia" w:hAnsiTheme="minorEastAsia" w:cstheme="minorEastAsia"/>
          <w:color w:val="000000"/>
          <w:szCs w:val="21"/>
          <w:lang w:eastAsia="zh-CN"/>
        </w:rPr>
      </w:pPr>
      <w:r>
        <w:rPr>
          <w:rFonts w:hint="eastAsia" w:asciiTheme="minorEastAsia" w:hAnsiTheme="minorEastAsia" w:cstheme="minorEastAsia"/>
          <w:color w:val="000000"/>
          <w:szCs w:val="21"/>
          <w:lang w:eastAsia="zh-CN"/>
        </w:rPr>
        <w:t>JC/T 829-2010</w:t>
      </w:r>
      <w:r>
        <w:rPr>
          <w:rFonts w:hint="eastAsia" w:asciiTheme="minorEastAsia" w:hAnsiTheme="minorEastAsia" w:eastAsiaTheme="minorEastAsia" w:cstheme="minorEastAsia"/>
          <w:color w:val="000000"/>
          <w:szCs w:val="21"/>
        </w:rPr>
        <w:t xml:space="preserve"> 石膏空心条板</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Theme="minorEastAsia" w:hAnsiTheme="minorEastAsia" w:cstheme="minorEastAsia"/>
          <w:color w:val="000000"/>
          <w:szCs w:val="21"/>
          <w:lang w:eastAsia="zh-CN"/>
        </w:rPr>
      </w:pPr>
      <w:r>
        <w:rPr>
          <w:rFonts w:hint="eastAsia" w:asciiTheme="minorEastAsia" w:hAnsiTheme="minorEastAsia" w:cstheme="minorEastAsia"/>
          <w:color w:val="000000"/>
          <w:szCs w:val="21"/>
          <w:lang w:eastAsia="zh-CN"/>
        </w:rPr>
        <w:t>GB/T 23450-2009</w:t>
      </w:r>
      <w:r>
        <w:rPr>
          <w:rFonts w:hint="eastAsia" w:asciiTheme="minorEastAsia" w:hAnsiTheme="minorEastAsia" w:eastAsiaTheme="minorEastAsia" w:cstheme="minorEastAsia"/>
          <w:color w:val="000000"/>
          <w:szCs w:val="21"/>
        </w:rPr>
        <w:t xml:space="preserve"> 建筑隔墙用保温条板</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Theme="minorEastAsia" w:hAnsiTheme="minorEastAsia" w:eastAsiaTheme="minorEastAsia" w:cstheme="minorEastAsia"/>
          <w:color w:val="000000"/>
          <w:szCs w:val="21"/>
          <w:lang w:val="en-US" w:eastAsia="zh-CN"/>
        </w:rPr>
      </w:pPr>
      <w:r>
        <w:rPr>
          <w:rFonts w:hint="eastAsia" w:asciiTheme="minorEastAsia" w:hAnsiTheme="minorEastAsia" w:cstheme="minorEastAsia"/>
          <w:color w:val="000000"/>
          <w:szCs w:val="21"/>
          <w:lang w:eastAsia="zh-CN"/>
        </w:rPr>
        <w:t>JC/T 623-1996</w:t>
      </w:r>
      <w:r>
        <w:rPr>
          <w:rFonts w:hint="eastAsia" w:asciiTheme="minorEastAsia" w:hAnsiTheme="minorEastAsia" w:eastAsiaTheme="minorEastAsia" w:cstheme="minorEastAsia"/>
          <w:color w:val="000000"/>
          <w:szCs w:val="21"/>
        </w:rPr>
        <w:t xml:space="preserve"> 钢丝网架水泥聚苯乙烯夹芯板</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Theme="minorEastAsia" w:hAnsi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GB/T 15762</w:t>
      </w:r>
      <w:r>
        <w:rPr>
          <w:rFonts w:hint="eastAsia" w:asciiTheme="minorEastAsia" w:hAnsiTheme="minorEastAsia" w:cstheme="minorEastAsia"/>
          <w:color w:val="000000"/>
          <w:szCs w:val="21"/>
          <w:lang w:val="en-US" w:eastAsia="zh-CN"/>
        </w:rPr>
        <w:t>-2008</w:t>
      </w:r>
      <w:r>
        <w:rPr>
          <w:rFonts w:hint="eastAsia" w:asciiTheme="minorEastAsia" w:hAnsiTheme="minorEastAsia" w:eastAsiaTheme="minorEastAsia" w:cstheme="minorEastAsia"/>
          <w:color w:val="000000"/>
          <w:szCs w:val="21"/>
          <w:lang w:val="en-US" w:eastAsia="zh-CN"/>
        </w:rPr>
        <w:t xml:space="preserve">  蒸压加气混凝土板</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现行有效的企业标准、团体标准、地方标准及产品明示质量要求</w:t>
      </w:r>
    </w:p>
    <w:p>
      <w:pPr>
        <w:keepNext w:val="0"/>
        <w:keepLines w:val="0"/>
        <w:pageBreakBefore w:val="0"/>
        <w:widowControl w:val="0"/>
        <w:kinsoku/>
        <w:wordWrap/>
        <w:overflowPunct/>
        <w:topLinePunct w:val="0"/>
        <w:autoSpaceDE/>
        <w:autoSpaceDN/>
        <w:bidi w:val="0"/>
        <w:snapToGrid w:val="0"/>
        <w:spacing w:line="440" w:lineRule="exact"/>
        <w:textAlignment w:val="auto"/>
        <w:rPr>
          <w:color w:val="000000"/>
          <w:szCs w:val="21"/>
        </w:rPr>
      </w:pPr>
      <w:r>
        <w:rPr>
          <w:rFonts w:hint="eastAsia" w:asciiTheme="minorEastAsia" w:hAnsiTheme="minorEastAsia" w:eastAsiaTheme="minorEastAsia" w:cstheme="minorEastAsia"/>
          <w:color w:val="000000"/>
          <w:szCs w:val="21"/>
        </w:rPr>
        <w:t>3.2判定</w:t>
      </w:r>
      <w:r>
        <w:rPr>
          <w:color w:val="000000"/>
          <w:szCs w:val="21"/>
        </w:rPr>
        <w:t>原则</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color w:val="000000"/>
          <w:szCs w:val="21"/>
        </w:rPr>
      </w:pPr>
      <w:r>
        <w:rPr>
          <w:color w:val="000000"/>
          <w:szCs w:val="21"/>
        </w:rPr>
        <w:t>经检验，检验项目全部合格，判定为被抽查产品合格；检验项目中任一项或一项以上不合格，判定为被抽查产品不合格。</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color w:val="000000"/>
          <w:szCs w:val="21"/>
        </w:rPr>
      </w:pPr>
      <w:r>
        <w:rPr>
          <w:color w:val="000000"/>
          <w:szCs w:val="21"/>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color w:val="000000"/>
          <w:szCs w:val="21"/>
        </w:rPr>
      </w:pPr>
      <w:r>
        <w:rPr>
          <w:color w:val="000000"/>
          <w:szCs w:val="21"/>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color w:val="000000"/>
          <w:szCs w:val="21"/>
        </w:rPr>
      </w:pPr>
      <w:r>
        <w:rPr>
          <w:color w:val="000000"/>
          <w:szCs w:val="21"/>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color w:val="000000"/>
          <w:szCs w:val="21"/>
        </w:rPr>
      </w:pPr>
      <w:r>
        <w:rPr>
          <w:color w:val="000000"/>
          <w:szCs w:val="21"/>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color w:val="000000"/>
          <w:szCs w:val="21"/>
        </w:rPr>
      </w:pPr>
      <w:r>
        <w:rPr>
          <w:color w:val="000000"/>
          <w:szCs w:val="21"/>
        </w:rPr>
        <w:t>若被检产品明示的质量要求缺少本细则中检验项目依据的推荐性标准要求时，该项目不参与判定。</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color w:val="000000"/>
          <w:szCs w:val="21"/>
          <w:lang w:val="en-US" w:eastAsia="zh-CN"/>
        </w:rPr>
      </w:pPr>
      <w:bookmarkStart w:id="0" w:name="_GoBack"/>
      <w:r>
        <w:rPr>
          <w:rFonts w:hint="eastAsia" w:ascii="黑体" w:hAnsi="黑体" w:eastAsia="黑体" w:cs="黑体"/>
          <w:color w:val="000000"/>
          <w:szCs w:val="21"/>
          <w:lang w:val="en-US" w:eastAsia="zh-CN"/>
        </w:rPr>
        <w:t>4 附则</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color w:val="000000"/>
          <w:szCs w:val="21"/>
          <w:lang w:val="en-US" w:eastAsia="zh-CN"/>
        </w:rPr>
      </w:pPr>
      <w:r>
        <w:rPr>
          <w:rFonts w:hint="eastAsia"/>
          <w:color w:val="000000"/>
          <w:szCs w:val="21"/>
        </w:rPr>
        <w:t>本细则代替《省市场监管局关于发布</w:t>
      </w:r>
      <w:r>
        <w:rPr>
          <w:rFonts w:hint="eastAsia"/>
          <w:color w:val="000000"/>
          <w:szCs w:val="21"/>
          <w:lang w:val="en-US" w:eastAsia="zh-CN"/>
        </w:rPr>
        <w:t>2021年版</w:t>
      </w:r>
      <w:r>
        <w:rPr>
          <w:rFonts w:hint="eastAsia"/>
          <w:color w:val="000000"/>
          <w:szCs w:val="21"/>
        </w:rPr>
        <w:t>贵州省产品质量监督抽查实施细则（第</w:t>
      </w:r>
      <w:r>
        <w:rPr>
          <w:rFonts w:hint="eastAsia"/>
          <w:color w:val="000000"/>
          <w:szCs w:val="21"/>
          <w:lang w:eastAsia="zh-CN"/>
        </w:rPr>
        <w:t>一</w:t>
      </w:r>
      <w:r>
        <w:rPr>
          <w:rFonts w:hint="eastAsia"/>
          <w:color w:val="000000"/>
          <w:szCs w:val="21"/>
        </w:rPr>
        <w:t>批）的公告》（黔市监公告〔202</w:t>
      </w:r>
      <w:r>
        <w:rPr>
          <w:rFonts w:hint="eastAsia"/>
          <w:color w:val="000000"/>
          <w:szCs w:val="21"/>
          <w:lang w:val="en-US" w:eastAsia="zh-CN"/>
        </w:rPr>
        <w:t>1</w:t>
      </w:r>
      <w:r>
        <w:rPr>
          <w:rFonts w:hint="eastAsia"/>
          <w:color w:val="000000"/>
          <w:szCs w:val="21"/>
        </w:rPr>
        <w:t>〕</w:t>
      </w:r>
      <w:r>
        <w:rPr>
          <w:rFonts w:hint="eastAsia"/>
          <w:color w:val="000000"/>
          <w:szCs w:val="21"/>
          <w:lang w:val="en-US" w:eastAsia="zh-CN"/>
        </w:rPr>
        <w:t>37</w:t>
      </w:r>
      <w:r>
        <w:rPr>
          <w:rFonts w:hint="eastAsia"/>
          <w:color w:val="000000"/>
          <w:szCs w:val="21"/>
        </w:rPr>
        <w:t>号）中的《贵州省</w:t>
      </w:r>
      <w:r>
        <w:rPr>
          <w:rFonts w:hint="eastAsia"/>
          <w:color w:val="000000"/>
          <w:szCs w:val="21"/>
          <w:lang w:eastAsia="zh-CN"/>
        </w:rPr>
        <w:t>建筑用隔墙板</w:t>
      </w:r>
      <w:r>
        <w:rPr>
          <w:rFonts w:hint="eastAsia"/>
          <w:color w:val="000000"/>
          <w:szCs w:val="21"/>
        </w:rPr>
        <w:t>产品质量监督抽查实施细则（</w:t>
      </w:r>
      <w:r>
        <w:rPr>
          <w:rFonts w:hint="eastAsia" w:ascii="Times New Roman" w:hAnsi="Times New Roman" w:eastAsia="宋体" w:cs="Times New Roman"/>
          <w:color w:val="000000"/>
          <w:szCs w:val="21"/>
          <w:lang w:val="en-US" w:eastAsia="zh-CN"/>
        </w:rPr>
        <w:t>2021年版</w:t>
      </w:r>
      <w:r>
        <w:rPr>
          <w:rFonts w:hint="eastAsia"/>
          <w:color w:val="000000"/>
          <w:szCs w:val="21"/>
        </w:rPr>
        <w:t>）》。</w:t>
      </w:r>
    </w:p>
    <w:bookmarkEnd w:id="0"/>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DC6026"/>
    <w:rsid w:val="050A6E54"/>
    <w:rsid w:val="0828477E"/>
    <w:rsid w:val="1827079B"/>
    <w:rsid w:val="2A3403CA"/>
    <w:rsid w:val="2B890A91"/>
    <w:rsid w:val="330752D4"/>
    <w:rsid w:val="42C2309C"/>
    <w:rsid w:val="453E4C4F"/>
    <w:rsid w:val="461A3D5A"/>
    <w:rsid w:val="46A66A71"/>
    <w:rsid w:val="4B316808"/>
    <w:rsid w:val="4CAF176B"/>
    <w:rsid w:val="52251A59"/>
    <w:rsid w:val="53DC6026"/>
    <w:rsid w:val="68FE0AD3"/>
    <w:rsid w:val="728A6A07"/>
    <w:rsid w:val="73F549DB"/>
    <w:rsid w:val="778911AF"/>
    <w:rsid w:val="7DCF9AC0"/>
    <w:rsid w:val="F3FF9A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2020-06-03T05:31:00Z</dcterms:created>
  <dc:creator>青鸟</dc:creator>
  <cp:lastModifiedBy>ysgz</cp:lastModifiedBy>
  <dcterms:modified xsi:type="dcterms:W3CDTF">2022-04-27T09:51:00Z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19ADB5719F37406F9086B60C2AC87EB7</vt:lpwstr>
  </property>
  <property fmtid="{D5CDD505-2E9C-101B-9397-08002B2CF9AE}" pid="4" name="KSOSaveFontToCloudKey">
    <vt:lpwstr>425104523_cloud</vt:lpwstr>
  </property>
</Properties>
</file>