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贵州省聚乙烯（PE）管材产品质量监督抽查实施细则</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jc w:val="center"/>
        <w:textAlignment w:val="auto"/>
        <w:rPr>
          <w:rFonts w:hint="eastAsia" w:ascii="方正小标宋_GBK" w:hAnsi="Times New Roman" w:eastAsia="方正小标宋_GBK" w:cs="方正仿宋简体"/>
          <w:color w:val="000000"/>
          <w:sz w:val="32"/>
          <w:szCs w:val="32"/>
          <w:lang w:eastAsia="zh-CN"/>
        </w:rPr>
      </w:pPr>
      <w:r>
        <w:rPr>
          <w:rFonts w:hint="eastAsia" w:ascii="方正小标宋_GBK" w:hAnsi="Times New Roman" w:eastAsia="方正小标宋_GBK" w:cs="方正仿宋简体"/>
          <w:color w:val="000000"/>
          <w:sz w:val="32"/>
          <w:szCs w:val="32"/>
          <w:lang w:eastAsia="zh-CN"/>
        </w:rPr>
        <w:t>（</w:t>
      </w:r>
      <w:r>
        <w:rPr>
          <w:rFonts w:hint="eastAsia" w:ascii="方正小标宋_GBK" w:hAnsi="Times New Roman" w:eastAsia="方正小标宋_GBK" w:cs="方正仿宋简体"/>
          <w:color w:val="000000"/>
          <w:sz w:val="32"/>
          <w:szCs w:val="32"/>
          <w:lang w:val="en-US" w:eastAsia="zh-CN"/>
        </w:rPr>
        <w:t>2022年版</w:t>
      </w:r>
      <w:r>
        <w:rPr>
          <w:rFonts w:hint="eastAsia" w:ascii="方正小标宋_GBK" w:hAnsi="Times New Roman" w:eastAsia="方正小标宋_GBK" w:cs="方正仿宋简体"/>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ascii="宋体" w:hAnsi="宋体"/>
          <w:szCs w:val="21"/>
        </w:rPr>
      </w:pP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ascii="黑体" w:hAnsi="黑体" w:eastAsia="黑体"/>
          <w:szCs w:val="21"/>
        </w:rPr>
      </w:pPr>
      <w:r>
        <w:rPr>
          <w:rFonts w:hint="eastAsia" w:ascii="黑体" w:hAnsi="黑体" w:eastAsia="黑体"/>
          <w:szCs w:val="21"/>
        </w:rPr>
        <w:t>1 抽样方法</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ascii="宋体" w:hAnsi="宋体"/>
          <w:szCs w:val="21"/>
        </w:rPr>
      </w:pPr>
      <w:r>
        <w:rPr>
          <w:rFonts w:hint="eastAsia" w:ascii="宋体" w:hAnsi="宋体"/>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ascii="宋体" w:hAnsi="宋体"/>
          <w:szCs w:val="21"/>
        </w:rPr>
      </w:pPr>
      <w:r>
        <w:rPr>
          <w:rFonts w:hint="eastAsia" w:ascii="宋体" w:hAnsi="宋体"/>
          <w:szCs w:val="21"/>
        </w:rPr>
        <w:t>随机数一般可使用随机数表等方法产生。</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hint="eastAsia" w:ascii="宋体" w:cs="Sim Sun"/>
          <w:color w:val="000000"/>
          <w:kern w:val="0"/>
          <w:szCs w:val="21"/>
        </w:rPr>
      </w:pPr>
      <w:r>
        <w:rPr>
          <w:rFonts w:hint="eastAsia" w:ascii="宋体" w:cs="Sim Sun"/>
          <w:color w:val="000000"/>
          <w:kern w:val="0"/>
          <w:szCs w:val="21"/>
        </w:rPr>
        <w:t>对非饮用水管取样时，在同一批次的产品中抽取6根（盘），每根（盘）截取5段，每段1m；每根（盘）中的3段作为检验样品，2段作为备用样品。</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hint="eastAsia" w:ascii="宋体" w:cs="Sim Sun"/>
          <w:color w:val="000000"/>
          <w:kern w:val="0"/>
          <w:szCs w:val="21"/>
        </w:rPr>
      </w:pPr>
      <w:r>
        <w:rPr>
          <w:rFonts w:hint="eastAsia" w:ascii="宋体" w:cs="Sim Sun"/>
          <w:color w:val="000000"/>
          <w:kern w:val="0"/>
          <w:szCs w:val="21"/>
        </w:rPr>
        <w:t>对饮用水管取样时，在同一批次的产品中抽取7根（盘），每根（盘）截取5段，每段1m；每根（盘）中的3段作为检验样品，2段作为备用样品。</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ascii="宋体" w:cs="Sim Sun"/>
          <w:color w:val="000000"/>
          <w:kern w:val="0"/>
          <w:szCs w:val="21"/>
        </w:rPr>
      </w:pPr>
      <w:r>
        <w:rPr>
          <w:rFonts w:hint="eastAsia" w:ascii="宋体" w:cs="Sim Sun"/>
          <w:color w:val="000000"/>
          <w:kern w:val="0"/>
          <w:szCs w:val="21"/>
        </w:rPr>
        <w:t>如每根管材的长度不足以截取5段时，应增加抽取管材的根数，使最终截取的总段数不少于上述要求。</w:t>
      </w: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hint="eastAsia" w:ascii="黑体" w:hAnsi="宋体" w:eastAsia="黑体"/>
          <w:szCs w:val="21"/>
        </w:rPr>
      </w:pP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hint="eastAsia" w:ascii="黑体" w:hAnsi="宋体" w:eastAsia="黑体"/>
          <w:szCs w:val="21"/>
        </w:rPr>
      </w:pPr>
      <w:r>
        <w:rPr>
          <w:rFonts w:hint="eastAsia" w:ascii="黑体" w:hAnsi="宋体" w:eastAsia="黑体"/>
          <w:szCs w:val="21"/>
        </w:rPr>
        <w:t>2 检验依据</w:t>
      </w: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hint="eastAsia" w:ascii="黑体" w:hAnsi="宋体" w:eastAsia="黑体"/>
          <w:szCs w:val="21"/>
        </w:rPr>
      </w:pPr>
    </w:p>
    <w:tbl>
      <w:tblPr>
        <w:tblStyle w:val="5"/>
        <w:tblW w:w="7839" w:type="dxa"/>
        <w:jc w:val="center"/>
        <w:tblLayout w:type="fixed"/>
        <w:tblCellMar>
          <w:top w:w="0" w:type="dxa"/>
          <w:left w:w="10" w:type="dxa"/>
          <w:bottom w:w="0" w:type="dxa"/>
          <w:right w:w="10" w:type="dxa"/>
        </w:tblCellMar>
      </w:tblPr>
      <w:tblGrid>
        <w:gridCol w:w="894"/>
        <w:gridCol w:w="3685"/>
        <w:gridCol w:w="3260"/>
      </w:tblGrid>
      <w:tr>
        <w:tblPrEx>
          <w:tblCellMar>
            <w:top w:w="0" w:type="dxa"/>
            <w:left w:w="10" w:type="dxa"/>
            <w:bottom w:w="0" w:type="dxa"/>
            <w:right w:w="10" w:type="dxa"/>
          </w:tblCellMar>
        </w:tblPrEx>
        <w:trPr>
          <w:trHeight w:val="365" w:hRule="exact"/>
          <w:jc w:val="center"/>
        </w:trPr>
        <w:tc>
          <w:tcPr>
            <w:tcW w:w="894" w:type="dxa"/>
            <w:vMerge w:val="restart"/>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序号</w:t>
            </w:r>
          </w:p>
        </w:tc>
        <w:tc>
          <w:tcPr>
            <w:tcW w:w="3685" w:type="dxa"/>
            <w:vMerge w:val="restart"/>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检验项目</w:t>
            </w:r>
          </w:p>
        </w:tc>
        <w:tc>
          <w:tcPr>
            <w:tcW w:w="326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检测方法</w:t>
            </w:r>
          </w:p>
        </w:tc>
      </w:tr>
      <w:tr>
        <w:tblPrEx>
          <w:tblCellMar>
            <w:top w:w="0" w:type="dxa"/>
            <w:left w:w="10" w:type="dxa"/>
            <w:bottom w:w="0" w:type="dxa"/>
            <w:right w:w="10" w:type="dxa"/>
          </w:tblCellMar>
        </w:tblPrEx>
        <w:trPr>
          <w:trHeight w:val="360" w:hRule="exact"/>
          <w:jc w:val="center"/>
        </w:trPr>
        <w:tc>
          <w:tcPr>
            <w:tcW w:w="894" w:type="dxa"/>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szCs w:val="21"/>
              </w:rPr>
            </w:pPr>
          </w:p>
        </w:tc>
        <w:tc>
          <w:tcPr>
            <w:tcW w:w="3685" w:type="dxa"/>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textAlignment w:val="auto"/>
              <w:rPr>
                <w:rFonts w:ascii="Times New Roman" w:hAnsi="Times New Roman"/>
                <w:szCs w:val="21"/>
              </w:rPr>
            </w:pPr>
          </w:p>
        </w:tc>
        <w:tc>
          <w:tcPr>
            <w:tcW w:w="326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textAlignment w:val="auto"/>
              <w:rPr>
                <w:rFonts w:ascii="Times New Roman" w:hAnsi="Times New Roman"/>
                <w:szCs w:val="21"/>
              </w:rPr>
            </w:pPr>
          </w:p>
        </w:tc>
      </w:tr>
      <w:tr>
        <w:tblPrEx>
          <w:tblCellMar>
            <w:top w:w="0" w:type="dxa"/>
            <w:left w:w="10" w:type="dxa"/>
            <w:bottom w:w="0" w:type="dxa"/>
            <w:right w:w="10" w:type="dxa"/>
          </w:tblCellMar>
        </w:tblPrEx>
        <w:trPr>
          <w:trHeight w:val="595" w:hRule="exact"/>
          <w:jc w:val="center"/>
        </w:trPr>
        <w:tc>
          <w:tcPr>
            <w:tcW w:w="894" w:type="dxa"/>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szCs w:val="21"/>
              </w:rPr>
            </w:pPr>
            <w:r>
              <w:rPr>
                <w:rFonts w:ascii="Times New Roman" w:hAnsi="Times New Roman"/>
                <w:szCs w:val="21"/>
              </w:rPr>
              <w:t>1</w:t>
            </w:r>
          </w:p>
        </w:tc>
        <w:tc>
          <w:tcPr>
            <w:tcW w:w="3685"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eastAsia="zh-CN"/>
              </w:rPr>
            </w:pPr>
            <w:r>
              <w:rPr>
                <w:rFonts w:ascii="Times New Roman" w:hAnsi="Times New Roman" w:cs="Times New Roman"/>
                <w:color w:val="000000"/>
                <w:sz w:val="21"/>
                <w:szCs w:val="21"/>
                <w:lang w:eastAsia="zh-CN"/>
              </w:rPr>
              <w:t>几何</w:t>
            </w:r>
            <w:r>
              <w:rPr>
                <w:rFonts w:ascii="Times New Roman" w:hAnsi="Times New Roman" w:cs="Times New Roman"/>
                <w:color w:val="000000"/>
                <w:sz w:val="21"/>
                <w:szCs w:val="21"/>
              </w:rPr>
              <w:t>尺寸</w:t>
            </w:r>
            <w:r>
              <w:rPr>
                <w:rFonts w:ascii="Times New Roman" w:hAnsi="Times New Roman" w:cs="Times New Roman"/>
                <w:color w:val="000000"/>
                <w:sz w:val="21"/>
                <w:szCs w:val="21"/>
                <w:lang w:eastAsia="zh-CN"/>
              </w:rPr>
              <w:t>（平均外径、壁厚及公差）</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8806-2008</w:t>
            </w:r>
          </w:p>
        </w:tc>
      </w:tr>
      <w:tr>
        <w:tblPrEx>
          <w:tblCellMar>
            <w:top w:w="0" w:type="dxa"/>
            <w:left w:w="10" w:type="dxa"/>
            <w:bottom w:w="0" w:type="dxa"/>
            <w:right w:w="10" w:type="dxa"/>
          </w:tblCellMar>
        </w:tblPrEx>
        <w:trPr>
          <w:trHeight w:val="535" w:hRule="exact"/>
          <w:jc w:val="center"/>
        </w:trPr>
        <w:tc>
          <w:tcPr>
            <w:tcW w:w="894"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2</w:t>
            </w:r>
          </w:p>
        </w:tc>
        <w:tc>
          <w:tcPr>
            <w:tcW w:w="3685"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val="en-US" w:eastAsia="zh-CN"/>
              </w:rPr>
            </w:pPr>
            <w:r>
              <w:rPr>
                <w:rFonts w:ascii="Times New Roman" w:hAnsi="Times New Roman" w:cs="Times New Roman"/>
                <w:color w:val="000000"/>
                <w:sz w:val="21"/>
                <w:szCs w:val="21"/>
              </w:rPr>
              <w:t>静液压</w:t>
            </w:r>
            <w:r>
              <w:rPr>
                <w:rFonts w:ascii="Times New Roman" w:hAnsi="Times New Roman" w:cs="Times New Roman"/>
                <w:color w:val="000000"/>
                <w:sz w:val="21"/>
                <w:szCs w:val="21"/>
                <w:lang w:eastAsia="zh-CN"/>
              </w:rPr>
              <w:t>强度（</w:t>
            </w:r>
            <w:r>
              <w:rPr>
                <w:rFonts w:ascii="Times New Roman" w:hAnsi="Times New Roman" w:cs="Times New Roman"/>
                <w:color w:val="000000"/>
                <w:sz w:val="21"/>
                <w:szCs w:val="21"/>
                <w:lang w:val="en-US" w:eastAsia="en-US" w:bidi="en-US"/>
              </w:rPr>
              <w:t>20</w:t>
            </w:r>
            <w:r>
              <w:rPr>
                <w:rFonts w:ascii="Times New Roman" w:hAnsi="Times New Roman" w:cs="Times New Roman"/>
                <w:color w:val="000000"/>
                <w:sz w:val="21"/>
                <w:szCs w:val="21"/>
                <w:lang w:val="en-US" w:eastAsia="zh-CN" w:bidi="en-US"/>
              </w:rPr>
              <w:t xml:space="preserve">℃ </w:t>
            </w:r>
            <w:r>
              <w:rPr>
                <w:rFonts w:ascii="Times New Roman" w:hAnsi="Times New Roman" w:cs="Times New Roman"/>
                <w:color w:val="000000"/>
                <w:sz w:val="21"/>
                <w:szCs w:val="21"/>
                <w:lang w:val="en-US" w:eastAsia="en-US" w:bidi="en-US"/>
              </w:rPr>
              <w:t xml:space="preserve"> </w:t>
            </w:r>
            <w:r>
              <w:rPr>
                <w:rFonts w:ascii="Times New Roman" w:hAnsi="Times New Roman" w:cs="Times New Roman"/>
                <w:color w:val="000000"/>
                <w:sz w:val="21"/>
                <w:szCs w:val="21"/>
              </w:rPr>
              <w:t>100</w:t>
            </w:r>
            <w:r>
              <w:rPr>
                <w:rFonts w:ascii="Times New Roman" w:hAnsi="Times New Roman" w:cs="Times New Roman"/>
                <w:color w:val="000000"/>
                <w:sz w:val="21"/>
                <w:szCs w:val="21"/>
                <w:lang w:val="en-US" w:eastAsia="zh-CN"/>
              </w:rPr>
              <w:t>h）</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13663.2-2018</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6111-2003</w:t>
            </w:r>
          </w:p>
        </w:tc>
      </w:tr>
      <w:tr>
        <w:tblPrEx>
          <w:tblCellMar>
            <w:top w:w="0" w:type="dxa"/>
            <w:left w:w="10" w:type="dxa"/>
            <w:bottom w:w="0" w:type="dxa"/>
            <w:right w:w="10" w:type="dxa"/>
          </w:tblCellMar>
        </w:tblPrEx>
        <w:trPr>
          <w:trHeight w:val="470" w:hRule="exact"/>
          <w:jc w:val="center"/>
        </w:trPr>
        <w:tc>
          <w:tcPr>
            <w:tcW w:w="894"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3</w:t>
            </w:r>
          </w:p>
        </w:tc>
        <w:tc>
          <w:tcPr>
            <w:tcW w:w="3685"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eastAsia="zh-CN"/>
              </w:rPr>
            </w:pPr>
            <w:r>
              <w:rPr>
                <w:rFonts w:ascii="Times New Roman" w:hAnsi="Times New Roman" w:cs="Times New Roman"/>
                <w:color w:val="000000"/>
                <w:sz w:val="21"/>
                <w:szCs w:val="21"/>
              </w:rPr>
              <w:t>断裂伸长率</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13663.2-2018</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8804.3-2003</w:t>
            </w:r>
          </w:p>
        </w:tc>
      </w:tr>
      <w:tr>
        <w:tblPrEx>
          <w:tblCellMar>
            <w:top w:w="0" w:type="dxa"/>
            <w:left w:w="10" w:type="dxa"/>
            <w:bottom w:w="0" w:type="dxa"/>
            <w:right w:w="10" w:type="dxa"/>
          </w:tblCellMar>
        </w:tblPrEx>
        <w:trPr>
          <w:trHeight w:val="430" w:hRule="exact"/>
          <w:jc w:val="center"/>
        </w:trPr>
        <w:tc>
          <w:tcPr>
            <w:tcW w:w="894" w:type="dxa"/>
            <w:tcBorders>
              <w:top w:val="single" w:color="auto" w:sz="4" w:space="0"/>
              <w:left w:val="single" w:color="auto" w:sz="4" w:space="0"/>
              <w:bottom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4</w:t>
            </w:r>
          </w:p>
        </w:tc>
        <w:tc>
          <w:tcPr>
            <w:tcW w:w="3685" w:type="dxa"/>
            <w:tcBorders>
              <w:top w:val="single" w:color="auto" w:sz="4" w:space="0"/>
              <w:left w:val="single" w:color="auto" w:sz="4" w:space="0"/>
              <w:bottom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纵向回缩率</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6671-2001 方法B</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13663.2-2018</w:t>
            </w:r>
          </w:p>
        </w:tc>
      </w:tr>
      <w:tr>
        <w:tblPrEx>
          <w:tblCellMar>
            <w:top w:w="0" w:type="dxa"/>
            <w:left w:w="10" w:type="dxa"/>
            <w:bottom w:w="0" w:type="dxa"/>
            <w:right w:w="10" w:type="dxa"/>
          </w:tblCellMar>
        </w:tblPrEx>
        <w:trPr>
          <w:trHeight w:val="475" w:hRule="exact"/>
          <w:jc w:val="center"/>
        </w:trPr>
        <w:tc>
          <w:tcPr>
            <w:tcW w:w="89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5</w:t>
            </w:r>
          </w:p>
        </w:tc>
        <w:tc>
          <w:tcPr>
            <w:tcW w:w="368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氧化诱导时间</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19466.6-2009</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13663.2-2018</w:t>
            </w:r>
          </w:p>
        </w:tc>
      </w:tr>
      <w:tr>
        <w:tblPrEx>
          <w:tblCellMar>
            <w:top w:w="0" w:type="dxa"/>
            <w:left w:w="10" w:type="dxa"/>
            <w:bottom w:w="0" w:type="dxa"/>
            <w:right w:w="10" w:type="dxa"/>
          </w:tblCellMar>
        </w:tblPrEx>
        <w:trPr>
          <w:trHeight w:val="475" w:hRule="exact"/>
          <w:jc w:val="center"/>
        </w:trPr>
        <w:tc>
          <w:tcPr>
            <w:tcW w:w="89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color w:val="000000"/>
                <w:sz w:val="21"/>
                <w:szCs w:val="21"/>
                <w:lang w:val="en-US" w:eastAsia="zh-CN"/>
              </w:rPr>
            </w:pPr>
            <w:r>
              <w:rPr>
                <w:rFonts w:ascii="Times New Roman" w:hAnsi="Times New Roman" w:cs="Times New Roman"/>
                <w:color w:val="000000"/>
                <w:sz w:val="21"/>
                <w:szCs w:val="21"/>
                <w:lang w:val="en-US" w:eastAsia="zh-CN"/>
              </w:rPr>
              <w:t>6</w:t>
            </w:r>
          </w:p>
        </w:tc>
        <w:tc>
          <w:tcPr>
            <w:tcW w:w="368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灰分</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eastAsia="en-US"/>
              </w:rPr>
            </w:pPr>
            <w:r>
              <w:rPr>
                <w:rFonts w:ascii="Times New Roman" w:hAnsi="Times New Roman"/>
                <w:color w:val="000000"/>
                <w:szCs w:val="21"/>
              </w:rPr>
              <w:t>GB/T 9345.1-2008 方法A</w:t>
            </w:r>
          </w:p>
        </w:tc>
      </w:tr>
      <w:tr>
        <w:tblPrEx>
          <w:tblCellMar>
            <w:top w:w="0" w:type="dxa"/>
            <w:left w:w="10" w:type="dxa"/>
            <w:bottom w:w="0" w:type="dxa"/>
            <w:right w:w="10" w:type="dxa"/>
          </w:tblCellMar>
        </w:tblPrEx>
        <w:trPr>
          <w:trHeight w:val="500" w:hRule="exact"/>
          <w:jc w:val="center"/>
        </w:trPr>
        <w:tc>
          <w:tcPr>
            <w:tcW w:w="89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eastAsia="zh-CN"/>
              </w:rPr>
            </w:pPr>
            <w:r>
              <w:rPr>
                <w:rFonts w:ascii="Times New Roman" w:hAnsi="Times New Roman" w:cs="Times New Roman"/>
                <w:color w:val="000000"/>
                <w:sz w:val="21"/>
                <w:szCs w:val="21"/>
                <w:lang w:val="en-US" w:eastAsia="zh-CN"/>
              </w:rPr>
              <w:t>7</w:t>
            </w:r>
          </w:p>
        </w:tc>
        <w:tc>
          <w:tcPr>
            <w:tcW w:w="368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val="en-US" w:eastAsia="zh-CN"/>
              </w:rPr>
            </w:pPr>
            <w:r>
              <w:rPr>
                <w:rFonts w:ascii="Times New Roman" w:hAnsi="Times New Roman" w:cs="Times New Roman"/>
                <w:color w:val="000000"/>
                <w:sz w:val="21"/>
                <w:szCs w:val="21"/>
              </w:rPr>
              <w:t>卫生</w:t>
            </w:r>
            <w:r>
              <w:rPr>
                <w:rFonts w:ascii="Times New Roman" w:hAnsi="Times New Roman" w:cs="Times New Roman"/>
                <w:color w:val="000000"/>
                <w:sz w:val="21"/>
                <w:szCs w:val="21"/>
                <w:lang w:eastAsia="zh-CN"/>
              </w:rPr>
              <w:t>要求</w:t>
            </w:r>
            <w:r>
              <w:rPr>
                <w:rFonts w:ascii="Times New Roman" w:hAnsi="Times New Roman" w:cs="Times New Roman"/>
                <w:color w:val="000000"/>
                <w:sz w:val="21"/>
                <w:szCs w:val="21"/>
              </w:rPr>
              <w:t>（铅、镉、高锰酸钾消耗量）</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17219-1998</w:t>
            </w:r>
          </w:p>
        </w:tc>
      </w:tr>
    </w:tbl>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rPr>
          <w:rFonts w:ascii="宋体" w:hAnsi="宋体"/>
          <w:szCs w:val="21"/>
        </w:rPr>
      </w:pPr>
      <w:r>
        <w:rPr>
          <w:rFonts w:hint="eastAsia" w:ascii="宋体" w:hAnsi="宋体"/>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rPr>
          <w:rFonts w:ascii="宋体" w:hAnsi="宋体"/>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pacing w:beforeAutospacing="0" w:afterAutospacing="0" w:line="440" w:lineRule="exact"/>
        <w:ind w:firstLine="421" w:firstLineChars="200"/>
        <w:textAlignment w:val="auto"/>
        <w:rPr>
          <w:rFonts w:ascii="黑体" w:hAnsi="宋体" w:eastAsia="黑体"/>
          <w:b/>
          <w:szCs w:val="21"/>
        </w:rPr>
      </w:pP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ascii="黑体" w:hAnsi="宋体" w:eastAsia="黑体"/>
          <w:bCs/>
          <w:szCs w:val="21"/>
        </w:rPr>
      </w:pPr>
      <w:r>
        <w:rPr>
          <w:rFonts w:hint="eastAsia" w:ascii="黑体" w:hAnsi="宋体" w:eastAsia="黑体"/>
          <w:bCs/>
          <w:szCs w:val="21"/>
        </w:rPr>
        <w:t>3 判定规则</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textAlignment w:val="auto"/>
        <w:rPr>
          <w:rFonts w:ascii="宋体" w:hAnsi="宋体"/>
          <w:color w:val="000000"/>
          <w:szCs w:val="21"/>
        </w:rPr>
      </w:pPr>
      <w:r>
        <w:rPr>
          <w:rFonts w:hint="eastAsia" w:ascii="宋体" w:hAnsi="宋体"/>
          <w:color w:val="000000"/>
          <w:szCs w:val="21"/>
        </w:rPr>
        <w:t>3.1</w:t>
      </w:r>
      <w:r>
        <w:rPr>
          <w:rFonts w:hint="eastAsia" w:asciiTheme="minorEastAsia" w:hAnsiTheme="minorEastAsia" w:eastAsiaTheme="minorEastAsia"/>
          <w:szCs w:val="21"/>
          <w:lang w:val="zh-TW" w:eastAsia="zh-TW"/>
        </w:rPr>
        <w:t>依据标准</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lang w:eastAsia="en-US"/>
        </w:rPr>
        <w:t>GB/T 13663</w:t>
      </w:r>
      <w:r>
        <w:rPr>
          <w:rFonts w:hint="eastAsia" w:asciiTheme="minorEastAsia" w:hAnsiTheme="minorEastAsia" w:eastAsiaTheme="minorEastAsia"/>
          <w:szCs w:val="21"/>
        </w:rPr>
        <w:t xml:space="preserve">.2-2018  </w:t>
      </w:r>
      <w:r>
        <w:rPr>
          <w:rFonts w:hint="eastAsia" w:asciiTheme="minorEastAsia" w:hAnsiTheme="minorEastAsia" w:eastAsiaTheme="minorEastAsia"/>
          <w:szCs w:val="21"/>
          <w:lang w:val="zh-TW" w:eastAsia="zh-TW"/>
        </w:rPr>
        <w:t>给水用聚乙烯</w:t>
      </w:r>
      <w:r>
        <w:rPr>
          <w:rFonts w:hint="eastAsia" w:asciiTheme="minorEastAsia" w:hAnsiTheme="minorEastAsia" w:eastAsiaTheme="minorEastAsia"/>
          <w:szCs w:val="21"/>
          <w:lang w:eastAsia="en-US"/>
        </w:rPr>
        <w:t>（PE）</w:t>
      </w:r>
      <w:r>
        <w:rPr>
          <w:rFonts w:hint="eastAsia" w:asciiTheme="minorEastAsia" w:hAnsiTheme="minorEastAsia" w:eastAsiaTheme="minorEastAsia"/>
          <w:szCs w:val="21"/>
          <w:lang w:val="zh-TW" w:eastAsia="zh-TW"/>
        </w:rPr>
        <w:t>管</w:t>
      </w:r>
      <w:r>
        <w:rPr>
          <w:rFonts w:hint="eastAsia" w:asciiTheme="minorEastAsia" w:hAnsiTheme="minorEastAsia" w:eastAsiaTheme="minorEastAsia"/>
          <w:szCs w:val="21"/>
          <w:lang w:val="zh-TW"/>
        </w:rPr>
        <w:t>道系统</w:t>
      </w:r>
      <w:r>
        <w:rPr>
          <w:rFonts w:hint="eastAsia" w:asciiTheme="minorEastAsia" w:hAnsiTheme="minorEastAsia" w:eastAsiaTheme="minorEastAsia"/>
          <w:szCs w:val="21"/>
        </w:rPr>
        <w:t xml:space="preserve"> 第2部分：管材</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textAlignment w:val="auto"/>
        <w:rPr>
          <w:rFonts w:asciiTheme="minorEastAsia" w:hAnsiTheme="minorEastAsia" w:eastAsiaTheme="minorEastAsia"/>
          <w:szCs w:val="21"/>
        </w:rPr>
      </w:pPr>
      <w:r>
        <w:rPr>
          <w:rFonts w:hint="eastAsia" w:asciiTheme="minorEastAsia" w:hAnsiTheme="minorEastAsia" w:eastAsiaTheme="minorEastAsia"/>
          <w:szCs w:val="21"/>
        </w:rPr>
        <w:t>3.2判定原则</w:t>
      </w:r>
    </w:p>
    <w:p>
      <w:pPr>
        <w:pStyle w:val="9"/>
        <w:keepNext w:val="0"/>
        <w:keepLines w:val="0"/>
        <w:pageBreakBefore w:val="0"/>
        <w:widowControl w:val="0"/>
        <w:kinsoku/>
        <w:wordWrap/>
        <w:overflowPunct/>
        <w:topLinePunct w:val="0"/>
        <w:autoSpaceDE/>
        <w:autoSpaceDN/>
        <w:bidi w:val="0"/>
        <w:adjustRightInd w:val="0"/>
        <w:snapToGrid w:val="0"/>
        <w:spacing w:beforeAutospacing="0" w:after="0" w:afterAutospacing="0" w:line="440" w:lineRule="exact"/>
        <w:ind w:firstLine="480"/>
        <w:textAlignment w:val="auto"/>
        <w:rPr>
          <w:rFonts w:cs="Times New Roman" w:asciiTheme="minorEastAsia" w:hAnsiTheme="minorEastAsia" w:eastAsiaTheme="minorEastAsia"/>
          <w:sz w:val="21"/>
          <w:szCs w:val="21"/>
          <w:lang w:val="en-US" w:eastAsia="zh-CN" w:bidi="ar-SA"/>
        </w:rPr>
      </w:pPr>
      <w:r>
        <w:rPr>
          <w:rFonts w:hint="eastAsia" w:cs="Times New Roman" w:asciiTheme="minorEastAsia" w:hAnsiTheme="minorEastAsia" w:eastAsiaTheme="minorEastAsia"/>
          <w:sz w:val="21"/>
          <w:szCs w:val="21"/>
          <w:lang w:val="en-US" w:eastAsia="zh-CN" w:bidi="ar-SA"/>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ascii="宋体" w:hAnsi="宋体" w:cs="宋体"/>
          <w:szCs w:val="21"/>
          <w:shd w:val="clear" w:color="auto" w:fill="FFFFFF"/>
        </w:rPr>
      </w:pPr>
      <w:r>
        <w:rPr>
          <w:color w:val="000000"/>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pacing w:beforeAutospacing="0" w:afterAutospacing="0" w:line="440" w:lineRule="exact"/>
        <w:textAlignment w:val="auto"/>
      </w:pPr>
    </w:p>
    <w:p>
      <w:pPr>
        <w:keepNext w:val="0"/>
        <w:keepLines w:val="0"/>
        <w:pageBreakBefore w:val="0"/>
        <w:widowControl w:val="0"/>
        <w:kinsoku/>
        <w:wordWrap/>
        <w:overflowPunct/>
        <w:topLinePunct w:val="0"/>
        <w:autoSpaceDE/>
        <w:autoSpaceDN/>
        <w:bidi w:val="0"/>
        <w:adjustRightInd/>
        <w:snapToGrid w:val="0"/>
        <w:spacing w:beforeAutospacing="0" w:afterAutospacing="0" w:line="440" w:lineRule="exact"/>
        <w:textAlignment w:val="auto"/>
        <w:rPr>
          <w:rFonts w:hint="eastAsia"/>
          <w:color w:val="000000"/>
          <w:szCs w:val="21"/>
          <w:lang w:val="en-US" w:eastAsia="zh-CN"/>
        </w:rPr>
      </w:pPr>
      <w:bookmarkStart w:id="0" w:name="_GoBack"/>
      <w:r>
        <w:rPr>
          <w:rFonts w:hint="eastAsia" w:ascii="黑体" w:hAnsi="黑体" w:eastAsia="黑体" w:cs="黑体"/>
          <w:color w:val="000000"/>
          <w:szCs w:val="21"/>
          <w:lang w:val="en-US" w:eastAsia="zh-CN"/>
        </w:rPr>
        <w:t>4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color w:val="000000"/>
          <w:szCs w:val="21"/>
        </w:rPr>
      </w:pPr>
      <w:r>
        <w:rPr>
          <w:rFonts w:hint="eastAsia"/>
          <w:color w:val="000000"/>
          <w:szCs w:val="21"/>
        </w:rPr>
        <w:t>本细则代替《省市场监管局关于发布</w:t>
      </w:r>
      <w:r>
        <w:rPr>
          <w:rFonts w:hint="eastAsia"/>
          <w:color w:val="000000"/>
          <w:szCs w:val="21"/>
          <w:lang w:val="en-US" w:eastAsia="zh-CN"/>
        </w:rPr>
        <w:t>2021年版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37</w:t>
      </w:r>
      <w:r>
        <w:rPr>
          <w:rFonts w:hint="eastAsia"/>
          <w:color w:val="000000"/>
          <w:szCs w:val="21"/>
        </w:rPr>
        <w:t>号）中的《贵州省</w:t>
      </w:r>
      <w:r>
        <w:rPr>
          <w:rFonts w:hint="eastAsia"/>
          <w:color w:val="000000"/>
          <w:szCs w:val="21"/>
          <w:lang w:eastAsia="zh-CN"/>
        </w:rPr>
        <w:t>聚乙烯（PE）管材</w:t>
      </w:r>
      <w:r>
        <w:rPr>
          <w:rFonts w:hint="eastAsia"/>
          <w:color w:val="000000"/>
          <w:szCs w:val="21"/>
        </w:rPr>
        <w:t>产品质量监督抽查实施细则（</w:t>
      </w:r>
      <w:r>
        <w:rPr>
          <w:rFonts w:hint="eastAsia" w:ascii="Times New Roman" w:hAnsi="Times New Roman" w:eastAsia="宋体" w:cs="Times New Roman"/>
          <w:color w:val="000000"/>
          <w:szCs w:val="21"/>
          <w:lang w:val="en-US" w:eastAsia="zh-CN"/>
        </w:rPr>
        <w:t>2021年版</w:t>
      </w:r>
      <w:r>
        <w:rPr>
          <w:rFonts w:hint="eastAsia"/>
          <w:color w:val="000000"/>
          <w:szCs w:val="21"/>
        </w:rPr>
        <w:t>）》。</w:t>
      </w:r>
    </w:p>
    <w:bookmarkEnd w:id="0"/>
    <w:p>
      <w:pPr>
        <w:keepNext w:val="0"/>
        <w:keepLines w:val="0"/>
        <w:pageBreakBefore w:val="0"/>
        <w:widowControl w:val="0"/>
        <w:kinsoku/>
        <w:wordWrap/>
        <w:overflowPunct/>
        <w:topLinePunct w:val="0"/>
        <w:autoSpaceDE/>
        <w:autoSpaceDN/>
        <w:bidi w:val="0"/>
        <w:spacing w:beforeAutospacing="0" w:afterAutospacing="0" w:line="44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Sim Sun">
    <w:altName w:val="汉仪仿宋S"/>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9B47F47"/>
    <w:rsid w:val="001318FC"/>
    <w:rsid w:val="00224AFC"/>
    <w:rsid w:val="00440087"/>
    <w:rsid w:val="00802852"/>
    <w:rsid w:val="009D0264"/>
    <w:rsid w:val="00B77A25"/>
    <w:rsid w:val="00B82619"/>
    <w:rsid w:val="00C16E3B"/>
    <w:rsid w:val="00CE703A"/>
    <w:rsid w:val="00D766B3"/>
    <w:rsid w:val="00DD0038"/>
    <w:rsid w:val="00DE79D9"/>
    <w:rsid w:val="00E4057C"/>
    <w:rsid w:val="00EE5E18"/>
    <w:rsid w:val="00F44B3F"/>
    <w:rsid w:val="00F97A0E"/>
    <w:rsid w:val="09821A10"/>
    <w:rsid w:val="09E52DD8"/>
    <w:rsid w:val="0E833B91"/>
    <w:rsid w:val="0EA935CC"/>
    <w:rsid w:val="0ECF628E"/>
    <w:rsid w:val="13B33D8C"/>
    <w:rsid w:val="142C61BE"/>
    <w:rsid w:val="19B47F47"/>
    <w:rsid w:val="23861DA0"/>
    <w:rsid w:val="25E3757E"/>
    <w:rsid w:val="26ED2C4D"/>
    <w:rsid w:val="277E5F32"/>
    <w:rsid w:val="2C54569D"/>
    <w:rsid w:val="2EDC38F9"/>
    <w:rsid w:val="2EF33D8E"/>
    <w:rsid w:val="319020A5"/>
    <w:rsid w:val="339E9585"/>
    <w:rsid w:val="3BA63D36"/>
    <w:rsid w:val="3ED7067D"/>
    <w:rsid w:val="5402742F"/>
    <w:rsid w:val="56CF719D"/>
    <w:rsid w:val="5C3A6FBE"/>
    <w:rsid w:val="5DE1305F"/>
    <w:rsid w:val="5FD82D92"/>
    <w:rsid w:val="647D6B4A"/>
    <w:rsid w:val="66411222"/>
    <w:rsid w:val="6EEB3871"/>
    <w:rsid w:val="75694BA8"/>
    <w:rsid w:val="75FA73D9"/>
    <w:rsid w:val="78C55D52"/>
    <w:rsid w:val="7944316F"/>
    <w:rsid w:val="7DFA0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qFormat/>
    <w:uiPriority w:val="0"/>
    <w:rPr>
      <w:sz w:val="21"/>
      <w:szCs w:val="21"/>
    </w:rPr>
  </w:style>
  <w:style w:type="paragraph" w:customStyle="1" w:styleId="8">
    <w:name w:val="Other|1"/>
    <w:basedOn w:val="1"/>
    <w:qFormat/>
    <w:uiPriority w:val="0"/>
    <w:pPr>
      <w:spacing w:after="40" w:line="346" w:lineRule="auto"/>
      <w:ind w:firstLine="400"/>
    </w:pPr>
    <w:rPr>
      <w:rFonts w:ascii="宋体" w:hAnsi="宋体" w:cs="宋体"/>
      <w:sz w:val="19"/>
      <w:szCs w:val="19"/>
      <w:lang w:val="zh-TW" w:eastAsia="zh-TW" w:bidi="zh-TW"/>
    </w:rPr>
  </w:style>
  <w:style w:type="paragraph" w:customStyle="1" w:styleId="9">
    <w:name w:val="Body text|1"/>
    <w:basedOn w:val="1"/>
    <w:qFormat/>
    <w:uiPriority w:val="0"/>
    <w:pPr>
      <w:spacing w:after="40" w:line="346" w:lineRule="auto"/>
      <w:ind w:firstLine="400"/>
    </w:pPr>
    <w:rPr>
      <w:rFonts w:ascii="宋体" w:hAnsi="宋体" w:cs="宋体"/>
      <w:sz w:val="19"/>
      <w:szCs w:val="19"/>
      <w:lang w:val="zh-TW" w:eastAsia="zh-TW" w:bidi="zh-TW"/>
    </w:rPr>
  </w:style>
  <w:style w:type="character" w:customStyle="1" w:styleId="10">
    <w:name w:val="页眉 Char"/>
    <w:basedOn w:val="6"/>
    <w:link w:val="4"/>
    <w:qFormat/>
    <w:uiPriority w:val="0"/>
    <w:rPr>
      <w:kern w:val="2"/>
      <w:sz w:val="18"/>
      <w:szCs w:val="18"/>
    </w:rPr>
  </w:style>
  <w:style w:type="character" w:customStyle="1" w:styleId="11">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159</Words>
  <Characters>907</Characters>
  <Lines>7</Lines>
  <Paragraphs>2</Paragraphs>
  <TotalTime>0</TotalTime>
  <ScaleCrop>false</ScaleCrop>
  <LinksUpToDate>false</LinksUpToDate>
  <CharactersWithSpaces>1064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2021-04-02T23:18:00Z</dcterms:created>
  <dc:creator>Administrator</dc:creator>
  <cp:lastModifiedBy>ysgz</cp:lastModifiedBy>
  <dcterms:modified xsi:type="dcterms:W3CDTF">2022-04-27T09:51:24Z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425104523_cloud</vt:lpwstr>
  </property>
  <property fmtid="{D5CDD505-2E9C-101B-9397-08002B2CF9AE}" pid="4" name="ICV">
    <vt:lpwstr>49F17AFC507D497BB7B04DB3917E33E3</vt:lpwstr>
  </property>
</Properties>
</file>