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435" w:rsidRDefault="00A73D03">
      <w:pPr>
        <w:adjustRightInd w:val="0"/>
        <w:snapToGrid w:val="0"/>
        <w:spacing w:line="594" w:lineRule="exact"/>
        <w:jc w:val="center"/>
        <w:rPr>
          <w:rFonts w:ascii="Times New Roman" w:eastAsia="方正小标宋简体" w:hAnsi="Times New Roman" w:cs="方正仿宋简体"/>
          <w:color w:val="000000"/>
          <w:sz w:val="32"/>
          <w:szCs w:val="32"/>
        </w:rPr>
      </w:pPr>
      <w:r>
        <w:rPr>
          <w:rFonts w:ascii="Times New Roman" w:eastAsia="方正小标宋简体" w:hAnsi="Times New Roman" w:cs="方正仿宋简体" w:hint="eastAsia"/>
          <w:color w:val="000000"/>
          <w:sz w:val="32"/>
          <w:szCs w:val="32"/>
        </w:rPr>
        <w:t>贵州省</w:t>
      </w:r>
      <w:r>
        <w:rPr>
          <w:rFonts w:ascii="Times New Roman" w:eastAsia="方正小标宋简体" w:hAnsi="Times New Roman" w:cs="方正仿宋简体" w:hint="eastAsia"/>
          <w:color w:val="000000"/>
          <w:sz w:val="32"/>
          <w:szCs w:val="32"/>
        </w:rPr>
        <w:t>预应力混凝土用钢材</w:t>
      </w:r>
      <w:r>
        <w:rPr>
          <w:rFonts w:ascii="Times New Roman" w:eastAsia="方正小标宋简体" w:hAnsi="Times New Roman" w:cs="方正仿宋简体" w:hint="eastAsia"/>
          <w:color w:val="000000"/>
          <w:sz w:val="32"/>
          <w:szCs w:val="32"/>
        </w:rPr>
        <w:t>产品质量监督抽查实施细则</w:t>
      </w:r>
    </w:p>
    <w:p w:rsidR="00E13435" w:rsidRDefault="00A73D03">
      <w:pPr>
        <w:snapToGrid w:val="0"/>
        <w:spacing w:line="440" w:lineRule="exact"/>
        <w:jc w:val="center"/>
        <w:rPr>
          <w:rFonts w:eastAsia="黑体"/>
          <w:color w:val="000000"/>
          <w:szCs w:val="21"/>
        </w:rPr>
      </w:pPr>
      <w:r>
        <w:rPr>
          <w:rFonts w:ascii="Times New Roman" w:eastAsia="方正小标宋简体" w:hAnsi="Times New Roman" w:cs="方正仿宋简体" w:hint="eastAsia"/>
          <w:color w:val="000000"/>
          <w:sz w:val="32"/>
          <w:szCs w:val="32"/>
        </w:rPr>
        <w:t>（</w:t>
      </w:r>
      <w:r>
        <w:rPr>
          <w:rFonts w:ascii="Times New Roman" w:eastAsia="方正小标宋简体" w:hAnsi="Times New Roman" w:cs="方正仿宋简体" w:hint="eastAsia"/>
          <w:color w:val="000000"/>
          <w:sz w:val="32"/>
          <w:szCs w:val="32"/>
        </w:rPr>
        <w:t>202</w:t>
      </w:r>
      <w:r w:rsidR="00005D50">
        <w:rPr>
          <w:rFonts w:ascii="Times New Roman" w:eastAsia="方正小标宋简体" w:hAnsi="Times New Roman" w:cs="方正仿宋简体" w:hint="eastAsia"/>
          <w:color w:val="000000"/>
          <w:sz w:val="32"/>
          <w:szCs w:val="32"/>
        </w:rPr>
        <w:t>2</w:t>
      </w:r>
      <w:r>
        <w:rPr>
          <w:rFonts w:ascii="Times New Roman" w:eastAsia="方正小标宋简体" w:hAnsi="Times New Roman" w:cs="方正仿宋简体" w:hint="eastAsia"/>
          <w:color w:val="000000"/>
          <w:sz w:val="32"/>
          <w:szCs w:val="32"/>
        </w:rPr>
        <w:t>年版）</w:t>
      </w:r>
    </w:p>
    <w:p w:rsidR="00E13435" w:rsidRDefault="00E13435">
      <w:pPr>
        <w:snapToGrid w:val="0"/>
        <w:spacing w:line="440" w:lineRule="exact"/>
        <w:rPr>
          <w:rFonts w:eastAsia="黑体"/>
          <w:color w:val="000000"/>
          <w:szCs w:val="21"/>
        </w:rPr>
      </w:pPr>
    </w:p>
    <w:p w:rsidR="00E13435" w:rsidRDefault="00A73D03">
      <w:pPr>
        <w:snapToGrid w:val="0"/>
        <w:spacing w:line="440" w:lineRule="exact"/>
        <w:rPr>
          <w:rFonts w:eastAsia="黑体"/>
          <w:color w:val="000000"/>
          <w:szCs w:val="21"/>
        </w:rPr>
      </w:pPr>
      <w:r>
        <w:rPr>
          <w:rFonts w:eastAsia="黑体"/>
          <w:color w:val="000000"/>
          <w:szCs w:val="21"/>
        </w:rPr>
        <w:t xml:space="preserve">1 </w:t>
      </w:r>
      <w:r>
        <w:rPr>
          <w:rFonts w:eastAsia="黑体"/>
          <w:color w:val="000000"/>
          <w:szCs w:val="21"/>
        </w:rPr>
        <w:t>抽样方法</w:t>
      </w:r>
    </w:p>
    <w:p w:rsidR="00E13435" w:rsidRDefault="00A73D03">
      <w:pPr>
        <w:snapToGrid w:val="0"/>
        <w:spacing w:line="440" w:lineRule="exact"/>
        <w:ind w:firstLineChars="200" w:firstLine="420"/>
        <w:rPr>
          <w:color w:val="000000"/>
          <w:szCs w:val="21"/>
        </w:rPr>
      </w:pPr>
      <w:r>
        <w:rPr>
          <w:color w:val="000000"/>
          <w:szCs w:val="21"/>
        </w:rPr>
        <w:t>以随机抽样的方式在被抽样生产者、销售者的待销产品中抽取。</w:t>
      </w:r>
    </w:p>
    <w:p w:rsidR="00E13435" w:rsidRDefault="00A73D03">
      <w:pPr>
        <w:snapToGrid w:val="0"/>
        <w:spacing w:line="440" w:lineRule="exact"/>
        <w:ind w:firstLineChars="200" w:firstLine="420"/>
        <w:rPr>
          <w:rFonts w:ascii="宋体" w:hAnsi="宋体"/>
          <w:color w:val="000000"/>
          <w:szCs w:val="21"/>
        </w:rPr>
      </w:pPr>
      <w:r>
        <w:rPr>
          <w:rFonts w:ascii="宋体" w:hAnsi="宋体" w:hint="eastAsia"/>
          <w:color w:val="000000"/>
          <w:szCs w:val="21"/>
        </w:rPr>
        <w:t>随机数一般可使用随机数表等方法产生。</w:t>
      </w:r>
    </w:p>
    <w:p w:rsidR="00E13435" w:rsidRDefault="00A73D03">
      <w:pPr>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在同一规格、批次产品中随机抽取</w:t>
      </w:r>
      <w:r>
        <w:rPr>
          <w:rFonts w:ascii="Times New Roman" w:eastAsia="宋体" w:hAnsi="Times New Roman" w:cs="Times New Roman" w:hint="eastAsia"/>
          <w:szCs w:val="21"/>
        </w:rPr>
        <w:t>3</w:t>
      </w:r>
      <w:r>
        <w:rPr>
          <w:rFonts w:ascii="Times New Roman" w:eastAsia="宋体" w:hAnsi="Times New Roman" w:cs="Times New Roman" w:hint="eastAsia"/>
          <w:szCs w:val="21"/>
        </w:rPr>
        <w:t>根长</w:t>
      </w:r>
      <w:r>
        <w:rPr>
          <w:rFonts w:ascii="Times New Roman" w:eastAsia="宋体" w:hAnsi="Times New Roman" w:cs="Times New Roman" w:hint="eastAsia"/>
          <w:szCs w:val="21"/>
        </w:rPr>
        <w:t>2000mm</w:t>
      </w:r>
      <w:r>
        <w:rPr>
          <w:rFonts w:ascii="Times New Roman" w:eastAsia="宋体" w:hAnsi="Times New Roman" w:cs="Times New Roman" w:hint="eastAsia"/>
          <w:szCs w:val="21"/>
        </w:rPr>
        <w:t>的试样，再将该试样截为两段，每段长度</w:t>
      </w:r>
      <w:r>
        <w:rPr>
          <w:rFonts w:ascii="Times New Roman" w:eastAsia="宋体" w:hAnsi="Times New Roman" w:cs="Times New Roman" w:hint="eastAsia"/>
          <w:szCs w:val="21"/>
        </w:rPr>
        <w:t xml:space="preserve"> 1000mm</w:t>
      </w:r>
      <w:r>
        <w:rPr>
          <w:rFonts w:ascii="Times New Roman" w:eastAsia="宋体" w:hAnsi="Times New Roman" w:cs="Times New Roman" w:hint="eastAsia"/>
          <w:szCs w:val="21"/>
        </w:rPr>
        <w:t>，分别依次编号，并一一对应（如</w:t>
      </w:r>
      <w:r>
        <w:rPr>
          <w:rFonts w:ascii="Times New Roman" w:eastAsia="宋体" w:hAnsi="Times New Roman" w:cs="Times New Roman" w:hint="eastAsia"/>
          <w:szCs w:val="21"/>
        </w:rPr>
        <w:t>1-a</w:t>
      </w:r>
      <w:r>
        <w:rPr>
          <w:rFonts w:ascii="Times New Roman" w:eastAsia="宋体" w:hAnsi="Times New Roman" w:cs="Times New Roman" w:hint="eastAsia"/>
          <w:szCs w:val="21"/>
        </w:rPr>
        <w:t>，</w:t>
      </w:r>
      <w:r>
        <w:rPr>
          <w:rFonts w:ascii="Times New Roman" w:eastAsia="宋体" w:hAnsi="Times New Roman" w:cs="Times New Roman" w:hint="eastAsia"/>
          <w:szCs w:val="21"/>
        </w:rPr>
        <w:t>1-b</w:t>
      </w:r>
      <w:r>
        <w:rPr>
          <w:rFonts w:ascii="Times New Roman" w:eastAsia="宋体" w:hAnsi="Times New Roman" w:cs="Times New Roman" w:hint="eastAsia"/>
          <w:szCs w:val="21"/>
        </w:rPr>
        <w:t>）。</w:t>
      </w:r>
      <w:r>
        <w:rPr>
          <w:rFonts w:ascii="Times New Roman" w:eastAsia="宋体" w:hAnsi="Times New Roman" w:cs="Times New Roman"/>
          <w:szCs w:val="21"/>
        </w:rPr>
        <w:t>再</w:t>
      </w:r>
      <w:r>
        <w:rPr>
          <w:rFonts w:ascii="Times New Roman" w:eastAsia="宋体" w:hAnsi="Times New Roman" w:cs="Times New Roman" w:hint="eastAsia"/>
          <w:szCs w:val="21"/>
        </w:rPr>
        <w:t>随机抽取</w:t>
      </w:r>
      <w:r>
        <w:rPr>
          <w:rFonts w:ascii="Times New Roman" w:eastAsia="宋体" w:hAnsi="Times New Roman" w:cs="Times New Roman" w:hint="eastAsia"/>
          <w:szCs w:val="21"/>
        </w:rPr>
        <w:t>2</w:t>
      </w:r>
      <w:r>
        <w:rPr>
          <w:rFonts w:ascii="Times New Roman" w:eastAsia="宋体" w:hAnsi="Times New Roman" w:cs="Times New Roman" w:hint="eastAsia"/>
          <w:szCs w:val="21"/>
        </w:rPr>
        <w:t>支</w:t>
      </w:r>
      <w:r>
        <w:rPr>
          <w:rFonts w:ascii="Times New Roman" w:eastAsia="宋体" w:hAnsi="Times New Roman" w:cs="Times New Roman" w:hint="eastAsia"/>
          <w:szCs w:val="21"/>
        </w:rPr>
        <w:t>3000mm</w:t>
      </w:r>
      <w:r>
        <w:rPr>
          <w:rFonts w:ascii="Times New Roman" w:eastAsia="宋体" w:hAnsi="Times New Roman" w:cs="Times New Roman" w:hint="eastAsia"/>
          <w:szCs w:val="21"/>
        </w:rPr>
        <w:t>样品（松弛试验用），做出一一对应标识（如</w:t>
      </w:r>
      <w:r>
        <w:rPr>
          <w:rFonts w:ascii="Times New Roman" w:eastAsia="宋体" w:hAnsi="Times New Roman" w:cs="Times New Roman" w:hint="eastAsia"/>
          <w:szCs w:val="21"/>
        </w:rPr>
        <w:t>1-a</w:t>
      </w:r>
      <w:r>
        <w:rPr>
          <w:rFonts w:ascii="Times New Roman" w:eastAsia="宋体" w:hAnsi="Times New Roman" w:cs="Times New Roman" w:hint="eastAsia"/>
          <w:szCs w:val="21"/>
        </w:rPr>
        <w:t>，</w:t>
      </w:r>
      <w:r>
        <w:rPr>
          <w:rFonts w:ascii="Times New Roman" w:eastAsia="宋体" w:hAnsi="Times New Roman" w:cs="Times New Roman" w:hint="eastAsia"/>
          <w:szCs w:val="21"/>
        </w:rPr>
        <w:t>1-b</w:t>
      </w:r>
      <w:r>
        <w:rPr>
          <w:rFonts w:ascii="Times New Roman" w:eastAsia="宋体" w:hAnsi="Times New Roman" w:cs="Times New Roman" w:hint="eastAsia"/>
          <w:szCs w:val="21"/>
        </w:rPr>
        <w:t>）。所有抽标记</w:t>
      </w:r>
      <w:r>
        <w:rPr>
          <w:rFonts w:ascii="Times New Roman" w:eastAsia="宋体" w:hAnsi="Times New Roman" w:cs="Times New Roman" w:hint="eastAsia"/>
          <w:szCs w:val="21"/>
        </w:rPr>
        <w:t xml:space="preserve"> a </w:t>
      </w:r>
      <w:r>
        <w:rPr>
          <w:rFonts w:ascii="Times New Roman" w:eastAsia="宋体" w:hAnsi="Times New Roman" w:cs="Times New Roman" w:hint="eastAsia"/>
          <w:szCs w:val="21"/>
        </w:rPr>
        <w:t>的样品为检验样品，标记</w:t>
      </w:r>
      <w:r>
        <w:rPr>
          <w:rFonts w:ascii="Times New Roman" w:eastAsia="宋体" w:hAnsi="Times New Roman" w:cs="Times New Roman" w:hint="eastAsia"/>
          <w:szCs w:val="21"/>
        </w:rPr>
        <w:t xml:space="preserve"> b </w:t>
      </w:r>
      <w:r>
        <w:rPr>
          <w:rFonts w:ascii="Times New Roman" w:eastAsia="宋体" w:hAnsi="Times New Roman" w:cs="Times New Roman" w:hint="eastAsia"/>
          <w:szCs w:val="21"/>
        </w:rPr>
        <w:t>的样品为备用样品。</w:t>
      </w:r>
    </w:p>
    <w:p w:rsidR="00E13435" w:rsidRDefault="00E13435">
      <w:pPr>
        <w:spacing w:line="440" w:lineRule="exact"/>
        <w:rPr>
          <w:rFonts w:ascii="Times New Roman" w:eastAsia="宋体" w:hAnsi="Times New Roman" w:cs="Times New Roman"/>
          <w:szCs w:val="21"/>
        </w:rPr>
      </w:pPr>
    </w:p>
    <w:p w:rsidR="00E13435" w:rsidRDefault="00A73D03">
      <w:pPr>
        <w:spacing w:line="440" w:lineRule="exact"/>
        <w:rPr>
          <w:rFonts w:eastAsia="黑体"/>
          <w:color w:val="000000"/>
          <w:szCs w:val="21"/>
        </w:rPr>
      </w:pPr>
      <w:r>
        <w:rPr>
          <w:rFonts w:eastAsia="黑体"/>
          <w:color w:val="000000"/>
          <w:szCs w:val="21"/>
        </w:rPr>
        <w:t xml:space="preserve">2 </w:t>
      </w:r>
      <w:r>
        <w:rPr>
          <w:rFonts w:eastAsia="黑体"/>
          <w:color w:val="000000"/>
          <w:szCs w:val="21"/>
        </w:rPr>
        <w:t>检验依据</w:t>
      </w:r>
    </w:p>
    <w:p w:rsidR="00E13435" w:rsidRDefault="00A73D03">
      <w:pPr>
        <w:spacing w:line="500" w:lineRule="exact"/>
        <w:jc w:val="center"/>
        <w:rPr>
          <w:rFonts w:ascii="宋体" w:hAnsi="宋体"/>
          <w:szCs w:val="21"/>
        </w:rPr>
      </w:pPr>
      <w:r>
        <w:rPr>
          <w:rFonts w:ascii="宋体" w:hAnsi="宋体" w:hint="eastAsia"/>
          <w:szCs w:val="21"/>
        </w:rPr>
        <w:t>表</w:t>
      </w:r>
      <w:r>
        <w:rPr>
          <w:rFonts w:ascii="宋体" w:hAnsi="宋体" w:hint="eastAsia"/>
          <w:szCs w:val="21"/>
        </w:rPr>
        <w:t xml:space="preserve">1  </w:t>
      </w:r>
      <w:r>
        <w:rPr>
          <w:rFonts w:ascii="宋体" w:hAnsi="宋体" w:hint="eastAsia"/>
          <w:szCs w:val="21"/>
        </w:rPr>
        <w:t>预应力混凝土用钢绞线</w:t>
      </w:r>
    </w:p>
    <w:tbl>
      <w:tblPr>
        <w:tblW w:w="9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
        <w:gridCol w:w="1035"/>
        <w:gridCol w:w="767"/>
        <w:gridCol w:w="4503"/>
        <w:gridCol w:w="1906"/>
      </w:tblGrid>
      <w:tr w:rsidR="00E13435">
        <w:trPr>
          <w:trHeight w:val="312"/>
          <w:tblHeader/>
          <w:jc w:val="center"/>
        </w:trPr>
        <w:tc>
          <w:tcPr>
            <w:tcW w:w="957" w:type="dxa"/>
            <w:vMerge w:val="restart"/>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序号</w:t>
            </w:r>
          </w:p>
        </w:tc>
        <w:tc>
          <w:tcPr>
            <w:tcW w:w="6305" w:type="dxa"/>
            <w:gridSpan w:val="3"/>
            <w:vMerge w:val="restart"/>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检验项目</w:t>
            </w:r>
          </w:p>
        </w:tc>
        <w:tc>
          <w:tcPr>
            <w:tcW w:w="1906" w:type="dxa"/>
            <w:vMerge w:val="restart"/>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检测方法</w:t>
            </w:r>
          </w:p>
        </w:tc>
      </w:tr>
      <w:tr w:rsidR="00E13435">
        <w:trPr>
          <w:trHeight w:val="312"/>
          <w:tblHeader/>
          <w:jc w:val="center"/>
        </w:trPr>
        <w:tc>
          <w:tcPr>
            <w:tcW w:w="957" w:type="dxa"/>
            <w:vMerge/>
            <w:vAlign w:val="center"/>
          </w:tcPr>
          <w:p w:rsidR="00E13435" w:rsidRDefault="00E13435">
            <w:pPr>
              <w:snapToGrid w:val="0"/>
              <w:ind w:firstLine="420"/>
              <w:jc w:val="center"/>
              <w:rPr>
                <w:rFonts w:asciiTheme="minorEastAsia" w:hAnsiTheme="minorEastAsia" w:cstheme="minorEastAsia"/>
                <w:color w:val="000000"/>
                <w:sz w:val="18"/>
                <w:szCs w:val="18"/>
              </w:rPr>
            </w:pPr>
          </w:p>
        </w:tc>
        <w:tc>
          <w:tcPr>
            <w:tcW w:w="6305" w:type="dxa"/>
            <w:gridSpan w:val="3"/>
            <w:vMerge/>
            <w:vAlign w:val="center"/>
          </w:tcPr>
          <w:p w:rsidR="00E13435" w:rsidRDefault="00E13435">
            <w:pPr>
              <w:snapToGrid w:val="0"/>
              <w:ind w:firstLine="420"/>
              <w:jc w:val="center"/>
              <w:rPr>
                <w:rFonts w:asciiTheme="minorEastAsia" w:hAnsiTheme="minorEastAsia" w:cstheme="minorEastAsia"/>
                <w:color w:val="000000"/>
                <w:sz w:val="18"/>
                <w:szCs w:val="18"/>
              </w:rPr>
            </w:pPr>
          </w:p>
        </w:tc>
        <w:tc>
          <w:tcPr>
            <w:tcW w:w="1906" w:type="dxa"/>
            <w:vMerge/>
            <w:vAlign w:val="center"/>
          </w:tcPr>
          <w:p w:rsidR="00E13435" w:rsidRDefault="00E13435">
            <w:pPr>
              <w:snapToGrid w:val="0"/>
              <w:ind w:firstLine="420"/>
              <w:jc w:val="center"/>
              <w:rPr>
                <w:rFonts w:asciiTheme="minorEastAsia" w:hAnsiTheme="minorEastAsia" w:cstheme="minorEastAsia"/>
                <w:color w:val="000000"/>
                <w:sz w:val="18"/>
                <w:szCs w:val="18"/>
              </w:rPr>
            </w:pPr>
          </w:p>
        </w:tc>
      </w:tr>
      <w:tr w:rsidR="00E13435">
        <w:trPr>
          <w:trHeight w:val="482"/>
          <w:jc w:val="center"/>
        </w:trPr>
        <w:tc>
          <w:tcPr>
            <w:tcW w:w="957" w:type="dxa"/>
            <w:vMerge w:val="restart"/>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w:t>
            </w:r>
          </w:p>
        </w:tc>
        <w:tc>
          <w:tcPr>
            <w:tcW w:w="1035" w:type="dxa"/>
            <w:vMerge w:val="restart"/>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力</w:t>
            </w:r>
          </w:p>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学</w:t>
            </w:r>
          </w:p>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性</w:t>
            </w:r>
          </w:p>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能</w:t>
            </w:r>
          </w:p>
        </w:tc>
        <w:tc>
          <w:tcPr>
            <w:tcW w:w="767" w:type="dxa"/>
            <w:vMerge w:val="restart"/>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拉</w:t>
            </w:r>
          </w:p>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伸</w:t>
            </w:r>
          </w:p>
        </w:tc>
        <w:tc>
          <w:tcPr>
            <w:tcW w:w="4503" w:type="dxa"/>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抗拉强度</w:t>
            </w:r>
          </w:p>
        </w:tc>
        <w:tc>
          <w:tcPr>
            <w:tcW w:w="1906" w:type="dxa"/>
            <w:vMerge w:val="restart"/>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GB/T 228.1-2010</w:t>
            </w:r>
          </w:p>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GB/T 21839-2019</w:t>
            </w:r>
          </w:p>
        </w:tc>
      </w:tr>
      <w:tr w:rsidR="00E13435">
        <w:trPr>
          <w:trHeight w:val="482"/>
          <w:jc w:val="center"/>
        </w:trPr>
        <w:tc>
          <w:tcPr>
            <w:tcW w:w="957"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1035"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767"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4503" w:type="dxa"/>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整根钢绞线的</w:t>
            </w:r>
            <w:proofErr w:type="gramStart"/>
            <w:r>
              <w:rPr>
                <w:rFonts w:asciiTheme="minorEastAsia" w:hAnsiTheme="minorEastAsia" w:cstheme="minorEastAsia" w:hint="eastAsia"/>
                <w:color w:val="000000"/>
                <w:sz w:val="18"/>
                <w:szCs w:val="18"/>
              </w:rPr>
              <w:t>最大力</w:t>
            </w:r>
            <w:proofErr w:type="gramEnd"/>
          </w:p>
        </w:tc>
        <w:tc>
          <w:tcPr>
            <w:tcW w:w="1906" w:type="dxa"/>
            <w:vMerge/>
            <w:vAlign w:val="center"/>
          </w:tcPr>
          <w:p w:rsidR="00E13435" w:rsidRDefault="00E13435">
            <w:pPr>
              <w:snapToGrid w:val="0"/>
              <w:jc w:val="center"/>
              <w:rPr>
                <w:rFonts w:asciiTheme="minorEastAsia" w:hAnsiTheme="minorEastAsia" w:cstheme="minorEastAsia"/>
                <w:color w:val="000000"/>
                <w:sz w:val="18"/>
                <w:szCs w:val="18"/>
              </w:rPr>
            </w:pPr>
          </w:p>
        </w:tc>
      </w:tr>
      <w:tr w:rsidR="00E13435">
        <w:trPr>
          <w:trHeight w:val="482"/>
          <w:jc w:val="center"/>
        </w:trPr>
        <w:tc>
          <w:tcPr>
            <w:tcW w:w="957"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1035"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767"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4503" w:type="dxa"/>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规定非比例延伸力</w:t>
            </w:r>
          </w:p>
        </w:tc>
        <w:tc>
          <w:tcPr>
            <w:tcW w:w="1906" w:type="dxa"/>
            <w:vMerge/>
            <w:vAlign w:val="center"/>
          </w:tcPr>
          <w:p w:rsidR="00E13435" w:rsidRDefault="00E13435">
            <w:pPr>
              <w:snapToGrid w:val="0"/>
              <w:jc w:val="center"/>
              <w:rPr>
                <w:rFonts w:asciiTheme="minorEastAsia" w:hAnsiTheme="minorEastAsia" w:cstheme="minorEastAsia"/>
                <w:color w:val="000000"/>
                <w:sz w:val="18"/>
                <w:szCs w:val="18"/>
              </w:rPr>
            </w:pPr>
          </w:p>
        </w:tc>
      </w:tr>
      <w:tr w:rsidR="00E13435">
        <w:trPr>
          <w:trHeight w:val="482"/>
          <w:jc w:val="center"/>
        </w:trPr>
        <w:tc>
          <w:tcPr>
            <w:tcW w:w="957"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1035"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767"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4503" w:type="dxa"/>
            <w:vAlign w:val="center"/>
          </w:tcPr>
          <w:p w:rsidR="00E13435" w:rsidRDefault="00A73D03">
            <w:pPr>
              <w:snapToGrid w:val="0"/>
              <w:jc w:val="center"/>
              <w:rPr>
                <w:rFonts w:asciiTheme="minorEastAsia" w:hAnsiTheme="minorEastAsia" w:cstheme="minorEastAsia"/>
                <w:color w:val="000000"/>
                <w:sz w:val="18"/>
                <w:szCs w:val="18"/>
              </w:rPr>
            </w:pPr>
            <w:proofErr w:type="gramStart"/>
            <w:r>
              <w:rPr>
                <w:rFonts w:asciiTheme="minorEastAsia" w:hAnsiTheme="minorEastAsia" w:cstheme="minorEastAsia" w:hint="eastAsia"/>
                <w:color w:val="000000"/>
                <w:sz w:val="18"/>
                <w:szCs w:val="18"/>
              </w:rPr>
              <w:t>最大力</w:t>
            </w:r>
            <w:proofErr w:type="gramEnd"/>
            <w:r>
              <w:rPr>
                <w:rFonts w:asciiTheme="minorEastAsia" w:hAnsiTheme="minorEastAsia" w:cstheme="minorEastAsia" w:hint="eastAsia"/>
                <w:color w:val="000000"/>
                <w:sz w:val="18"/>
                <w:szCs w:val="18"/>
              </w:rPr>
              <w:t>总伸长率</w:t>
            </w:r>
          </w:p>
        </w:tc>
        <w:tc>
          <w:tcPr>
            <w:tcW w:w="1906" w:type="dxa"/>
            <w:vMerge/>
            <w:vAlign w:val="center"/>
          </w:tcPr>
          <w:p w:rsidR="00E13435" w:rsidRDefault="00E13435">
            <w:pPr>
              <w:snapToGrid w:val="0"/>
              <w:jc w:val="center"/>
              <w:rPr>
                <w:rFonts w:asciiTheme="minorEastAsia" w:hAnsiTheme="minorEastAsia" w:cstheme="minorEastAsia"/>
                <w:color w:val="000000"/>
                <w:sz w:val="18"/>
                <w:szCs w:val="18"/>
              </w:rPr>
            </w:pPr>
          </w:p>
        </w:tc>
      </w:tr>
      <w:tr w:rsidR="00E13435">
        <w:trPr>
          <w:trHeight w:val="482"/>
          <w:jc w:val="center"/>
        </w:trPr>
        <w:tc>
          <w:tcPr>
            <w:tcW w:w="957"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1035"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5270" w:type="dxa"/>
            <w:gridSpan w:val="2"/>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松弛率</w:t>
            </w:r>
          </w:p>
        </w:tc>
        <w:tc>
          <w:tcPr>
            <w:tcW w:w="1906" w:type="dxa"/>
            <w:vMerge/>
            <w:vAlign w:val="center"/>
          </w:tcPr>
          <w:p w:rsidR="00E13435" w:rsidRDefault="00E13435">
            <w:pPr>
              <w:snapToGrid w:val="0"/>
              <w:jc w:val="center"/>
              <w:rPr>
                <w:rFonts w:asciiTheme="minorEastAsia" w:hAnsiTheme="minorEastAsia" w:cstheme="minorEastAsia"/>
                <w:color w:val="000000"/>
                <w:sz w:val="18"/>
                <w:szCs w:val="18"/>
              </w:rPr>
            </w:pPr>
          </w:p>
        </w:tc>
      </w:tr>
    </w:tbl>
    <w:p w:rsidR="00E13435" w:rsidRDefault="00E13435">
      <w:pPr>
        <w:spacing w:line="440" w:lineRule="exact"/>
        <w:rPr>
          <w:rFonts w:eastAsia="黑体"/>
          <w:color w:val="000000"/>
          <w:szCs w:val="21"/>
        </w:rPr>
      </w:pPr>
    </w:p>
    <w:p w:rsidR="00E13435" w:rsidRDefault="00A73D03">
      <w:pPr>
        <w:spacing w:line="500" w:lineRule="exact"/>
        <w:jc w:val="center"/>
        <w:rPr>
          <w:rFonts w:ascii="宋体" w:hAnsi="宋体"/>
          <w:szCs w:val="21"/>
        </w:rPr>
      </w:pPr>
      <w:r>
        <w:rPr>
          <w:rFonts w:ascii="宋体" w:hAnsi="宋体" w:hint="eastAsia"/>
          <w:szCs w:val="21"/>
        </w:rPr>
        <w:t>表</w:t>
      </w:r>
      <w:r>
        <w:rPr>
          <w:rFonts w:ascii="宋体" w:hAnsi="宋体" w:hint="eastAsia"/>
          <w:szCs w:val="21"/>
        </w:rPr>
        <w:t xml:space="preserve">2  </w:t>
      </w:r>
      <w:r>
        <w:rPr>
          <w:rFonts w:ascii="宋体" w:hAnsi="宋体" w:hint="eastAsia"/>
          <w:szCs w:val="21"/>
        </w:rPr>
        <w:t>预应力混凝土用钢丝</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038"/>
        <w:gridCol w:w="761"/>
        <w:gridCol w:w="4502"/>
        <w:gridCol w:w="1907"/>
      </w:tblGrid>
      <w:tr w:rsidR="00E13435">
        <w:trPr>
          <w:trHeight w:val="312"/>
          <w:tblHeader/>
          <w:jc w:val="center"/>
        </w:trPr>
        <w:tc>
          <w:tcPr>
            <w:tcW w:w="959" w:type="dxa"/>
            <w:vMerge w:val="restart"/>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序号</w:t>
            </w:r>
          </w:p>
        </w:tc>
        <w:tc>
          <w:tcPr>
            <w:tcW w:w="6301" w:type="dxa"/>
            <w:gridSpan w:val="3"/>
            <w:vMerge w:val="restart"/>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检验项目</w:t>
            </w:r>
          </w:p>
        </w:tc>
        <w:tc>
          <w:tcPr>
            <w:tcW w:w="1907" w:type="dxa"/>
            <w:vMerge w:val="restart"/>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检测方法</w:t>
            </w:r>
          </w:p>
        </w:tc>
      </w:tr>
      <w:tr w:rsidR="00E13435">
        <w:trPr>
          <w:trHeight w:val="312"/>
          <w:tblHeader/>
          <w:jc w:val="center"/>
        </w:trPr>
        <w:tc>
          <w:tcPr>
            <w:tcW w:w="959" w:type="dxa"/>
            <w:vMerge/>
            <w:vAlign w:val="center"/>
          </w:tcPr>
          <w:p w:rsidR="00E13435" w:rsidRDefault="00E13435">
            <w:pPr>
              <w:snapToGrid w:val="0"/>
              <w:ind w:firstLine="420"/>
              <w:jc w:val="center"/>
              <w:rPr>
                <w:rFonts w:asciiTheme="minorEastAsia" w:hAnsiTheme="minorEastAsia" w:cstheme="minorEastAsia"/>
                <w:color w:val="000000"/>
                <w:sz w:val="18"/>
                <w:szCs w:val="18"/>
              </w:rPr>
            </w:pPr>
          </w:p>
        </w:tc>
        <w:tc>
          <w:tcPr>
            <w:tcW w:w="6301" w:type="dxa"/>
            <w:gridSpan w:val="3"/>
            <w:vMerge/>
            <w:vAlign w:val="center"/>
          </w:tcPr>
          <w:p w:rsidR="00E13435" w:rsidRDefault="00E13435">
            <w:pPr>
              <w:snapToGrid w:val="0"/>
              <w:ind w:firstLine="420"/>
              <w:jc w:val="center"/>
              <w:rPr>
                <w:rFonts w:asciiTheme="minorEastAsia" w:hAnsiTheme="minorEastAsia" w:cstheme="minorEastAsia"/>
                <w:color w:val="000000"/>
                <w:sz w:val="18"/>
                <w:szCs w:val="18"/>
              </w:rPr>
            </w:pPr>
          </w:p>
        </w:tc>
        <w:tc>
          <w:tcPr>
            <w:tcW w:w="1907" w:type="dxa"/>
            <w:vMerge/>
            <w:vAlign w:val="center"/>
          </w:tcPr>
          <w:p w:rsidR="00E13435" w:rsidRDefault="00E13435">
            <w:pPr>
              <w:snapToGrid w:val="0"/>
              <w:ind w:firstLine="420"/>
              <w:jc w:val="center"/>
              <w:rPr>
                <w:rFonts w:asciiTheme="minorEastAsia" w:hAnsiTheme="minorEastAsia" w:cstheme="minorEastAsia"/>
                <w:color w:val="000000"/>
                <w:sz w:val="18"/>
                <w:szCs w:val="18"/>
              </w:rPr>
            </w:pPr>
          </w:p>
        </w:tc>
      </w:tr>
      <w:tr w:rsidR="00E13435">
        <w:trPr>
          <w:trHeight w:val="683"/>
          <w:jc w:val="center"/>
        </w:trPr>
        <w:tc>
          <w:tcPr>
            <w:tcW w:w="959" w:type="dxa"/>
            <w:vMerge w:val="restart"/>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w:t>
            </w:r>
          </w:p>
        </w:tc>
        <w:tc>
          <w:tcPr>
            <w:tcW w:w="1038" w:type="dxa"/>
            <w:vMerge w:val="restart"/>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力学</w:t>
            </w:r>
          </w:p>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性能</w:t>
            </w:r>
          </w:p>
        </w:tc>
        <w:tc>
          <w:tcPr>
            <w:tcW w:w="761" w:type="dxa"/>
            <w:vMerge w:val="restart"/>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拉伸</w:t>
            </w:r>
          </w:p>
        </w:tc>
        <w:tc>
          <w:tcPr>
            <w:tcW w:w="4502" w:type="dxa"/>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抗拉强度</w:t>
            </w:r>
          </w:p>
        </w:tc>
        <w:tc>
          <w:tcPr>
            <w:tcW w:w="1907" w:type="dxa"/>
            <w:vMerge w:val="restart"/>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GB/T 228.1-2010</w:t>
            </w:r>
          </w:p>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GB/T 21839-2019</w:t>
            </w:r>
          </w:p>
        </w:tc>
      </w:tr>
      <w:tr w:rsidR="00E13435">
        <w:trPr>
          <w:trHeight w:val="482"/>
          <w:jc w:val="center"/>
        </w:trPr>
        <w:tc>
          <w:tcPr>
            <w:tcW w:w="959"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1038"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761"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4502" w:type="dxa"/>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规定非比例伸长应力</w:t>
            </w:r>
          </w:p>
        </w:tc>
        <w:tc>
          <w:tcPr>
            <w:tcW w:w="1907" w:type="dxa"/>
            <w:vMerge/>
            <w:vAlign w:val="center"/>
          </w:tcPr>
          <w:p w:rsidR="00E13435" w:rsidRDefault="00E13435">
            <w:pPr>
              <w:snapToGrid w:val="0"/>
              <w:jc w:val="center"/>
              <w:rPr>
                <w:rFonts w:asciiTheme="minorEastAsia" w:hAnsiTheme="minorEastAsia" w:cstheme="minorEastAsia"/>
                <w:color w:val="000000"/>
                <w:sz w:val="18"/>
                <w:szCs w:val="18"/>
              </w:rPr>
            </w:pPr>
          </w:p>
        </w:tc>
      </w:tr>
      <w:tr w:rsidR="00E13435">
        <w:trPr>
          <w:trHeight w:val="482"/>
          <w:jc w:val="center"/>
        </w:trPr>
        <w:tc>
          <w:tcPr>
            <w:tcW w:w="959"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1038"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761"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4502" w:type="dxa"/>
            <w:vAlign w:val="center"/>
          </w:tcPr>
          <w:p w:rsidR="00E13435" w:rsidRDefault="00A73D03">
            <w:pPr>
              <w:snapToGrid w:val="0"/>
              <w:jc w:val="center"/>
              <w:rPr>
                <w:rFonts w:asciiTheme="minorEastAsia" w:hAnsiTheme="minorEastAsia" w:cstheme="minorEastAsia"/>
                <w:color w:val="000000"/>
                <w:sz w:val="18"/>
                <w:szCs w:val="18"/>
              </w:rPr>
            </w:pPr>
            <w:proofErr w:type="gramStart"/>
            <w:r>
              <w:rPr>
                <w:rFonts w:asciiTheme="minorEastAsia" w:hAnsiTheme="minorEastAsia" w:cstheme="minorEastAsia" w:hint="eastAsia"/>
                <w:color w:val="000000"/>
                <w:sz w:val="18"/>
                <w:szCs w:val="18"/>
              </w:rPr>
              <w:t>最大力</w:t>
            </w:r>
            <w:proofErr w:type="gramEnd"/>
            <w:r>
              <w:rPr>
                <w:rFonts w:asciiTheme="minorEastAsia" w:hAnsiTheme="minorEastAsia" w:cstheme="minorEastAsia" w:hint="eastAsia"/>
                <w:color w:val="000000"/>
                <w:sz w:val="18"/>
                <w:szCs w:val="18"/>
              </w:rPr>
              <w:t>总</w:t>
            </w:r>
            <w:r>
              <w:rPr>
                <w:rFonts w:asciiTheme="minorEastAsia" w:hAnsiTheme="minorEastAsia" w:cstheme="minorEastAsia" w:hint="eastAsia"/>
                <w:color w:val="000000"/>
                <w:sz w:val="18"/>
                <w:szCs w:val="18"/>
              </w:rPr>
              <w:t>伸长率</w:t>
            </w:r>
          </w:p>
        </w:tc>
        <w:tc>
          <w:tcPr>
            <w:tcW w:w="1907" w:type="dxa"/>
            <w:vMerge/>
            <w:vAlign w:val="center"/>
          </w:tcPr>
          <w:p w:rsidR="00E13435" w:rsidRDefault="00E13435">
            <w:pPr>
              <w:snapToGrid w:val="0"/>
              <w:jc w:val="center"/>
              <w:rPr>
                <w:rFonts w:asciiTheme="minorEastAsia" w:hAnsiTheme="minorEastAsia" w:cstheme="minorEastAsia"/>
                <w:color w:val="000000"/>
                <w:sz w:val="18"/>
                <w:szCs w:val="18"/>
              </w:rPr>
            </w:pPr>
          </w:p>
        </w:tc>
      </w:tr>
      <w:tr w:rsidR="00E13435">
        <w:trPr>
          <w:trHeight w:val="482"/>
          <w:jc w:val="center"/>
        </w:trPr>
        <w:tc>
          <w:tcPr>
            <w:tcW w:w="959"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1038"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761"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4502" w:type="dxa"/>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断后伸长率</w:t>
            </w:r>
          </w:p>
        </w:tc>
        <w:tc>
          <w:tcPr>
            <w:tcW w:w="1907" w:type="dxa"/>
            <w:vMerge/>
            <w:vAlign w:val="center"/>
          </w:tcPr>
          <w:p w:rsidR="00E13435" w:rsidRDefault="00E13435">
            <w:pPr>
              <w:snapToGrid w:val="0"/>
              <w:jc w:val="center"/>
              <w:rPr>
                <w:rFonts w:asciiTheme="minorEastAsia" w:hAnsiTheme="minorEastAsia" w:cstheme="minorEastAsia"/>
                <w:color w:val="000000"/>
                <w:sz w:val="18"/>
                <w:szCs w:val="18"/>
              </w:rPr>
            </w:pPr>
          </w:p>
        </w:tc>
      </w:tr>
      <w:tr w:rsidR="00E13435">
        <w:trPr>
          <w:trHeight w:val="482"/>
          <w:jc w:val="center"/>
        </w:trPr>
        <w:tc>
          <w:tcPr>
            <w:tcW w:w="959"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1038"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761"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4502" w:type="dxa"/>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断面收缩率（冷拉钢丝）</w:t>
            </w:r>
          </w:p>
        </w:tc>
        <w:tc>
          <w:tcPr>
            <w:tcW w:w="1907" w:type="dxa"/>
            <w:vMerge/>
            <w:vAlign w:val="center"/>
          </w:tcPr>
          <w:p w:rsidR="00E13435" w:rsidRDefault="00E13435">
            <w:pPr>
              <w:snapToGrid w:val="0"/>
              <w:jc w:val="center"/>
              <w:rPr>
                <w:rFonts w:asciiTheme="minorEastAsia" w:hAnsiTheme="minorEastAsia" w:cstheme="minorEastAsia"/>
                <w:color w:val="000000"/>
                <w:sz w:val="18"/>
                <w:szCs w:val="18"/>
              </w:rPr>
            </w:pPr>
          </w:p>
        </w:tc>
      </w:tr>
      <w:tr w:rsidR="00E13435">
        <w:trPr>
          <w:trHeight w:val="482"/>
          <w:jc w:val="center"/>
        </w:trPr>
        <w:tc>
          <w:tcPr>
            <w:tcW w:w="959"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1038"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761"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4502" w:type="dxa"/>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松弛率</w:t>
            </w:r>
          </w:p>
        </w:tc>
        <w:tc>
          <w:tcPr>
            <w:tcW w:w="1907" w:type="dxa"/>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GB/T10120-2013</w:t>
            </w:r>
          </w:p>
        </w:tc>
      </w:tr>
      <w:tr w:rsidR="00E13435">
        <w:trPr>
          <w:trHeight w:val="482"/>
          <w:jc w:val="center"/>
        </w:trPr>
        <w:tc>
          <w:tcPr>
            <w:tcW w:w="959" w:type="dxa"/>
            <w:vMerge w:val="restart"/>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2</w:t>
            </w:r>
          </w:p>
        </w:tc>
        <w:tc>
          <w:tcPr>
            <w:tcW w:w="1038" w:type="dxa"/>
            <w:vMerge w:val="restart"/>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弯曲</w:t>
            </w:r>
          </w:p>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性能</w:t>
            </w:r>
          </w:p>
        </w:tc>
        <w:tc>
          <w:tcPr>
            <w:tcW w:w="5263" w:type="dxa"/>
            <w:gridSpan w:val="2"/>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反复弯曲</w:t>
            </w:r>
          </w:p>
        </w:tc>
        <w:tc>
          <w:tcPr>
            <w:tcW w:w="1907" w:type="dxa"/>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GB/T 238-2013</w:t>
            </w:r>
          </w:p>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GB/T 21839-2019</w:t>
            </w:r>
          </w:p>
        </w:tc>
      </w:tr>
      <w:tr w:rsidR="00E13435">
        <w:trPr>
          <w:trHeight w:val="482"/>
          <w:jc w:val="center"/>
        </w:trPr>
        <w:tc>
          <w:tcPr>
            <w:tcW w:w="959"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1038" w:type="dxa"/>
            <w:vMerge/>
            <w:vAlign w:val="center"/>
          </w:tcPr>
          <w:p w:rsidR="00E13435" w:rsidRDefault="00E13435">
            <w:pPr>
              <w:snapToGrid w:val="0"/>
              <w:jc w:val="center"/>
              <w:rPr>
                <w:rFonts w:asciiTheme="minorEastAsia" w:hAnsiTheme="minorEastAsia" w:cstheme="minorEastAsia"/>
                <w:color w:val="000000"/>
                <w:sz w:val="18"/>
                <w:szCs w:val="18"/>
              </w:rPr>
            </w:pPr>
          </w:p>
        </w:tc>
        <w:tc>
          <w:tcPr>
            <w:tcW w:w="5263" w:type="dxa"/>
            <w:gridSpan w:val="2"/>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扭转（冷拉钢丝）</w:t>
            </w:r>
          </w:p>
        </w:tc>
        <w:tc>
          <w:tcPr>
            <w:tcW w:w="1907" w:type="dxa"/>
            <w:vAlign w:val="center"/>
          </w:tcPr>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GB/T 239.1-2012</w:t>
            </w:r>
          </w:p>
          <w:p w:rsidR="00E13435" w:rsidRDefault="00A73D03">
            <w:pPr>
              <w:snapToGrid w:val="0"/>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GB/T 21839-2019</w:t>
            </w:r>
          </w:p>
        </w:tc>
      </w:tr>
    </w:tbl>
    <w:p w:rsidR="00E13435" w:rsidRDefault="00A73D03">
      <w:pPr>
        <w:adjustRightInd w:val="0"/>
        <w:snapToGrid w:val="0"/>
        <w:spacing w:line="440" w:lineRule="exact"/>
        <w:ind w:firstLineChars="200" w:firstLine="420"/>
        <w:rPr>
          <w:color w:val="000000"/>
        </w:rPr>
      </w:pPr>
      <w:r>
        <w:rPr>
          <w:color w:val="000000"/>
        </w:rPr>
        <w:t>执行企业标准、团体标准、地方标准的产品，检验项目参照上述内容执行。</w:t>
      </w:r>
    </w:p>
    <w:p w:rsidR="00E13435" w:rsidRDefault="00A73D03">
      <w:pPr>
        <w:adjustRightInd w:val="0"/>
        <w:snapToGrid w:val="0"/>
        <w:spacing w:line="440" w:lineRule="exact"/>
        <w:ind w:firstLineChars="200" w:firstLine="420"/>
        <w:rPr>
          <w:color w:val="000000"/>
          <w:szCs w:val="21"/>
        </w:rPr>
      </w:pPr>
      <w:r>
        <w:rPr>
          <w:color w:val="000000"/>
          <w:szCs w:val="21"/>
        </w:rPr>
        <w:t>凡是注日期的文件，其随后所有的修改单（不包括勘误的内容）或修订版不适用于本细则。凡是不注日期的文件，其最新版本适用于本细则。</w:t>
      </w:r>
    </w:p>
    <w:p w:rsidR="00E13435" w:rsidRDefault="00E13435">
      <w:pPr>
        <w:snapToGrid w:val="0"/>
        <w:spacing w:line="440" w:lineRule="exact"/>
        <w:rPr>
          <w:color w:val="000000"/>
          <w:szCs w:val="21"/>
        </w:rPr>
      </w:pPr>
    </w:p>
    <w:p w:rsidR="00E13435" w:rsidRDefault="00A73D03">
      <w:pPr>
        <w:spacing w:line="440" w:lineRule="exact"/>
        <w:rPr>
          <w:rFonts w:eastAsia="黑体"/>
          <w:color w:val="000000"/>
          <w:szCs w:val="21"/>
        </w:rPr>
      </w:pPr>
      <w:r>
        <w:rPr>
          <w:rFonts w:eastAsia="黑体"/>
          <w:color w:val="000000"/>
          <w:szCs w:val="21"/>
        </w:rPr>
        <w:t xml:space="preserve">3 </w:t>
      </w:r>
      <w:r>
        <w:rPr>
          <w:rFonts w:eastAsia="黑体"/>
          <w:color w:val="000000"/>
          <w:szCs w:val="21"/>
        </w:rPr>
        <w:t>判定规则</w:t>
      </w:r>
    </w:p>
    <w:p w:rsidR="00E13435" w:rsidRDefault="00A73D03">
      <w:pPr>
        <w:snapToGrid w:val="0"/>
        <w:spacing w:line="440" w:lineRule="exact"/>
        <w:rPr>
          <w:color w:val="000000"/>
          <w:szCs w:val="21"/>
        </w:rPr>
      </w:pPr>
      <w:r>
        <w:rPr>
          <w:color w:val="000000"/>
          <w:szCs w:val="21"/>
        </w:rPr>
        <w:t>3.1</w:t>
      </w:r>
      <w:r>
        <w:rPr>
          <w:color w:val="000000"/>
          <w:szCs w:val="21"/>
        </w:rPr>
        <w:t>依据标准</w:t>
      </w:r>
    </w:p>
    <w:p w:rsidR="00E13435" w:rsidRDefault="00A73D03">
      <w:pPr>
        <w:snapToGrid w:val="0"/>
        <w:spacing w:line="500" w:lineRule="exact"/>
        <w:ind w:firstLineChars="200" w:firstLine="420"/>
        <w:rPr>
          <w:rFonts w:ascii="宋体" w:eastAsia="宋体" w:hAnsi="宋体" w:cs="宋体"/>
          <w:szCs w:val="21"/>
        </w:rPr>
      </w:pPr>
      <w:r>
        <w:rPr>
          <w:rFonts w:ascii="宋体" w:eastAsia="宋体" w:hAnsi="宋体" w:cs="宋体" w:hint="eastAsia"/>
          <w:szCs w:val="21"/>
        </w:rPr>
        <w:t xml:space="preserve">GB/T </w:t>
      </w:r>
      <w:r>
        <w:rPr>
          <w:rFonts w:ascii="宋体" w:eastAsia="宋体" w:hAnsi="宋体" w:cs="宋体" w:hint="eastAsia"/>
          <w:szCs w:val="21"/>
        </w:rPr>
        <w:t xml:space="preserve">5224-2014  </w:t>
      </w:r>
      <w:r>
        <w:rPr>
          <w:rFonts w:ascii="宋体" w:eastAsia="宋体" w:hAnsi="宋体" w:cs="宋体" w:hint="eastAsia"/>
          <w:szCs w:val="21"/>
        </w:rPr>
        <w:t>预应力混凝土用钢绞线</w:t>
      </w:r>
    </w:p>
    <w:p w:rsidR="00E13435" w:rsidRDefault="00A73D03">
      <w:pPr>
        <w:snapToGrid w:val="0"/>
        <w:spacing w:line="500" w:lineRule="exact"/>
        <w:ind w:firstLineChars="200" w:firstLine="420"/>
        <w:rPr>
          <w:rFonts w:ascii="宋体" w:eastAsia="宋体" w:hAnsi="宋体" w:cs="宋体"/>
          <w:szCs w:val="21"/>
        </w:rPr>
      </w:pPr>
      <w:bookmarkStart w:id="0" w:name="bookmark25"/>
      <w:bookmarkStart w:id="1" w:name="bookmark24"/>
      <w:bookmarkStart w:id="2" w:name="bookmark26"/>
      <w:r>
        <w:rPr>
          <w:rFonts w:ascii="宋体" w:eastAsia="宋体" w:hAnsi="宋体" w:cs="宋体" w:hint="eastAsia"/>
          <w:szCs w:val="21"/>
        </w:rPr>
        <w:t xml:space="preserve">GB/T </w:t>
      </w:r>
      <w:r>
        <w:rPr>
          <w:rFonts w:ascii="宋体" w:eastAsia="宋体" w:hAnsi="宋体" w:cs="宋体" w:hint="eastAsia"/>
          <w:szCs w:val="21"/>
          <w:lang w:val="zh-TW" w:eastAsia="zh-TW"/>
        </w:rPr>
        <w:t>5223</w:t>
      </w:r>
      <w:r>
        <w:rPr>
          <w:rFonts w:ascii="宋体" w:eastAsia="宋体" w:hAnsi="宋体" w:cs="宋体" w:hint="eastAsia"/>
          <w:szCs w:val="21"/>
        </w:rPr>
        <w:t xml:space="preserve">-2014  </w:t>
      </w:r>
      <w:r>
        <w:rPr>
          <w:rFonts w:ascii="宋体" w:eastAsia="宋体" w:hAnsi="宋体" w:cs="宋体" w:hint="eastAsia"/>
          <w:szCs w:val="21"/>
          <w:lang w:val="zh-TW" w:eastAsia="zh-TW"/>
        </w:rPr>
        <w:t>预应力混凝土用钢丝</w:t>
      </w:r>
      <w:bookmarkEnd w:id="0"/>
      <w:bookmarkEnd w:id="1"/>
      <w:bookmarkEnd w:id="2"/>
    </w:p>
    <w:p w:rsidR="00E13435" w:rsidRDefault="00A73D03">
      <w:pPr>
        <w:snapToGrid w:val="0"/>
        <w:spacing w:line="440" w:lineRule="exact"/>
        <w:ind w:firstLineChars="200" w:firstLine="420"/>
        <w:rPr>
          <w:color w:val="000000"/>
          <w:szCs w:val="21"/>
        </w:rPr>
      </w:pPr>
      <w:r>
        <w:rPr>
          <w:color w:val="000000"/>
          <w:szCs w:val="21"/>
        </w:rPr>
        <w:t>现行有效的企业标准、团体标准、地方标准及产品明示质量要求</w:t>
      </w:r>
    </w:p>
    <w:p w:rsidR="00E13435" w:rsidRDefault="00A73D03">
      <w:pPr>
        <w:snapToGrid w:val="0"/>
        <w:spacing w:line="440" w:lineRule="exact"/>
        <w:rPr>
          <w:color w:val="000000"/>
          <w:szCs w:val="21"/>
        </w:rPr>
      </w:pPr>
      <w:r>
        <w:rPr>
          <w:color w:val="000000"/>
          <w:szCs w:val="21"/>
        </w:rPr>
        <w:t>3.2</w:t>
      </w:r>
      <w:r>
        <w:rPr>
          <w:color w:val="000000"/>
          <w:szCs w:val="21"/>
        </w:rPr>
        <w:t>判定原则</w:t>
      </w:r>
    </w:p>
    <w:p w:rsidR="00E13435" w:rsidRDefault="00A73D03">
      <w:pPr>
        <w:snapToGrid w:val="0"/>
        <w:spacing w:line="440" w:lineRule="exact"/>
        <w:ind w:firstLineChars="200" w:firstLine="420"/>
        <w:rPr>
          <w:color w:val="000000"/>
          <w:szCs w:val="21"/>
        </w:rPr>
      </w:pPr>
      <w:r>
        <w:rPr>
          <w:color w:val="000000"/>
          <w:szCs w:val="21"/>
        </w:rPr>
        <w:t>经检验，检验项目全部合格，判定为被抽查产品合格；检验项目中任一项或一项以上不合格，判定为被抽查产品不合格。</w:t>
      </w:r>
    </w:p>
    <w:p w:rsidR="00E13435" w:rsidRDefault="00A73D03" w:rsidP="00005D50">
      <w:pPr>
        <w:snapToGrid w:val="0"/>
        <w:spacing w:line="440" w:lineRule="exact"/>
        <w:ind w:firstLineChars="199" w:firstLine="418"/>
        <w:rPr>
          <w:color w:val="000000"/>
          <w:szCs w:val="21"/>
        </w:rPr>
      </w:pPr>
      <w:r>
        <w:rPr>
          <w:color w:val="000000"/>
          <w:szCs w:val="21"/>
        </w:rPr>
        <w:t>若被检产品明示的质量要求高于本细则中检验项目依据的标准要求时，应按被检产品明示的质量要求判定。</w:t>
      </w:r>
    </w:p>
    <w:p w:rsidR="00E13435" w:rsidRDefault="00A73D03" w:rsidP="00005D50">
      <w:pPr>
        <w:snapToGrid w:val="0"/>
        <w:spacing w:line="440" w:lineRule="exact"/>
        <w:ind w:firstLineChars="199" w:firstLine="418"/>
        <w:rPr>
          <w:color w:val="000000"/>
          <w:szCs w:val="21"/>
        </w:rPr>
      </w:pPr>
      <w:r>
        <w:rPr>
          <w:color w:val="000000"/>
          <w:szCs w:val="21"/>
        </w:rPr>
        <w:t>若被检产品明示的质量要求低于本细则中检验项目依据的强制性标准要求时，应按照强制性标准要求判定。</w:t>
      </w:r>
    </w:p>
    <w:p w:rsidR="00E13435" w:rsidRDefault="00A73D03" w:rsidP="00005D50">
      <w:pPr>
        <w:snapToGrid w:val="0"/>
        <w:spacing w:line="440" w:lineRule="exact"/>
        <w:ind w:firstLineChars="199" w:firstLine="418"/>
        <w:rPr>
          <w:color w:val="000000"/>
          <w:szCs w:val="21"/>
        </w:rPr>
      </w:pPr>
      <w:r>
        <w:rPr>
          <w:color w:val="000000"/>
          <w:szCs w:val="21"/>
        </w:rPr>
        <w:t>若被检产品明示的质量要求低于或包含本细则中检验项目依据的推荐性标准要求时，应以被检产品明示的质量要求判定。</w:t>
      </w:r>
    </w:p>
    <w:p w:rsidR="00E13435" w:rsidRDefault="00A73D03" w:rsidP="00005D50">
      <w:pPr>
        <w:snapToGrid w:val="0"/>
        <w:spacing w:line="440" w:lineRule="exact"/>
        <w:ind w:firstLineChars="199" w:firstLine="418"/>
        <w:rPr>
          <w:color w:val="000000"/>
          <w:szCs w:val="21"/>
        </w:rPr>
      </w:pPr>
      <w:r>
        <w:rPr>
          <w:color w:val="000000"/>
          <w:szCs w:val="21"/>
        </w:rPr>
        <w:t>若被检产品明示的质量要求缺少本细则中检验项目依据的强制性标准要求时，应按照强制性标准要求判定。</w:t>
      </w:r>
    </w:p>
    <w:p w:rsidR="00E13435" w:rsidRDefault="00A73D03">
      <w:pPr>
        <w:snapToGrid w:val="0"/>
        <w:spacing w:line="440" w:lineRule="exact"/>
        <w:rPr>
          <w:color w:val="000000"/>
          <w:szCs w:val="21"/>
        </w:rPr>
      </w:pPr>
      <w:bookmarkStart w:id="3" w:name="_GoBack"/>
      <w:bookmarkEnd w:id="3"/>
      <w:r>
        <w:rPr>
          <w:rFonts w:ascii="黑体" w:eastAsia="黑体" w:hAnsi="黑体" w:cs="黑体" w:hint="eastAsia"/>
          <w:color w:val="000000"/>
          <w:szCs w:val="21"/>
        </w:rPr>
        <w:t xml:space="preserve">4 </w:t>
      </w:r>
      <w:r>
        <w:rPr>
          <w:rFonts w:ascii="黑体" w:eastAsia="黑体" w:hAnsi="黑体" w:cs="黑体" w:hint="eastAsia"/>
          <w:color w:val="000000"/>
          <w:szCs w:val="21"/>
        </w:rPr>
        <w:t>附则</w:t>
      </w:r>
    </w:p>
    <w:p w:rsidR="00E13435" w:rsidRDefault="00A73D03" w:rsidP="00005D50">
      <w:pPr>
        <w:spacing w:line="440" w:lineRule="exact"/>
        <w:ind w:firstLineChars="200" w:firstLine="420"/>
        <w:rPr>
          <w:rFonts w:eastAsia="黑体"/>
          <w:color w:val="000000"/>
          <w:szCs w:val="21"/>
        </w:rPr>
      </w:pPr>
      <w:r>
        <w:rPr>
          <w:rFonts w:hint="eastAsia"/>
          <w:color w:val="000000"/>
          <w:szCs w:val="21"/>
        </w:rPr>
        <w:t>本细则代替</w:t>
      </w:r>
      <w:r w:rsidR="00005D50">
        <w:rPr>
          <w:rFonts w:hint="eastAsia"/>
          <w:szCs w:val="21"/>
        </w:rPr>
        <w:t>《</w:t>
      </w:r>
      <w:r w:rsidR="00005D50" w:rsidRPr="00B84C11">
        <w:rPr>
          <w:rFonts w:hint="eastAsia"/>
          <w:szCs w:val="21"/>
        </w:rPr>
        <w:t>贵州省市场监管局关于发布</w:t>
      </w:r>
      <w:r w:rsidR="00005D50">
        <w:rPr>
          <w:rFonts w:hint="eastAsia"/>
          <w:szCs w:val="21"/>
        </w:rPr>
        <w:t>2021</w:t>
      </w:r>
      <w:r w:rsidR="00005D50">
        <w:rPr>
          <w:rFonts w:hint="eastAsia"/>
          <w:szCs w:val="21"/>
        </w:rPr>
        <w:t>版</w:t>
      </w:r>
      <w:r w:rsidR="00005D50" w:rsidRPr="00B84C11">
        <w:rPr>
          <w:rFonts w:hint="eastAsia"/>
          <w:szCs w:val="21"/>
        </w:rPr>
        <w:t>贵州省产品质量监督抽查实施细则（第</w:t>
      </w:r>
      <w:r w:rsidR="00005D50">
        <w:rPr>
          <w:rFonts w:hint="eastAsia"/>
          <w:szCs w:val="21"/>
        </w:rPr>
        <w:t>三</w:t>
      </w:r>
      <w:r w:rsidR="00005D50" w:rsidRPr="00B84C11">
        <w:rPr>
          <w:rFonts w:hint="eastAsia"/>
          <w:szCs w:val="21"/>
        </w:rPr>
        <w:t>批）的公告》（</w:t>
      </w:r>
      <w:proofErr w:type="gramStart"/>
      <w:r w:rsidR="00005D50" w:rsidRPr="001E7044">
        <w:rPr>
          <w:szCs w:val="21"/>
        </w:rPr>
        <w:t>黔市监</w:t>
      </w:r>
      <w:proofErr w:type="gramEnd"/>
      <w:r w:rsidR="00005D50" w:rsidRPr="001E7044">
        <w:rPr>
          <w:szCs w:val="21"/>
        </w:rPr>
        <w:t>公告〔</w:t>
      </w:r>
      <w:r w:rsidR="00005D50" w:rsidRPr="001E7044">
        <w:rPr>
          <w:szCs w:val="21"/>
        </w:rPr>
        <w:t>2021</w:t>
      </w:r>
      <w:r w:rsidR="00005D50" w:rsidRPr="001E7044">
        <w:rPr>
          <w:szCs w:val="21"/>
        </w:rPr>
        <w:t>〕</w:t>
      </w:r>
      <w:r w:rsidR="00005D50" w:rsidRPr="001E7044">
        <w:rPr>
          <w:szCs w:val="21"/>
        </w:rPr>
        <w:t>53</w:t>
      </w:r>
      <w:r w:rsidR="00005D50" w:rsidRPr="001E7044">
        <w:rPr>
          <w:szCs w:val="21"/>
        </w:rPr>
        <w:t>号</w:t>
      </w:r>
      <w:r w:rsidR="00005D50" w:rsidRPr="00B84C11">
        <w:rPr>
          <w:rFonts w:hint="eastAsia"/>
          <w:szCs w:val="21"/>
        </w:rPr>
        <w:t>）</w:t>
      </w:r>
      <w:r>
        <w:rPr>
          <w:rFonts w:hint="eastAsia"/>
          <w:color w:val="000000"/>
          <w:szCs w:val="21"/>
        </w:rPr>
        <w:t>中的《</w:t>
      </w:r>
      <w:r w:rsidR="00005D50" w:rsidRPr="00005D50">
        <w:rPr>
          <w:rFonts w:hint="eastAsia"/>
          <w:color w:val="000000"/>
          <w:szCs w:val="21"/>
        </w:rPr>
        <w:t>贵州省预应力混凝土用钢材产品质量监督抽查实施细则（</w:t>
      </w:r>
      <w:r w:rsidR="00005D50" w:rsidRPr="00005D50">
        <w:rPr>
          <w:rFonts w:hint="eastAsia"/>
          <w:color w:val="000000"/>
          <w:szCs w:val="21"/>
        </w:rPr>
        <w:t>2021</w:t>
      </w:r>
      <w:r w:rsidR="00005D50" w:rsidRPr="00005D50">
        <w:rPr>
          <w:rFonts w:hint="eastAsia"/>
          <w:color w:val="000000"/>
          <w:szCs w:val="21"/>
        </w:rPr>
        <w:t>年版）</w:t>
      </w:r>
      <w:r>
        <w:rPr>
          <w:rFonts w:hint="eastAsia"/>
          <w:color w:val="000000"/>
          <w:szCs w:val="21"/>
        </w:rPr>
        <w:t>》。</w:t>
      </w:r>
    </w:p>
    <w:sectPr w:rsidR="00E13435">
      <w:pgSz w:w="11906" w:h="16838"/>
      <w:pgMar w:top="1984" w:right="1474" w:bottom="1644" w:left="1474"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D03" w:rsidRDefault="00A73D03" w:rsidP="00005D50">
      <w:r>
        <w:separator/>
      </w:r>
    </w:p>
  </w:endnote>
  <w:endnote w:type="continuationSeparator" w:id="0">
    <w:p w:rsidR="00A73D03" w:rsidRDefault="00A73D03" w:rsidP="00005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D03" w:rsidRDefault="00A73D03" w:rsidP="00005D50">
      <w:r>
        <w:separator/>
      </w:r>
    </w:p>
  </w:footnote>
  <w:footnote w:type="continuationSeparator" w:id="0">
    <w:p w:rsidR="00A73D03" w:rsidRDefault="00A73D03" w:rsidP="00005D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6D4F26"/>
    <w:rsid w:val="00005D50"/>
    <w:rsid w:val="00A73D03"/>
    <w:rsid w:val="00E13435"/>
    <w:rsid w:val="0A11010C"/>
    <w:rsid w:val="0F8E10BD"/>
    <w:rsid w:val="101104C6"/>
    <w:rsid w:val="22351588"/>
    <w:rsid w:val="315B256F"/>
    <w:rsid w:val="386D4F26"/>
    <w:rsid w:val="3FA35CAE"/>
    <w:rsid w:val="4BC37414"/>
    <w:rsid w:val="7271367C"/>
    <w:rsid w:val="78BF5E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05D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05D50"/>
    <w:rPr>
      <w:rFonts w:asciiTheme="minorHAnsi" w:eastAsiaTheme="minorEastAsia" w:hAnsiTheme="minorHAnsi" w:cstheme="minorBidi"/>
      <w:kern w:val="2"/>
      <w:sz w:val="18"/>
      <w:szCs w:val="18"/>
    </w:rPr>
  </w:style>
  <w:style w:type="paragraph" w:styleId="a4">
    <w:name w:val="footer"/>
    <w:basedOn w:val="a"/>
    <w:link w:val="Char0"/>
    <w:rsid w:val="00005D50"/>
    <w:pPr>
      <w:tabs>
        <w:tab w:val="center" w:pos="4153"/>
        <w:tab w:val="right" w:pos="8306"/>
      </w:tabs>
      <w:snapToGrid w:val="0"/>
      <w:jc w:val="left"/>
    </w:pPr>
    <w:rPr>
      <w:sz w:val="18"/>
      <w:szCs w:val="18"/>
    </w:rPr>
  </w:style>
  <w:style w:type="character" w:customStyle="1" w:styleId="Char0">
    <w:name w:val="页脚 Char"/>
    <w:basedOn w:val="a0"/>
    <w:link w:val="a4"/>
    <w:rsid w:val="00005D50"/>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05D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05D50"/>
    <w:rPr>
      <w:rFonts w:asciiTheme="minorHAnsi" w:eastAsiaTheme="minorEastAsia" w:hAnsiTheme="minorHAnsi" w:cstheme="minorBidi"/>
      <w:kern w:val="2"/>
      <w:sz w:val="18"/>
      <w:szCs w:val="18"/>
    </w:rPr>
  </w:style>
  <w:style w:type="paragraph" w:styleId="a4">
    <w:name w:val="footer"/>
    <w:basedOn w:val="a"/>
    <w:link w:val="Char0"/>
    <w:rsid w:val="00005D50"/>
    <w:pPr>
      <w:tabs>
        <w:tab w:val="center" w:pos="4153"/>
        <w:tab w:val="right" w:pos="8306"/>
      </w:tabs>
      <w:snapToGrid w:val="0"/>
      <w:jc w:val="left"/>
    </w:pPr>
    <w:rPr>
      <w:sz w:val="18"/>
      <w:szCs w:val="18"/>
    </w:rPr>
  </w:style>
  <w:style w:type="character" w:customStyle="1" w:styleId="Char0">
    <w:name w:val="页脚 Char"/>
    <w:basedOn w:val="a0"/>
    <w:link w:val="a4"/>
    <w:rsid w:val="00005D50"/>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177</Words>
  <Characters>1013</Characters>
  <Application>Microsoft Office Word</Application>
  <DocSecurity>0</DocSecurity>
  <Lines>8</Lines>
  <Paragraphs>2</Paragraphs>
  <ScaleCrop>false</ScaleCrop>
  <Company>MicroSoft</Company>
  <LinksUpToDate>false</LinksUpToDate>
  <CharactersWithSpaces>1188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青鸟</dc:creator>
  <cp:lastModifiedBy>王娇</cp:lastModifiedBy>
  <cp:revision>2</cp:revision>
  <dcterms:created xsi:type="dcterms:W3CDTF">2020-06-03T02:41:00Z</dcterms:created>
  <dcterms:modified xsi:type="dcterms:W3CDTF">2022-04-27T09:02:00Z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EFADBC45D09C4914A64A388F03C6A54C</vt:lpwstr>
  </property>
</Properties>
</file>