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贵州省金属家具</w:t>
      </w:r>
      <w:r>
        <w:rPr>
          <w:rFonts w:ascii="Times New Roman" w:hAnsi="Times New Roman" w:eastAsia="方正小标宋简体" w:cs="方正仿宋简体"/>
          <w:color w:val="000000"/>
          <w:sz w:val="32"/>
          <w:szCs w:val="32"/>
        </w:rPr>
        <w:t>产品质量监督抽查实施细则</w:t>
      </w:r>
    </w:p>
    <w:p>
      <w:pPr>
        <w:adjustRightInd w:val="0"/>
        <w:snapToGrid w:val="0"/>
        <w:spacing w:line="594" w:lineRule="exact"/>
        <w:jc w:val="center"/>
        <w:rPr>
          <w:rFonts w:ascii="Times New Roman" w:hAnsi="Times New Roman" w:eastAsia="方正小标宋简体" w:cs="方正仿宋简体"/>
          <w:color w:val="000000"/>
          <w:sz w:val="32"/>
          <w:szCs w:val="32"/>
        </w:rPr>
      </w:pPr>
      <w:r>
        <w:rPr>
          <w:rFonts w:ascii="Times New Roman" w:hAnsi="Times New Roman" w:eastAsia="方正小标宋简体" w:cs="方正仿宋简体"/>
          <w:color w:val="000000"/>
          <w:sz w:val="32"/>
          <w:szCs w:val="32"/>
        </w:rPr>
        <w:t>（</w:t>
      </w:r>
      <w:r>
        <w:rPr>
          <w:rFonts w:hint="eastAsia" w:ascii="Times New Roman" w:hAnsi="Times New Roman" w:eastAsia="方正小标宋简体" w:cs="方正仿宋简体"/>
          <w:color w:val="000000"/>
          <w:sz w:val="32"/>
          <w:szCs w:val="32"/>
        </w:rPr>
        <w:t>202</w:t>
      </w:r>
      <w:r>
        <w:rPr>
          <w:rFonts w:hint="eastAsia" w:ascii="Times New Roman" w:hAnsi="Times New Roman" w:eastAsia="方正小标宋简体" w:cs="方正仿宋简体"/>
          <w:color w:val="000000"/>
          <w:sz w:val="32"/>
          <w:szCs w:val="32"/>
          <w:lang w:val="en-US" w:eastAsia="zh-CN"/>
        </w:rPr>
        <w:t>2</w:t>
      </w:r>
      <w:r>
        <w:rPr>
          <w:rFonts w:hint="eastAsia" w:ascii="Times New Roman" w:hAnsi="Times New Roman" w:eastAsia="方正小标宋简体" w:cs="方正仿宋简体"/>
          <w:color w:val="000000"/>
          <w:sz w:val="32"/>
          <w:szCs w:val="32"/>
        </w:rPr>
        <w:t>年版</w:t>
      </w:r>
      <w:r>
        <w:rPr>
          <w:rFonts w:ascii="Times New Roman" w:hAnsi="Times New Roman" w:eastAsia="方正小标宋简体" w:cs="方正仿宋简体"/>
          <w:color w:val="000000"/>
          <w:sz w:val="32"/>
          <w:szCs w:val="32"/>
        </w:rPr>
        <w:t>）</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作为检验样品，另1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2025"/>
        <w:gridCol w:w="3333"/>
        <w:gridCol w:w="257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序号</w:t>
            </w:r>
          </w:p>
        </w:tc>
        <w:tc>
          <w:tcPr>
            <w:tcW w:w="5358" w:type="dxa"/>
            <w:gridSpan w:val="2"/>
            <w:vAlign w:val="center"/>
          </w:tcPr>
          <w:p>
            <w:pPr>
              <w:snapToGrid w:val="0"/>
              <w:jc w:val="center"/>
              <w:rPr>
                <w:rFonts w:ascii="宋体" w:hAnsi="宋体"/>
                <w:szCs w:val="21"/>
              </w:rPr>
            </w:pPr>
            <w:r>
              <w:rPr>
                <w:rFonts w:hint="eastAsia" w:ascii="宋体" w:hAnsi="宋体"/>
                <w:szCs w:val="21"/>
              </w:rPr>
              <w:t>检验项目</w:t>
            </w:r>
          </w:p>
        </w:tc>
        <w:tc>
          <w:tcPr>
            <w:tcW w:w="2591" w:type="dxa"/>
            <w:gridSpan w:val="2"/>
            <w:vAlign w:val="center"/>
          </w:tcPr>
          <w:p>
            <w:pPr>
              <w:snapToGrid w:val="0"/>
              <w:jc w:val="center"/>
              <w:rPr>
                <w:rFonts w:ascii="宋体" w:hAnsi="宋体"/>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8845" w:type="dxa"/>
            <w:gridSpan w:val="5"/>
            <w:vAlign w:val="center"/>
          </w:tcPr>
          <w:p>
            <w:pPr>
              <w:snapToGrid w:val="0"/>
              <w:jc w:val="left"/>
              <w:rPr>
                <w:color w:val="000000"/>
                <w:szCs w:val="21"/>
              </w:rPr>
            </w:pPr>
            <w:r>
              <w:rPr>
                <w:rFonts w:hint="eastAsia"/>
                <w:color w:val="000000"/>
                <w:szCs w:val="21"/>
              </w:rPr>
              <w:t>一、金属家具</w:t>
            </w: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w:t>
            </w:r>
          </w:p>
        </w:tc>
        <w:tc>
          <w:tcPr>
            <w:tcW w:w="2025" w:type="dxa"/>
            <w:vMerge w:val="restart"/>
            <w:vAlign w:val="center"/>
          </w:tcPr>
          <w:p>
            <w:pPr>
              <w:snapToGrid w:val="0"/>
              <w:jc w:val="center"/>
              <w:rPr>
                <w:rFonts w:ascii="宋体" w:hAnsi="宋体"/>
                <w:szCs w:val="21"/>
              </w:rPr>
            </w:pPr>
            <w:r>
              <w:rPr>
                <w:rFonts w:hint="eastAsia" w:ascii="宋体" w:hAnsi="宋体"/>
                <w:szCs w:val="21"/>
              </w:rPr>
              <w:t>外观性能要求</w:t>
            </w:r>
          </w:p>
        </w:tc>
        <w:tc>
          <w:tcPr>
            <w:tcW w:w="3333" w:type="dxa"/>
            <w:vAlign w:val="center"/>
          </w:tcPr>
          <w:p>
            <w:pPr>
              <w:snapToGrid w:val="0"/>
              <w:jc w:val="center"/>
              <w:rPr>
                <w:rFonts w:ascii="宋体" w:hAnsi="宋体"/>
                <w:szCs w:val="21"/>
              </w:rPr>
            </w:pPr>
            <w:r>
              <w:rPr>
                <w:rFonts w:hint="eastAsia" w:ascii="宋体" w:hAnsi="宋体"/>
                <w:szCs w:val="21"/>
              </w:rPr>
              <w:t>金属件（基本）</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2</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木制件（基本）</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3</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塑料件（基本）</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4</w:t>
            </w:r>
          </w:p>
        </w:tc>
        <w:tc>
          <w:tcPr>
            <w:tcW w:w="5358" w:type="dxa"/>
            <w:gridSpan w:val="2"/>
            <w:vAlign w:val="center"/>
          </w:tcPr>
          <w:p>
            <w:pPr>
              <w:snapToGrid w:val="0"/>
              <w:jc w:val="center"/>
              <w:rPr>
                <w:rFonts w:ascii="宋体" w:hAnsi="宋体"/>
                <w:szCs w:val="21"/>
              </w:rPr>
            </w:pPr>
            <w:r>
              <w:rPr>
                <w:rFonts w:hint="eastAsia" w:ascii="宋体" w:hAnsi="宋体"/>
                <w:szCs w:val="21"/>
              </w:rPr>
              <w:t>结构安全</w:t>
            </w:r>
          </w:p>
        </w:tc>
        <w:tc>
          <w:tcPr>
            <w:tcW w:w="2591" w:type="dxa"/>
            <w:gridSpan w:val="2"/>
            <w:vAlign w:val="center"/>
          </w:tcPr>
          <w:p>
            <w:pPr>
              <w:jc w:val="cente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5</w:t>
            </w:r>
          </w:p>
        </w:tc>
        <w:tc>
          <w:tcPr>
            <w:tcW w:w="5358" w:type="dxa"/>
            <w:gridSpan w:val="2"/>
            <w:vAlign w:val="center"/>
          </w:tcPr>
          <w:p>
            <w:pPr>
              <w:snapToGrid w:val="0"/>
              <w:jc w:val="center"/>
              <w:rPr>
                <w:rFonts w:ascii="宋体" w:hAnsi="宋体"/>
                <w:szCs w:val="21"/>
              </w:rPr>
            </w:pPr>
            <w:r>
              <w:rPr>
                <w:rFonts w:hint="eastAsia" w:ascii="宋体" w:hAnsi="宋体"/>
                <w:szCs w:val="21"/>
              </w:rPr>
              <w:t>甲醛释放量</w:t>
            </w:r>
          </w:p>
        </w:tc>
        <w:tc>
          <w:tcPr>
            <w:tcW w:w="2591" w:type="dxa"/>
            <w:gridSpan w:val="2"/>
            <w:vAlign w:val="center"/>
          </w:tcPr>
          <w:p>
            <w:pPr>
              <w:jc w:val="center"/>
            </w:pPr>
            <w:r>
              <w:rPr>
                <w:rFonts w:ascii="宋体" w:hAnsi="宋体"/>
                <w:szCs w:val="21"/>
              </w:rPr>
              <w:t>GB</w:t>
            </w:r>
            <w:r>
              <w:rPr>
                <w:rFonts w:hint="eastAsia" w:ascii="宋体" w:hAnsi="宋体"/>
                <w:szCs w:val="21"/>
              </w:rPr>
              <w:t xml:space="preserve"> 18580</w:t>
            </w:r>
            <w:r>
              <w:rPr>
                <w:rFonts w:ascii="宋体" w:hAnsi="宋体"/>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6</w:t>
            </w:r>
          </w:p>
        </w:tc>
        <w:tc>
          <w:tcPr>
            <w:tcW w:w="5358" w:type="dxa"/>
            <w:gridSpan w:val="2"/>
            <w:vAlign w:val="center"/>
          </w:tcPr>
          <w:p>
            <w:pPr>
              <w:snapToGrid w:val="0"/>
              <w:jc w:val="center"/>
              <w:rPr>
                <w:rFonts w:ascii="宋体" w:hAnsi="宋体"/>
                <w:szCs w:val="21"/>
              </w:rPr>
            </w:pPr>
            <w:r>
              <w:rPr>
                <w:rFonts w:hint="eastAsia" w:ascii="宋体" w:hAnsi="宋体"/>
                <w:szCs w:val="21"/>
              </w:rPr>
              <w:t>可溶性重金属</w:t>
            </w:r>
          </w:p>
        </w:tc>
        <w:tc>
          <w:tcPr>
            <w:tcW w:w="2591" w:type="dxa"/>
            <w:gridSpan w:val="2"/>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18584</w:t>
            </w:r>
            <w:r>
              <w:rPr>
                <w:rFonts w:ascii="宋体" w:hAnsi="宋体"/>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7</w:t>
            </w:r>
          </w:p>
        </w:tc>
        <w:tc>
          <w:tcPr>
            <w:tcW w:w="2025" w:type="dxa"/>
            <w:vMerge w:val="restart"/>
            <w:vAlign w:val="center"/>
          </w:tcPr>
          <w:p>
            <w:pPr>
              <w:jc w:val="center"/>
              <w:rPr>
                <w:color w:val="000000"/>
                <w:szCs w:val="21"/>
              </w:rPr>
            </w:pPr>
            <w:r>
              <w:rPr>
                <w:rFonts w:hint="eastAsia"/>
                <w:color w:val="000000"/>
                <w:szCs w:val="21"/>
              </w:rPr>
              <w:t>表面理化性能-金属喷漆（塑）涂层</w:t>
            </w:r>
          </w:p>
        </w:tc>
        <w:tc>
          <w:tcPr>
            <w:tcW w:w="3333" w:type="dxa"/>
            <w:vAlign w:val="center"/>
          </w:tcPr>
          <w:p>
            <w:pPr>
              <w:jc w:val="center"/>
              <w:rPr>
                <w:color w:val="000000"/>
                <w:szCs w:val="21"/>
              </w:rPr>
            </w:pPr>
            <w:r>
              <w:rPr>
                <w:rFonts w:hint="eastAsia"/>
                <w:color w:val="000000"/>
                <w:szCs w:val="21"/>
              </w:rPr>
              <w:t>硬度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8</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color w:val="000000"/>
                <w:szCs w:val="21"/>
              </w:rPr>
              <w:t>冲击强度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9</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color w:val="000000"/>
                <w:szCs w:val="21"/>
              </w:rPr>
              <w:t>附着力</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10</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color w:val="000000"/>
                <w:szCs w:val="21"/>
              </w:rPr>
              <w:t>耐腐蚀</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11</w:t>
            </w:r>
          </w:p>
        </w:tc>
        <w:tc>
          <w:tcPr>
            <w:tcW w:w="5358" w:type="dxa"/>
            <w:gridSpan w:val="2"/>
            <w:vAlign w:val="center"/>
          </w:tcPr>
          <w:p>
            <w:pPr>
              <w:snapToGrid w:val="0"/>
              <w:jc w:val="center"/>
              <w:rPr>
                <w:rFonts w:ascii="宋体" w:hAnsi="宋体"/>
                <w:szCs w:val="21"/>
              </w:rPr>
            </w:pPr>
            <w:r>
              <w:rPr>
                <w:rFonts w:hint="eastAsia"/>
                <w:color w:val="000000"/>
                <w:szCs w:val="21"/>
              </w:rPr>
              <w:t>表面理化性能-金属电镀层-抗盐雾</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12</w:t>
            </w:r>
          </w:p>
        </w:tc>
        <w:tc>
          <w:tcPr>
            <w:tcW w:w="2025" w:type="dxa"/>
            <w:vAlign w:val="center"/>
          </w:tcPr>
          <w:p>
            <w:pPr>
              <w:snapToGrid w:val="0"/>
              <w:jc w:val="center"/>
              <w:rPr>
                <w:rFonts w:ascii="宋体" w:hAnsi="宋体"/>
                <w:szCs w:val="21"/>
              </w:rPr>
            </w:pPr>
            <w:r>
              <w:rPr>
                <w:rFonts w:hint="eastAsia" w:ascii="宋体" w:hAnsi="宋体"/>
                <w:szCs w:val="21"/>
              </w:rPr>
              <w:t>木质件</w:t>
            </w:r>
          </w:p>
        </w:tc>
        <w:tc>
          <w:tcPr>
            <w:tcW w:w="3333" w:type="dxa"/>
            <w:vAlign w:val="center"/>
          </w:tcPr>
          <w:p>
            <w:pPr>
              <w:snapToGrid w:val="0"/>
              <w:jc w:val="center"/>
              <w:rPr>
                <w:rFonts w:ascii="宋体" w:hAnsi="宋体"/>
                <w:szCs w:val="21"/>
              </w:rPr>
            </w:pPr>
            <w:r>
              <w:rPr>
                <w:rFonts w:hint="eastAsia" w:ascii="宋体" w:hAnsi="宋体"/>
                <w:szCs w:val="21"/>
              </w:rPr>
              <w:t>含水率</w:t>
            </w:r>
          </w:p>
        </w:tc>
        <w:tc>
          <w:tcPr>
            <w:tcW w:w="2591" w:type="dxa"/>
            <w:gridSpan w:val="2"/>
            <w:vAlign w:val="center"/>
          </w:tcPr>
          <w:p>
            <w:pPr>
              <w:jc w:val="cente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13</w:t>
            </w:r>
          </w:p>
        </w:tc>
        <w:tc>
          <w:tcPr>
            <w:tcW w:w="2025" w:type="dxa"/>
            <w:vAlign w:val="center"/>
          </w:tcPr>
          <w:p>
            <w:pPr>
              <w:snapToGrid w:val="0"/>
              <w:jc w:val="center"/>
              <w:rPr>
                <w:rFonts w:ascii="宋体" w:hAnsi="宋体"/>
                <w:szCs w:val="21"/>
              </w:rPr>
            </w:pPr>
            <w:r>
              <w:rPr>
                <w:rFonts w:hint="eastAsia" w:ascii="宋体" w:hAnsi="宋体"/>
                <w:szCs w:val="21"/>
              </w:rPr>
              <w:t>人造板件</w:t>
            </w:r>
          </w:p>
        </w:tc>
        <w:tc>
          <w:tcPr>
            <w:tcW w:w="3333" w:type="dxa"/>
            <w:vAlign w:val="center"/>
          </w:tcPr>
          <w:p>
            <w:pPr>
              <w:snapToGrid w:val="0"/>
              <w:jc w:val="center"/>
              <w:rPr>
                <w:rFonts w:ascii="宋体" w:hAnsi="宋体"/>
                <w:szCs w:val="21"/>
              </w:rPr>
            </w:pPr>
            <w:r>
              <w:rPr>
                <w:rFonts w:hint="eastAsia" w:ascii="宋体" w:hAnsi="宋体"/>
                <w:szCs w:val="21"/>
              </w:rPr>
              <w:t>封边条表面胶合强度</w:t>
            </w:r>
          </w:p>
        </w:tc>
        <w:tc>
          <w:tcPr>
            <w:tcW w:w="2591" w:type="dxa"/>
            <w:gridSpan w:val="2"/>
            <w:vAlign w:val="center"/>
          </w:tcPr>
          <w:p>
            <w:pPr>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14</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力学性能(桌类)</w:t>
            </w:r>
          </w:p>
        </w:tc>
        <w:tc>
          <w:tcPr>
            <w:tcW w:w="3333" w:type="dxa"/>
            <w:vAlign w:val="center"/>
          </w:tcPr>
          <w:p>
            <w:pPr>
              <w:snapToGrid w:val="0"/>
              <w:jc w:val="center"/>
              <w:rPr>
                <w:rFonts w:ascii="宋体" w:hAnsi="宋体"/>
                <w:szCs w:val="21"/>
              </w:rPr>
            </w:pPr>
            <w:r>
              <w:rPr>
                <w:rFonts w:hint="eastAsia" w:ascii="宋体" w:hAnsi="宋体"/>
                <w:szCs w:val="21"/>
              </w:rPr>
              <w:t>垂直静载荷试验</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15</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水平静载荷试验</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16</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桌面垂直冲击</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17</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桌类稳定性</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18</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力学性能(椅凳类)</w:t>
            </w:r>
          </w:p>
        </w:tc>
        <w:tc>
          <w:tcPr>
            <w:tcW w:w="3333" w:type="dxa"/>
            <w:vAlign w:val="center"/>
          </w:tcPr>
          <w:p>
            <w:pPr>
              <w:snapToGrid w:val="0"/>
              <w:jc w:val="center"/>
              <w:rPr>
                <w:rFonts w:ascii="宋体" w:hAnsi="宋体"/>
                <w:szCs w:val="21"/>
              </w:rPr>
            </w:pPr>
            <w:r>
              <w:rPr>
                <w:rFonts w:hint="eastAsia" w:ascii="宋体" w:hAnsi="宋体"/>
                <w:szCs w:val="21"/>
              </w:rPr>
              <w:t>座面椅背静载荷</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19</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座面冲击试验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20</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跌落试验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21</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椅凳类稳定性</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22</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力学性能(单层床)</w:t>
            </w:r>
          </w:p>
        </w:tc>
        <w:tc>
          <w:tcPr>
            <w:tcW w:w="3333" w:type="dxa"/>
            <w:vAlign w:val="center"/>
          </w:tcPr>
          <w:p>
            <w:pPr>
              <w:snapToGrid w:val="0"/>
              <w:jc w:val="center"/>
              <w:rPr>
                <w:rFonts w:ascii="宋体" w:hAnsi="宋体"/>
                <w:szCs w:val="21"/>
              </w:rPr>
            </w:pPr>
            <w:r>
              <w:rPr>
                <w:rFonts w:hint="eastAsia" w:ascii="宋体" w:hAnsi="宋体"/>
                <w:szCs w:val="21"/>
              </w:rPr>
              <w:t>床铺面集中静载荷</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23</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床长边静载荷</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24</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力学性能(双层床)</w:t>
            </w:r>
          </w:p>
        </w:tc>
        <w:tc>
          <w:tcPr>
            <w:tcW w:w="3333" w:type="dxa"/>
            <w:vAlign w:val="center"/>
          </w:tcPr>
          <w:p>
            <w:pPr>
              <w:snapToGrid w:val="0"/>
              <w:jc w:val="center"/>
              <w:rPr>
                <w:rFonts w:ascii="宋体" w:hAnsi="宋体"/>
                <w:szCs w:val="21"/>
              </w:rPr>
            </w:pPr>
            <w:r>
              <w:rPr>
                <w:rFonts w:hint="eastAsia" w:ascii="宋体" w:hAnsi="宋体"/>
                <w:szCs w:val="21"/>
              </w:rPr>
              <w:t>安全栏板静载荷试验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25</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床铺面垂直向下静载荷试验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26</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双层床稳定性</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27</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力学性能(柜类)</w:t>
            </w:r>
          </w:p>
        </w:tc>
        <w:tc>
          <w:tcPr>
            <w:tcW w:w="3333" w:type="dxa"/>
            <w:vAlign w:val="center"/>
          </w:tcPr>
          <w:p>
            <w:pPr>
              <w:snapToGrid w:val="0"/>
              <w:jc w:val="center"/>
              <w:rPr>
                <w:rFonts w:ascii="宋体" w:hAnsi="宋体"/>
                <w:szCs w:val="21"/>
              </w:rPr>
            </w:pPr>
            <w:r>
              <w:rPr>
                <w:rFonts w:hint="eastAsia" w:ascii="宋体" w:hAnsi="宋体"/>
                <w:szCs w:val="21"/>
              </w:rPr>
              <w:t>主体结构和底架强度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28</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抽屉结构强度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29</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抽屉滑道强度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30</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柜类稳定性</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845" w:type="dxa"/>
            <w:gridSpan w:val="5"/>
            <w:vAlign w:val="center"/>
          </w:tcPr>
          <w:p>
            <w:pPr>
              <w:jc w:val="left"/>
              <w:rPr>
                <w:rFonts w:ascii="宋体" w:hAnsi="宋体"/>
                <w:szCs w:val="21"/>
              </w:rPr>
            </w:pPr>
            <w:r>
              <w:rPr>
                <w:rFonts w:hint="eastAsia" w:ascii="宋体" w:hAnsi="宋体"/>
                <w:szCs w:val="21"/>
              </w:rPr>
              <w:t>二、</w:t>
            </w:r>
            <w:r>
              <w:rPr>
                <w:rFonts w:hint="eastAsia" w:ascii="Times New Roman" w:hAnsi="Times New Roman"/>
                <w:color w:val="000000"/>
                <w:szCs w:val="21"/>
              </w:rPr>
              <w:t>钢制书柜、资料柜</w:t>
            </w: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w:t>
            </w:r>
          </w:p>
        </w:tc>
        <w:tc>
          <w:tcPr>
            <w:tcW w:w="2025" w:type="dxa"/>
            <w:vMerge w:val="restart"/>
            <w:vAlign w:val="center"/>
          </w:tcPr>
          <w:p>
            <w:pPr>
              <w:jc w:val="center"/>
              <w:rPr>
                <w:color w:val="000000"/>
                <w:szCs w:val="21"/>
              </w:rPr>
            </w:pPr>
            <w:r>
              <w:rPr>
                <w:rFonts w:hint="eastAsia"/>
                <w:color w:val="000000"/>
                <w:szCs w:val="21"/>
              </w:rPr>
              <w:t>表面理化性能-金属喷漆（塑）涂层</w:t>
            </w:r>
          </w:p>
        </w:tc>
        <w:tc>
          <w:tcPr>
            <w:tcW w:w="3333" w:type="dxa"/>
            <w:vAlign w:val="center"/>
          </w:tcPr>
          <w:p>
            <w:pPr>
              <w:jc w:val="center"/>
              <w:rPr>
                <w:color w:val="000000"/>
                <w:szCs w:val="21"/>
              </w:rPr>
            </w:pPr>
            <w:r>
              <w:rPr>
                <w:rFonts w:hint="eastAsia"/>
                <w:color w:val="000000"/>
                <w:szCs w:val="21"/>
              </w:rPr>
              <w:t>硬度</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2</w:t>
            </w:r>
          </w:p>
        </w:tc>
        <w:tc>
          <w:tcPr>
            <w:tcW w:w="2025" w:type="dxa"/>
            <w:vMerge w:val="continue"/>
            <w:vAlign w:val="center"/>
          </w:tcPr>
          <w:p>
            <w:pPr>
              <w:jc w:val="center"/>
              <w:rPr>
                <w:color w:val="000000"/>
                <w:szCs w:val="21"/>
              </w:rPr>
            </w:pPr>
          </w:p>
        </w:tc>
        <w:tc>
          <w:tcPr>
            <w:tcW w:w="3333" w:type="dxa"/>
            <w:vAlign w:val="center"/>
          </w:tcPr>
          <w:p>
            <w:pPr>
              <w:jc w:val="center"/>
              <w:rPr>
                <w:color w:val="000000"/>
                <w:szCs w:val="21"/>
              </w:rPr>
            </w:pPr>
            <w:r>
              <w:rPr>
                <w:rFonts w:hint="eastAsia"/>
                <w:color w:val="000000"/>
                <w:szCs w:val="21"/>
              </w:rPr>
              <w:t>冲击强度</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3</w:t>
            </w:r>
          </w:p>
        </w:tc>
        <w:tc>
          <w:tcPr>
            <w:tcW w:w="2025" w:type="dxa"/>
            <w:vMerge w:val="continue"/>
            <w:vAlign w:val="center"/>
          </w:tcPr>
          <w:p>
            <w:pPr>
              <w:jc w:val="center"/>
              <w:rPr>
                <w:color w:val="000000"/>
                <w:szCs w:val="21"/>
              </w:rPr>
            </w:pPr>
          </w:p>
        </w:tc>
        <w:tc>
          <w:tcPr>
            <w:tcW w:w="3333" w:type="dxa"/>
            <w:vAlign w:val="center"/>
          </w:tcPr>
          <w:p>
            <w:pPr>
              <w:jc w:val="center"/>
              <w:rPr>
                <w:color w:val="000000"/>
                <w:szCs w:val="21"/>
              </w:rPr>
            </w:pPr>
            <w:r>
              <w:rPr>
                <w:rFonts w:hint="eastAsia"/>
                <w:color w:val="000000"/>
                <w:szCs w:val="21"/>
              </w:rPr>
              <w:t>附着力</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4</w:t>
            </w:r>
          </w:p>
        </w:tc>
        <w:tc>
          <w:tcPr>
            <w:tcW w:w="2025" w:type="dxa"/>
            <w:vMerge w:val="continue"/>
            <w:vAlign w:val="center"/>
          </w:tcPr>
          <w:p>
            <w:pPr>
              <w:jc w:val="center"/>
              <w:rPr>
                <w:color w:val="000000"/>
                <w:szCs w:val="21"/>
              </w:rPr>
            </w:pPr>
          </w:p>
        </w:tc>
        <w:tc>
          <w:tcPr>
            <w:tcW w:w="3333" w:type="dxa"/>
            <w:vAlign w:val="center"/>
          </w:tcPr>
          <w:p>
            <w:pPr>
              <w:jc w:val="center"/>
              <w:rPr>
                <w:color w:val="000000"/>
                <w:szCs w:val="21"/>
              </w:rPr>
            </w:pPr>
            <w:r>
              <w:rPr>
                <w:rFonts w:hint="eastAsia"/>
                <w:color w:val="000000"/>
                <w:szCs w:val="21"/>
              </w:rPr>
              <w:t>耐腐蚀</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5</w:t>
            </w:r>
          </w:p>
        </w:tc>
        <w:tc>
          <w:tcPr>
            <w:tcW w:w="5358" w:type="dxa"/>
            <w:gridSpan w:val="2"/>
            <w:vAlign w:val="center"/>
          </w:tcPr>
          <w:p>
            <w:pPr>
              <w:jc w:val="center"/>
              <w:rPr>
                <w:color w:val="000000"/>
                <w:szCs w:val="21"/>
              </w:rPr>
            </w:pPr>
            <w:r>
              <w:rPr>
                <w:rFonts w:hint="eastAsia"/>
                <w:color w:val="000000"/>
                <w:szCs w:val="21"/>
              </w:rPr>
              <w:t>表面理化性能-金属电镀层-抗盐雾</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6</w:t>
            </w:r>
          </w:p>
        </w:tc>
        <w:tc>
          <w:tcPr>
            <w:tcW w:w="2025" w:type="dxa"/>
            <w:vMerge w:val="restart"/>
            <w:vAlign w:val="center"/>
          </w:tcPr>
          <w:p>
            <w:pPr>
              <w:jc w:val="center"/>
              <w:rPr>
                <w:color w:val="000000"/>
                <w:szCs w:val="21"/>
              </w:rPr>
            </w:pPr>
            <w:r>
              <w:rPr>
                <w:rFonts w:hint="eastAsia" w:ascii="宋体" w:hAnsi="宋体"/>
                <w:szCs w:val="21"/>
              </w:rPr>
              <w:t>力学性能（强度和耐久性）</w:t>
            </w:r>
          </w:p>
        </w:tc>
        <w:tc>
          <w:tcPr>
            <w:tcW w:w="3333" w:type="dxa"/>
            <w:vAlign w:val="center"/>
          </w:tcPr>
          <w:p>
            <w:pPr>
              <w:snapToGrid w:val="0"/>
              <w:rPr>
                <w:rFonts w:ascii="宋体" w:hAnsi="宋体"/>
                <w:szCs w:val="21"/>
              </w:rPr>
            </w:pPr>
            <w:r>
              <w:rPr>
                <w:rFonts w:hint="eastAsia" w:ascii="宋体" w:hAnsi="宋体"/>
                <w:szCs w:val="21"/>
              </w:rPr>
              <w:t>搁板弯曲试验</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7</w:t>
            </w:r>
          </w:p>
        </w:tc>
        <w:tc>
          <w:tcPr>
            <w:tcW w:w="2025" w:type="dxa"/>
            <w:vMerge w:val="continue"/>
            <w:vAlign w:val="center"/>
          </w:tcPr>
          <w:p>
            <w:pPr>
              <w:jc w:val="center"/>
              <w:rPr>
                <w:rFonts w:ascii="宋体" w:hAnsi="宋体"/>
                <w:szCs w:val="21"/>
              </w:rPr>
            </w:pPr>
          </w:p>
        </w:tc>
        <w:tc>
          <w:tcPr>
            <w:tcW w:w="3333" w:type="dxa"/>
            <w:vAlign w:val="center"/>
          </w:tcPr>
          <w:p>
            <w:pPr>
              <w:snapToGrid w:val="0"/>
              <w:rPr>
                <w:rFonts w:ascii="宋体" w:hAnsi="宋体"/>
                <w:szCs w:val="21"/>
              </w:rPr>
            </w:pPr>
            <w:r>
              <w:rPr>
                <w:rFonts w:hint="eastAsia" w:ascii="宋体" w:hAnsi="宋体"/>
                <w:szCs w:val="21"/>
              </w:rPr>
              <w:t>搁板支承强度试验</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8</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结构和底架强度</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9</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推拉构件强度试验</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10</w:t>
            </w:r>
          </w:p>
        </w:tc>
        <w:tc>
          <w:tcPr>
            <w:tcW w:w="2025" w:type="dxa"/>
            <w:vMerge w:val="restart"/>
            <w:vAlign w:val="center"/>
          </w:tcPr>
          <w:p>
            <w:pPr>
              <w:snapToGrid w:val="0"/>
              <w:rPr>
                <w:rFonts w:ascii="宋体" w:hAnsi="宋体"/>
                <w:szCs w:val="21"/>
              </w:rPr>
            </w:pPr>
            <w:r>
              <w:rPr>
                <w:rFonts w:hint="eastAsia" w:ascii="宋体" w:hAnsi="宋体"/>
                <w:szCs w:val="21"/>
              </w:rPr>
              <w:t>力学性能（稳定性）</w:t>
            </w:r>
          </w:p>
        </w:tc>
        <w:tc>
          <w:tcPr>
            <w:tcW w:w="3333" w:type="dxa"/>
            <w:vAlign w:val="center"/>
          </w:tcPr>
          <w:p>
            <w:pPr>
              <w:snapToGrid w:val="0"/>
              <w:rPr>
                <w:rFonts w:ascii="宋体" w:hAnsi="宋体"/>
                <w:szCs w:val="21"/>
              </w:rPr>
            </w:pPr>
            <w:r>
              <w:rPr>
                <w:rFonts w:hint="eastAsia" w:ascii="宋体" w:hAnsi="宋体"/>
                <w:szCs w:val="21"/>
              </w:rPr>
              <w:t>搁板水平加载稳定性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11</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搁板垂直加载稳定性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12</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活动部件关闭时的空载稳定性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13</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活动部件打开时的空载稳定性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14</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活动部件关闭时的加载稳定性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833" w:type="dxa"/>
            <w:gridSpan w:val="4"/>
            <w:tcBorders>
              <w:top w:val="single" w:color="auto" w:sz="4" w:space="0"/>
              <w:left w:val="single" w:color="auto" w:sz="4" w:space="0"/>
              <w:bottom w:val="single" w:color="auto" w:sz="4" w:space="0"/>
            </w:tcBorders>
            <w:vAlign w:val="center"/>
          </w:tcPr>
          <w:p>
            <w:pPr>
              <w:rPr>
                <w:rFonts w:ascii="Times New Roman" w:hAnsi="Times New Roman"/>
                <w:color w:val="000000"/>
                <w:szCs w:val="21"/>
              </w:rPr>
            </w:pPr>
            <w:r>
              <w:rPr>
                <w:rFonts w:hint="eastAsia" w:ascii="Times New Roman" w:hAnsi="Times New Roman"/>
                <w:color w:val="000000"/>
                <w:szCs w:val="21"/>
              </w:rPr>
              <w:t>三、钢制文件柜</w:t>
            </w: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w:t>
            </w:r>
          </w:p>
        </w:tc>
        <w:tc>
          <w:tcPr>
            <w:tcW w:w="5358" w:type="dxa"/>
            <w:gridSpan w:val="2"/>
            <w:vAlign w:val="center"/>
          </w:tcPr>
          <w:p>
            <w:pPr>
              <w:snapToGrid w:val="0"/>
              <w:jc w:val="center"/>
              <w:rPr>
                <w:rFonts w:ascii="宋体" w:hAnsi="宋体"/>
                <w:szCs w:val="21"/>
              </w:rPr>
            </w:pPr>
            <w:r>
              <w:rPr>
                <w:rFonts w:hint="eastAsia" w:ascii="宋体" w:hAnsi="宋体"/>
                <w:szCs w:val="21"/>
              </w:rPr>
              <w:t>净深</w:t>
            </w:r>
          </w:p>
        </w:tc>
        <w:tc>
          <w:tcPr>
            <w:tcW w:w="2579" w:type="dxa"/>
            <w:vAlign w:val="center"/>
          </w:tcPr>
          <w:p>
            <w:pPr>
              <w:snapToGrid w:val="0"/>
              <w:jc w:val="center"/>
              <w:rPr>
                <w:rFonts w:ascii="宋体" w:hAnsi="宋体"/>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2</w:t>
            </w:r>
          </w:p>
        </w:tc>
        <w:tc>
          <w:tcPr>
            <w:tcW w:w="5358" w:type="dxa"/>
            <w:gridSpan w:val="2"/>
            <w:vAlign w:val="center"/>
          </w:tcPr>
          <w:p>
            <w:pPr>
              <w:snapToGrid w:val="0"/>
              <w:jc w:val="center"/>
              <w:rPr>
                <w:rFonts w:ascii="宋体" w:hAnsi="宋体"/>
                <w:szCs w:val="21"/>
              </w:rPr>
            </w:pPr>
            <w:r>
              <w:rPr>
                <w:rFonts w:hint="eastAsia" w:ascii="宋体" w:hAnsi="宋体"/>
                <w:szCs w:val="21"/>
              </w:rPr>
              <w:t>木制件甲醛释放量</w:t>
            </w:r>
          </w:p>
        </w:tc>
        <w:tc>
          <w:tcPr>
            <w:tcW w:w="2579" w:type="dxa"/>
            <w:vAlign w:val="center"/>
          </w:tcPr>
          <w:p>
            <w:pPr>
              <w:snapToGrid w:val="0"/>
              <w:jc w:val="center"/>
              <w:rPr>
                <w:rFonts w:ascii="宋体" w:hAnsi="宋体"/>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3</w:t>
            </w:r>
          </w:p>
        </w:tc>
        <w:tc>
          <w:tcPr>
            <w:tcW w:w="2025" w:type="dxa"/>
            <w:vMerge w:val="restart"/>
            <w:vAlign w:val="center"/>
          </w:tcPr>
          <w:p>
            <w:pPr>
              <w:jc w:val="center"/>
              <w:rPr>
                <w:color w:val="000000"/>
                <w:szCs w:val="21"/>
              </w:rPr>
            </w:pPr>
            <w:r>
              <w:rPr>
                <w:rFonts w:hint="eastAsia"/>
                <w:color w:val="000000"/>
                <w:szCs w:val="21"/>
              </w:rPr>
              <w:t>表面理化性能-金属喷漆（塑）涂层</w:t>
            </w:r>
          </w:p>
        </w:tc>
        <w:tc>
          <w:tcPr>
            <w:tcW w:w="3333" w:type="dxa"/>
            <w:vAlign w:val="center"/>
          </w:tcPr>
          <w:p>
            <w:pPr>
              <w:jc w:val="center"/>
              <w:rPr>
                <w:color w:val="000000"/>
                <w:szCs w:val="21"/>
              </w:rPr>
            </w:pPr>
            <w:r>
              <w:rPr>
                <w:rFonts w:hint="eastAsia"/>
                <w:color w:val="000000"/>
                <w:szCs w:val="21"/>
              </w:rPr>
              <w:t>硬度</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4</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color w:val="000000"/>
                <w:szCs w:val="21"/>
              </w:rPr>
              <w:t>冲击强度</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5</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color w:val="000000"/>
                <w:szCs w:val="21"/>
              </w:rPr>
              <w:t>附着力</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6</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color w:val="000000"/>
                <w:szCs w:val="21"/>
              </w:rPr>
              <w:t>耐腐蚀</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7</w:t>
            </w:r>
          </w:p>
        </w:tc>
        <w:tc>
          <w:tcPr>
            <w:tcW w:w="5358" w:type="dxa"/>
            <w:gridSpan w:val="2"/>
            <w:vAlign w:val="center"/>
          </w:tcPr>
          <w:p>
            <w:pPr>
              <w:snapToGrid w:val="0"/>
              <w:jc w:val="center"/>
              <w:rPr>
                <w:color w:val="000000"/>
                <w:szCs w:val="21"/>
              </w:rPr>
            </w:pPr>
            <w:r>
              <w:rPr>
                <w:rFonts w:hint="eastAsia"/>
                <w:color w:val="000000"/>
                <w:szCs w:val="21"/>
              </w:rPr>
              <w:t>表面理化性能-金属电镀层-抗盐雾</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8</w:t>
            </w:r>
          </w:p>
        </w:tc>
        <w:tc>
          <w:tcPr>
            <w:tcW w:w="2025" w:type="dxa"/>
            <w:vMerge w:val="restart"/>
            <w:vAlign w:val="center"/>
          </w:tcPr>
          <w:p>
            <w:pPr>
              <w:jc w:val="center"/>
              <w:rPr>
                <w:color w:val="000000"/>
                <w:szCs w:val="21"/>
              </w:rPr>
            </w:pPr>
            <w:r>
              <w:rPr>
                <w:rFonts w:hint="eastAsia" w:ascii="宋体" w:hAnsi="宋体"/>
                <w:szCs w:val="21"/>
              </w:rPr>
              <w:t>力学性能（强度和耐久性）</w:t>
            </w:r>
          </w:p>
        </w:tc>
        <w:tc>
          <w:tcPr>
            <w:tcW w:w="3333" w:type="dxa"/>
            <w:vAlign w:val="center"/>
          </w:tcPr>
          <w:p>
            <w:pPr>
              <w:snapToGrid w:val="0"/>
              <w:jc w:val="center"/>
              <w:rPr>
                <w:rFonts w:ascii="宋体" w:hAnsi="宋体"/>
                <w:szCs w:val="21"/>
              </w:rPr>
            </w:pPr>
            <w:r>
              <w:rPr>
                <w:rFonts w:hint="eastAsia" w:ascii="宋体" w:hAnsi="宋体"/>
                <w:szCs w:val="21"/>
              </w:rPr>
              <w:t>搁板弯曲试验</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9</w:t>
            </w:r>
          </w:p>
        </w:tc>
        <w:tc>
          <w:tcPr>
            <w:tcW w:w="2025" w:type="dxa"/>
            <w:vMerge w:val="continue"/>
            <w:vAlign w:val="center"/>
          </w:tcPr>
          <w:p>
            <w:pPr>
              <w:jc w:val="center"/>
              <w:rPr>
                <w:color w:val="000000"/>
                <w:szCs w:val="21"/>
              </w:rPr>
            </w:pPr>
          </w:p>
        </w:tc>
        <w:tc>
          <w:tcPr>
            <w:tcW w:w="3333" w:type="dxa"/>
            <w:vAlign w:val="center"/>
          </w:tcPr>
          <w:p>
            <w:pPr>
              <w:snapToGrid w:val="0"/>
              <w:jc w:val="center"/>
              <w:rPr>
                <w:color w:val="000000"/>
                <w:szCs w:val="21"/>
              </w:rPr>
            </w:pPr>
            <w:r>
              <w:rPr>
                <w:rFonts w:hint="eastAsia" w:ascii="宋体" w:hAnsi="宋体"/>
                <w:szCs w:val="21"/>
              </w:rPr>
              <w:t>搁板支承强度试验</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10</w:t>
            </w:r>
          </w:p>
        </w:tc>
        <w:tc>
          <w:tcPr>
            <w:tcW w:w="2025" w:type="dxa"/>
            <w:vMerge w:val="continue"/>
            <w:vAlign w:val="center"/>
          </w:tcPr>
          <w:p>
            <w:pPr>
              <w:jc w:val="center"/>
              <w:rPr>
                <w:color w:val="000000"/>
                <w:szCs w:val="21"/>
              </w:rPr>
            </w:pPr>
          </w:p>
        </w:tc>
        <w:tc>
          <w:tcPr>
            <w:tcW w:w="3333" w:type="dxa"/>
            <w:vAlign w:val="center"/>
          </w:tcPr>
          <w:p>
            <w:pPr>
              <w:snapToGrid w:val="0"/>
              <w:jc w:val="center"/>
              <w:rPr>
                <w:color w:val="000000"/>
                <w:szCs w:val="21"/>
              </w:rPr>
            </w:pPr>
            <w:r>
              <w:rPr>
                <w:rFonts w:hint="eastAsia" w:ascii="宋体" w:hAnsi="宋体"/>
                <w:szCs w:val="21"/>
              </w:rPr>
              <w:t>结构和底架强度</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11</w:t>
            </w:r>
          </w:p>
        </w:tc>
        <w:tc>
          <w:tcPr>
            <w:tcW w:w="2025" w:type="dxa"/>
            <w:vMerge w:val="continue"/>
            <w:vAlign w:val="center"/>
          </w:tcPr>
          <w:p>
            <w:pPr>
              <w:jc w:val="center"/>
              <w:rPr>
                <w:color w:val="000000"/>
                <w:szCs w:val="21"/>
              </w:rPr>
            </w:pPr>
          </w:p>
        </w:tc>
        <w:tc>
          <w:tcPr>
            <w:tcW w:w="3333" w:type="dxa"/>
            <w:vAlign w:val="center"/>
          </w:tcPr>
          <w:p>
            <w:pPr>
              <w:snapToGrid w:val="0"/>
              <w:jc w:val="center"/>
              <w:rPr>
                <w:color w:val="000000"/>
                <w:szCs w:val="21"/>
              </w:rPr>
            </w:pPr>
            <w:r>
              <w:rPr>
                <w:rFonts w:hint="eastAsia" w:ascii="宋体" w:hAnsi="宋体"/>
                <w:szCs w:val="21"/>
              </w:rPr>
              <w:t>推拉构件强度试验</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12</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力学性能（稳定性）</w:t>
            </w:r>
          </w:p>
        </w:tc>
        <w:tc>
          <w:tcPr>
            <w:tcW w:w="3333" w:type="dxa"/>
            <w:vAlign w:val="center"/>
          </w:tcPr>
          <w:p>
            <w:pPr>
              <w:snapToGrid w:val="0"/>
              <w:jc w:val="center"/>
              <w:rPr>
                <w:rFonts w:ascii="宋体" w:hAnsi="宋体"/>
                <w:szCs w:val="21"/>
              </w:rPr>
            </w:pPr>
            <w:r>
              <w:rPr>
                <w:rFonts w:hint="eastAsia" w:ascii="宋体" w:hAnsi="宋体"/>
                <w:szCs w:val="21"/>
              </w:rPr>
              <w:t>活动部件关闭时的空载稳定性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13</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活动部件打开时的空载稳定性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14</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活动部件关闭时垂直加载稳定性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15</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活动部件打开时垂直加载稳定性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16</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搁板垂直加载稳定性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17</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搁板水平加载稳定性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GB/T 3325-20</w:t>
      </w:r>
      <w:r>
        <w:rPr>
          <w:rFonts w:hint="eastAsia" w:ascii="Times New Roman" w:hAnsi="Times New Roman"/>
          <w:color w:val="000000"/>
          <w:szCs w:val="21"/>
        </w:rPr>
        <w:t>17</w:t>
      </w:r>
      <w:r>
        <w:rPr>
          <w:rFonts w:ascii="Times New Roman" w:hAnsi="Times New Roman"/>
          <w:color w:val="000000"/>
          <w:szCs w:val="21"/>
        </w:rPr>
        <w:t xml:space="preserve"> </w:t>
      </w:r>
      <w:r>
        <w:rPr>
          <w:rFonts w:hint="eastAsia" w:ascii="Times New Roman" w:hAnsi="Times New Roman"/>
          <w:color w:val="000000"/>
          <w:szCs w:val="21"/>
        </w:rPr>
        <w:t>《金属家具通用技术条件》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GB/T 13668-2015《</w:t>
      </w:r>
      <w:r>
        <w:rPr>
          <w:rFonts w:hint="eastAsia" w:ascii="Times New Roman" w:hAnsi="Times New Roman"/>
          <w:color w:val="000000"/>
          <w:szCs w:val="21"/>
        </w:rPr>
        <w:t>钢制书柜、资料柜通用技术条件</w:t>
      </w:r>
      <w:r>
        <w:rPr>
          <w:rFonts w:ascii="Times New Roman" w:hAnsi="Times New Roman"/>
          <w:color w:val="000000"/>
          <w:szCs w:val="21"/>
        </w:rPr>
        <w:t>》</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QB/T</w:t>
      </w:r>
      <w:r>
        <w:rPr>
          <w:rFonts w:hint="eastAsia" w:ascii="Times New Roman" w:hAnsi="Times New Roman"/>
          <w:color w:val="000000"/>
          <w:szCs w:val="21"/>
        </w:rPr>
        <w:t xml:space="preserve"> </w:t>
      </w:r>
      <w:r>
        <w:rPr>
          <w:rFonts w:ascii="Times New Roman" w:hAnsi="Times New Roman"/>
          <w:color w:val="000000"/>
          <w:szCs w:val="21"/>
        </w:rPr>
        <w:t>1097-2010</w:t>
      </w:r>
      <w:r>
        <w:rPr>
          <w:rFonts w:hint="eastAsia" w:ascii="Times New Roman" w:hAnsi="Times New Roman"/>
          <w:color w:val="000000"/>
          <w:szCs w:val="21"/>
        </w:rPr>
        <w:t xml:space="preserve"> 《钢制文件柜》</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 18584-2001</w:t>
      </w:r>
      <w:r>
        <w:rPr>
          <w:rFonts w:hint="eastAsia" w:ascii="Times New Roman" w:hAnsi="Times New Roman"/>
          <w:color w:val="000000"/>
          <w:szCs w:val="21"/>
        </w:rPr>
        <w:t>《室内装饰装修材料木家具中有害物质限量》</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 18580-20</w:t>
      </w:r>
      <w:r>
        <w:rPr>
          <w:rFonts w:hint="eastAsia" w:ascii="Times New Roman" w:hAnsi="Times New Roman"/>
          <w:color w:val="000000"/>
          <w:szCs w:val="21"/>
        </w:rPr>
        <w:t>17《室内装饰装修材料人造板及其制品中甲醛释放限量》</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eastAsia"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pacing w:before="156" w:beforeLines="50" w:after="156" w:afterLines="50" w:line="360" w:lineRule="auto"/>
        <w:rPr>
          <w:rFonts w:ascii="Times New Roman" w:hAnsi="Times New Roman" w:eastAsia="黑体"/>
          <w:color w:val="000000"/>
          <w:szCs w:val="21"/>
        </w:rPr>
      </w:pPr>
      <w:r>
        <w:rPr>
          <w:rFonts w:hint="eastAsia" w:ascii="Times New Roman" w:hAnsi="Times New Roman" w:eastAsia="黑体"/>
          <w:color w:val="000000"/>
          <w:szCs w:val="21"/>
        </w:rPr>
        <w:t>4</w:t>
      </w:r>
      <w:r>
        <w:rPr>
          <w:rFonts w:ascii="Times New Roman" w:hAnsi="Times New Roman" w:eastAsia="黑体"/>
          <w:color w:val="000000"/>
          <w:szCs w:val="21"/>
        </w:rPr>
        <w:t xml:space="preserve"> 附则</w:t>
      </w:r>
    </w:p>
    <w:p>
      <w:pPr>
        <w:rPr>
          <w:rFonts w:hint="eastAsia" w:ascii="Times New Roman" w:hAnsi="Times New Roman" w:eastAsia="宋体"/>
          <w:color w:val="000000"/>
          <w:szCs w:val="21"/>
          <w:lang w:eastAsia="zh-CN"/>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r>
        <w:rPr>
          <w:rFonts w:ascii="Times New Roman" w:hAnsi="Times New Roman"/>
          <w:color w:val="000000"/>
          <w:szCs w:val="21"/>
        </w:rPr>
        <w:t>中的《贵州省</w:t>
      </w:r>
      <w:r>
        <w:rPr>
          <w:rFonts w:hint="eastAsia" w:ascii="宋体" w:hAnsi="宋体"/>
          <w:szCs w:val="21"/>
        </w:rPr>
        <w:t>金属家具</w:t>
      </w:r>
      <w:r>
        <w:rPr>
          <w:rFonts w:ascii="Times New Roman" w:hAnsi="Times New Roman"/>
          <w:color w:val="000000"/>
          <w:szCs w:val="21"/>
        </w:rPr>
        <w:t>产品质量监督抽查实施细则（</w:t>
      </w:r>
      <w:r>
        <w:rPr>
          <w:rFonts w:hint="eastAsia" w:ascii="Times New Roman" w:hAnsi="Times New Roman"/>
          <w:color w:val="000000"/>
          <w:szCs w:val="21"/>
          <w:lang w:val="en-US" w:eastAsia="zh-CN"/>
        </w:rPr>
        <w:t>2021版</w:t>
      </w:r>
      <w:r>
        <w:rPr>
          <w:rFonts w:ascii="Times New Roman" w:hAnsi="Times New Roman"/>
          <w:color w:val="000000"/>
          <w:szCs w:val="21"/>
        </w:rPr>
        <w:t>）》</w:t>
      </w:r>
      <w:r>
        <w:rPr>
          <w:rFonts w:hint="eastAsia" w:ascii="Times New Roman" w:hAnsi="Times New Roman"/>
          <w:color w:val="000000"/>
          <w:szCs w:val="21"/>
          <w:lang w:eastAsia="zh-CN"/>
        </w:rPr>
        <w:t>。</w:t>
      </w:r>
    </w:p>
    <w:p>
      <w:pPr>
        <w:snapToGrid w:val="0"/>
        <w:spacing w:line="384" w:lineRule="auto"/>
        <w:ind w:firstLine="420" w:firstLineChars="200"/>
        <w:rPr>
          <w:rFonts w:ascii="Times New Roman" w:hAnsi="Times New Roman"/>
          <w:color w:val="000000"/>
          <w:szCs w:val="21"/>
        </w:rPr>
      </w:pPr>
      <w:bookmarkStart w:id="0" w:name="_GoBack"/>
      <w:bookmarkEnd w:id="0"/>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14997"/>
    <w:rsid w:val="00034C6F"/>
    <w:rsid w:val="00052D0A"/>
    <w:rsid w:val="0006741A"/>
    <w:rsid w:val="00080190"/>
    <w:rsid w:val="000A0C0F"/>
    <w:rsid w:val="000A1F68"/>
    <w:rsid w:val="000B7B2B"/>
    <w:rsid w:val="0010045C"/>
    <w:rsid w:val="001134E2"/>
    <w:rsid w:val="0013450E"/>
    <w:rsid w:val="00135D58"/>
    <w:rsid w:val="0014671B"/>
    <w:rsid w:val="001479E1"/>
    <w:rsid w:val="00156592"/>
    <w:rsid w:val="00175325"/>
    <w:rsid w:val="001836A6"/>
    <w:rsid w:val="001960E8"/>
    <w:rsid w:val="00197FAE"/>
    <w:rsid w:val="001B1ECE"/>
    <w:rsid w:val="001B3557"/>
    <w:rsid w:val="001D3021"/>
    <w:rsid w:val="001E7E75"/>
    <w:rsid w:val="001F4D89"/>
    <w:rsid w:val="002642D1"/>
    <w:rsid w:val="0026615D"/>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C4925"/>
    <w:rsid w:val="003D6EDD"/>
    <w:rsid w:val="004565AD"/>
    <w:rsid w:val="004A4DFC"/>
    <w:rsid w:val="004B599D"/>
    <w:rsid w:val="004C6EAB"/>
    <w:rsid w:val="004C79DF"/>
    <w:rsid w:val="004D05AF"/>
    <w:rsid w:val="00507AE0"/>
    <w:rsid w:val="0051512A"/>
    <w:rsid w:val="00560FE5"/>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C5B37"/>
    <w:rsid w:val="007E7B78"/>
    <w:rsid w:val="00801099"/>
    <w:rsid w:val="0081765C"/>
    <w:rsid w:val="00843615"/>
    <w:rsid w:val="008536DB"/>
    <w:rsid w:val="00863267"/>
    <w:rsid w:val="00863F48"/>
    <w:rsid w:val="00870548"/>
    <w:rsid w:val="00872CC4"/>
    <w:rsid w:val="008737DB"/>
    <w:rsid w:val="008744B5"/>
    <w:rsid w:val="00897986"/>
    <w:rsid w:val="008E4C32"/>
    <w:rsid w:val="008F131B"/>
    <w:rsid w:val="00911043"/>
    <w:rsid w:val="00933214"/>
    <w:rsid w:val="00963128"/>
    <w:rsid w:val="00987B95"/>
    <w:rsid w:val="009A6925"/>
    <w:rsid w:val="009B3AF3"/>
    <w:rsid w:val="009B48C4"/>
    <w:rsid w:val="009C1C38"/>
    <w:rsid w:val="009D2CD9"/>
    <w:rsid w:val="009D2E2A"/>
    <w:rsid w:val="009E6086"/>
    <w:rsid w:val="009F189F"/>
    <w:rsid w:val="00A055B0"/>
    <w:rsid w:val="00A0674B"/>
    <w:rsid w:val="00A43275"/>
    <w:rsid w:val="00A45213"/>
    <w:rsid w:val="00A5157E"/>
    <w:rsid w:val="00A66A3D"/>
    <w:rsid w:val="00A7543F"/>
    <w:rsid w:val="00A77E8A"/>
    <w:rsid w:val="00A91616"/>
    <w:rsid w:val="00A916BA"/>
    <w:rsid w:val="00AB2350"/>
    <w:rsid w:val="00AB462B"/>
    <w:rsid w:val="00AE1821"/>
    <w:rsid w:val="00AE471A"/>
    <w:rsid w:val="00AE5734"/>
    <w:rsid w:val="00AF5572"/>
    <w:rsid w:val="00B51584"/>
    <w:rsid w:val="00B54E2B"/>
    <w:rsid w:val="00B55224"/>
    <w:rsid w:val="00B80476"/>
    <w:rsid w:val="00B908E9"/>
    <w:rsid w:val="00B97F97"/>
    <w:rsid w:val="00BD2490"/>
    <w:rsid w:val="00C17712"/>
    <w:rsid w:val="00C17F20"/>
    <w:rsid w:val="00C207B1"/>
    <w:rsid w:val="00C21785"/>
    <w:rsid w:val="00C345BB"/>
    <w:rsid w:val="00C46A22"/>
    <w:rsid w:val="00C57739"/>
    <w:rsid w:val="00C87AB5"/>
    <w:rsid w:val="00C9467F"/>
    <w:rsid w:val="00CB316D"/>
    <w:rsid w:val="00CC4D8D"/>
    <w:rsid w:val="00CD3877"/>
    <w:rsid w:val="00CF5F1B"/>
    <w:rsid w:val="00D1325F"/>
    <w:rsid w:val="00D31DB4"/>
    <w:rsid w:val="00D6657B"/>
    <w:rsid w:val="00D732ED"/>
    <w:rsid w:val="00D85C2A"/>
    <w:rsid w:val="00D879A0"/>
    <w:rsid w:val="00D9506C"/>
    <w:rsid w:val="00DC0140"/>
    <w:rsid w:val="00DC2584"/>
    <w:rsid w:val="00DD7E3B"/>
    <w:rsid w:val="00E13168"/>
    <w:rsid w:val="00E1489E"/>
    <w:rsid w:val="00E24FC8"/>
    <w:rsid w:val="00E648F6"/>
    <w:rsid w:val="00E96130"/>
    <w:rsid w:val="00EA38DE"/>
    <w:rsid w:val="00ED03C4"/>
    <w:rsid w:val="00EE3E98"/>
    <w:rsid w:val="00EF0AC2"/>
    <w:rsid w:val="00F245D1"/>
    <w:rsid w:val="00F54BA6"/>
    <w:rsid w:val="00F835CE"/>
    <w:rsid w:val="00FA2884"/>
    <w:rsid w:val="00FA45C8"/>
    <w:rsid w:val="00FA59DC"/>
    <w:rsid w:val="00FC0C80"/>
    <w:rsid w:val="00FD5380"/>
    <w:rsid w:val="00FE1549"/>
    <w:rsid w:val="00FF1D7E"/>
    <w:rsid w:val="01757279"/>
    <w:rsid w:val="02394E6E"/>
    <w:rsid w:val="071C39DD"/>
    <w:rsid w:val="0C3020D5"/>
    <w:rsid w:val="14707C4A"/>
    <w:rsid w:val="14A748C1"/>
    <w:rsid w:val="29817179"/>
    <w:rsid w:val="2C062286"/>
    <w:rsid w:val="4A1D0919"/>
    <w:rsid w:val="55CC633D"/>
    <w:rsid w:val="60D566FD"/>
    <w:rsid w:val="61D054C2"/>
    <w:rsid w:val="61F5033B"/>
    <w:rsid w:val="652F585C"/>
    <w:rsid w:val="723415EF"/>
    <w:rsid w:val="FBFC43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410</Words>
  <Characters>2339</Characters>
  <Lines>19</Lines>
  <Paragraphs>5</Paragraphs>
  <TotalTime>0</TotalTime>
  <ScaleCrop>false</ScaleCrop>
  <LinksUpToDate>false</LinksUpToDate>
  <CharactersWithSpaces>2744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2020-06-07T23:12:00Z</dcterms:created>
  <dc:creator>lenovo</dc:creator>
  <cp:lastModifiedBy>ysgz</cp:lastModifiedBy>
  <dcterms:modified xsi:type="dcterms:W3CDTF">2022-04-26T16:53:12Z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