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left"/>
        <w:rPr>
          <w:rFonts w:ascii="黑体" w:hAnsi="黑体" w:eastAsia="黑体" w:cstheme="minorEastAsia"/>
          <w:spacing w:val="0"/>
          <w:kern w:val="0"/>
          <w:sz w:val="28"/>
          <w:szCs w:val="28"/>
        </w:rPr>
      </w:pPr>
      <w:r>
        <w:rPr>
          <w:rFonts w:hint="eastAsia" w:ascii="黑体" w:hAnsi="黑体" w:eastAsia="黑体" w:cstheme="minorEastAsia"/>
          <w:spacing w:val="0"/>
          <w:kern w:val="0"/>
          <w:sz w:val="28"/>
          <w:szCs w:val="28"/>
        </w:rPr>
        <w:t>附件1</w:t>
      </w:r>
    </w:p>
    <w:p>
      <w:pPr>
        <w:widowControl/>
        <w:snapToGrid w:val="0"/>
        <w:spacing w:line="480" w:lineRule="atLeast"/>
        <w:jc w:val="left"/>
        <w:rPr>
          <w:rFonts w:asciiTheme="minorEastAsia" w:hAnsiTheme="minorEastAsia" w:eastAsiaTheme="minorEastAsia" w:cstheme="minorEastAsia"/>
          <w:spacing w:val="0"/>
          <w:kern w:val="0"/>
          <w:sz w:val="28"/>
          <w:szCs w:val="28"/>
        </w:rPr>
      </w:pPr>
    </w:p>
    <w:p>
      <w:pPr>
        <w:widowControl/>
        <w:spacing w:before="90" w:after="9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  <w:lang w:val="e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  <w:t>年贵州省知识产权优势企业项目</w:t>
      </w:r>
    </w:p>
    <w:p>
      <w:pPr>
        <w:widowControl/>
        <w:spacing w:before="90" w:after="9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  <w:t>资助名单</w:t>
      </w:r>
    </w:p>
    <w:p>
      <w:pPr>
        <w:widowControl/>
        <w:spacing w:before="90" w:after="90"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0"/>
          <w:kern w:val="0"/>
          <w:sz w:val="44"/>
          <w:szCs w:val="44"/>
        </w:rPr>
      </w:pPr>
    </w:p>
    <w:tbl>
      <w:tblPr>
        <w:tblStyle w:val="2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448"/>
        <w:gridCol w:w="1659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pacing w:val="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pacing w:val="0"/>
                <w:kern w:val="0"/>
                <w:sz w:val="30"/>
                <w:szCs w:val="30"/>
                <w:lang w:bidi="ar"/>
              </w:rPr>
              <w:t>资助企业名称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pacing w:val="0"/>
                <w:kern w:val="0"/>
                <w:sz w:val="30"/>
                <w:szCs w:val="30"/>
                <w:lang w:bidi="ar"/>
              </w:rPr>
              <w:t>资助金额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pacing w:val="0"/>
                <w:kern w:val="0"/>
                <w:sz w:val="30"/>
                <w:szCs w:val="30"/>
                <w:lang w:bidi="ar"/>
              </w:rPr>
              <w:t>（万元）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pacing w:val="0"/>
                <w:kern w:val="0"/>
                <w:sz w:val="30"/>
                <w:szCs w:val="30"/>
                <w:lang w:bidi="ar"/>
              </w:rPr>
              <w:t>所在市州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贵阳富源饲料有限公司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贵州贵材创新科技股份有限公司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</w:t>
            </w: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阳</w:t>
            </w: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险峰机床有限责任公司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贵州安吉华元科技发展有限公司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贵阳顺络迅达电子有限公司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贵州全安密灵科技有限公司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贵州黎阳天翔科技有限公司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贵州中铝铝业有限公司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联塑科技发展（贵阳）有限公司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中建四局安装工程有限公司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贵州华烽汽车零部件有限公司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贵州千叶药品包装有限公司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贵州茅贡米业有限公司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遵义市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遵义天磁锰业集团有限公司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贵州梅岭电源有限公司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贵州万胜药业有限责任公司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贵州南山婆食品加工有限公司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安顺市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贵州初好农业科技开发有限公司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六盘水市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贵州水钢金属科技有限公司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贵州金沙贡茶茶业有限公司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毕节市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21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贵州金瑞新材料有限责任公司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铜仁市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22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国药集团贵州血液制品有限公司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黔东南州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23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贵州胜威福全化工有限公司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黔南州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6" w:type="dxa"/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24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贵州省霖生木业有限公司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黔西南州</w:t>
            </w:r>
          </w:p>
        </w:tc>
      </w:tr>
    </w:tbl>
    <w:p>
      <w:pPr>
        <w:widowControl/>
        <w:snapToGrid w:val="0"/>
        <w:spacing w:line="480" w:lineRule="atLeast"/>
        <w:jc w:val="center"/>
        <w:rPr>
          <w:rFonts w:ascii="方正仿宋_GBK" w:hAnsi="方正仿宋_GBK" w:eastAsia="方正仿宋_GBK" w:cs="方正仿宋_GBK"/>
          <w:spacing w:val="0"/>
          <w:kern w:val="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5D3A149E"/>
    <w:rsid w:val="5D3A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2022-10-26T08:07:00Z</dcterms:created>
  <dc:creator>L</dc:creator>
  <cp:lastModifiedBy>L</cp:lastModifiedBy>
  <dcterms:modified xsi:type="dcterms:W3CDTF">2022-10-26T08:07:53Z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4FEBDCD288B941B7989A18C76C25DFC2</vt:lpwstr>
  </property>
</Properties>
</file>