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left"/>
        <w:rPr>
          <w:rFonts w:ascii="黑体" w:hAnsi="黑体" w:eastAsia="黑体" w:cstheme="minorEastAsia"/>
          <w:spacing w:val="0"/>
          <w:kern w:val="0"/>
          <w:sz w:val="28"/>
          <w:szCs w:val="28"/>
        </w:rPr>
      </w:pPr>
      <w:r>
        <w:rPr>
          <w:rFonts w:hint="eastAsia" w:ascii="黑体" w:hAnsi="黑体" w:eastAsia="黑体" w:cstheme="minorEastAsia"/>
          <w:spacing w:val="0"/>
          <w:kern w:val="0"/>
          <w:sz w:val="28"/>
          <w:szCs w:val="28"/>
        </w:rPr>
        <w:t>附件</w:t>
      </w:r>
      <w:r>
        <w:rPr>
          <w:rFonts w:ascii="黑体" w:hAnsi="黑体" w:eastAsia="黑体" w:cstheme="minorEastAsia"/>
          <w:spacing w:val="0"/>
          <w:kern w:val="0"/>
          <w:sz w:val="28"/>
          <w:szCs w:val="28"/>
        </w:rPr>
        <w:t>3</w:t>
      </w:r>
    </w:p>
    <w:p>
      <w:pPr>
        <w:widowControl/>
        <w:snapToGrid w:val="0"/>
        <w:spacing w:line="480" w:lineRule="atLeast"/>
        <w:jc w:val="left"/>
        <w:rPr>
          <w:rFonts w:asciiTheme="minorEastAsia" w:hAnsiTheme="minorEastAsia" w:eastAsiaTheme="minorEastAsia" w:cstheme="minorEastAsia"/>
          <w:spacing w:val="0"/>
          <w:kern w:val="0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bookmarkStart w:id="0" w:name="OLE_LINK2"/>
      <w:bookmarkStart w:id="1" w:name="OLE_LINK3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2022年贵州省知识产权管理标准化建设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资助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名单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tbl>
      <w:tblPr>
        <w:tblStyle w:val="2"/>
        <w:tblW w:w="8883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5252"/>
        <w:gridCol w:w="157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 w:cs="宋体"/>
                <w:b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pacing w:val="0"/>
                <w:sz w:val="28"/>
                <w:szCs w:val="28"/>
              </w:rPr>
              <w:t>序号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 w:cs="宋体"/>
                <w:b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pacing w:val="0"/>
                <w:sz w:val="28"/>
                <w:szCs w:val="28"/>
              </w:rPr>
              <w:t>资助企业名称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pacing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spacing w:val="0"/>
                <w:kern w:val="0"/>
                <w:sz w:val="30"/>
                <w:szCs w:val="30"/>
                <w:lang w:bidi="ar"/>
              </w:rPr>
              <w:t>资助金额</w:t>
            </w:r>
          </w:p>
          <w:p>
            <w:pPr>
              <w:widowControl/>
              <w:snapToGrid w:val="0"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 w:cs="宋体"/>
                <w:b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spacing w:val="0"/>
                <w:kern w:val="0"/>
                <w:sz w:val="30"/>
                <w:szCs w:val="30"/>
                <w:lang w:bidi="ar"/>
              </w:rPr>
              <w:t>（万元）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 w:cs="宋体"/>
                <w:b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pacing w:val="0"/>
                <w:sz w:val="28"/>
                <w:szCs w:val="28"/>
              </w:rPr>
              <w:t>所在市(州)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 w:cs="宋体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1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贵州中广电气有限公司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2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贵州云墨科技有限公司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3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贵州维康子帆药业股份有限公司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4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贵州微化科技有限公司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5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贵州万孚先义检测技术有限公司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6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贵州圣济堂制药有限公司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trike/>
                <w:spacing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7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贵州谱尼测试技术有限公司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trike/>
                <w:color w:val="FF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8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贵州联合安盛矿山技术服务有限公司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9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贵州景浩科技有限公司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10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贵州健安德科技有限公司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11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贵州浩瑞天联科技有限公司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12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贵州广济堂健康药业有限公司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13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贵州光正制药有限责任公司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14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贵州高峰石油机械股份有限公司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15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贵州鼎成熔鑫科技有限公司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16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贵州点点云数字技术有限公司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17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贵阳天友机械加工有限公司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18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贵阳旌霖网络科技有限公司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19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贵阳华旭科技开发有限公司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20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遵义新利特金属材料科技有限公司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遵义市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21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贵州遵义新佳裕食品有限公司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22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贵州万胜药业有限公司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23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贵州黔峰百草科技发展有限公司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24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贵州力强科技发展有限公司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25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贵州赤天化纸业股份有限公司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26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贵州贝加尔乐器有限公司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27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赤水市幸福源生物科技股份有限公司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28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贵州思特技术有限公司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安顺市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29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首钢水城钢铁（集团）赛德建设有限公司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六盘水市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30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六盘</w:t>
            </w: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水中</w:t>
            </w: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联工贸实业有限公司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31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贵州森塑宇木塑有限公司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32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贵州省印江县依仁食品有限公司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铜仁市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33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贵州省印江梵净山鼎牛食品有限公司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34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贵州省贵福菌业发展有限公司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35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贵州金瑞新材料有限责任公司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36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天能集团贵州能源科技有限公司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黔东南州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37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贵州黄平富诚实业有限公司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38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贵州康琦药械有限公司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黔南州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="-154" w:leftChars="-50" w:right="-154" w:rightChars="-50"/>
              <w:jc w:val="center"/>
              <w:rPr>
                <w:rFonts w:ascii="宋体" w:hAnsi="宋体" w:eastAsia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0"/>
                <w:sz w:val="28"/>
                <w:szCs w:val="28"/>
              </w:rPr>
              <w:t>39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贵州福泉川东化工有限公司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color w:val="000000"/>
                <w:spacing w:val="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Calibri"/>
                <w:color w:val="000000"/>
                <w:spacing w:val="0"/>
                <w:sz w:val="30"/>
                <w:szCs w:val="30"/>
              </w:rPr>
            </w:pPr>
          </w:p>
        </w:tc>
      </w:tr>
    </w:tbl>
    <w:p>
      <w:pPr>
        <w:widowControl/>
        <w:snapToGrid w:val="0"/>
        <w:spacing w:line="480" w:lineRule="atLeast"/>
        <w:jc w:val="left"/>
        <w:rPr>
          <w:rFonts w:ascii="方正仿宋_GBK" w:hAnsi="方正仿宋_GBK" w:eastAsia="方正仿宋_GBK" w:cs="方正仿宋_GBK"/>
          <w:spacing w:val="0"/>
          <w:kern w:val="0"/>
          <w:szCs w:val="32"/>
        </w:rPr>
      </w:pPr>
    </w:p>
    <w:p>
      <w:pPr>
        <w:autoSpaceDN w:val="0"/>
        <w:adjustRightInd w:val="0"/>
        <w:spacing w:line="240" w:lineRule="auto"/>
        <w:ind w:firstLine="616" w:firstLineChars="200"/>
        <w:jc w:val="left"/>
      </w:pPr>
    </w:p>
    <w:p>
      <w:bookmarkStart w:id="2" w:name="_GoBack"/>
      <w:bookmarkEnd w:id="2"/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0D796FD7"/>
    <w:rsid w:val="0D7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2022-10-26T08:08:00Z</dcterms:created>
  <dc:creator>L</dc:creator>
  <cp:lastModifiedBy>L</cp:lastModifiedBy>
  <dcterms:modified xsi:type="dcterms:W3CDTF">2022-10-26T08:08:47Z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7B22DC48582A4ED5B114F1260A95403B</vt:lpwstr>
  </property>
</Properties>
</file>