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left"/>
        <w:rPr>
          <w:rFonts w:ascii="黑体" w:hAnsi="黑体" w:eastAsia="黑体" w:cstheme="minorEastAsia"/>
          <w:kern w:val="0"/>
          <w:szCs w:val="28"/>
        </w:rPr>
      </w:pPr>
      <w:r>
        <w:rPr>
          <w:rFonts w:hint="eastAsia" w:ascii="黑体" w:hAnsi="黑体" w:eastAsia="黑体" w:cstheme="minorEastAsia"/>
          <w:kern w:val="0"/>
          <w:szCs w:val="28"/>
        </w:rPr>
        <w:t>附件</w:t>
      </w:r>
      <w:r>
        <w:rPr>
          <w:rFonts w:ascii="黑体" w:hAnsi="黑体" w:eastAsia="黑体" w:cstheme="minorEastAsia"/>
          <w:kern w:val="0"/>
          <w:szCs w:val="28"/>
        </w:rPr>
        <w:t>1</w:t>
      </w:r>
    </w:p>
    <w:p>
      <w:pPr>
        <w:widowControl/>
        <w:snapToGrid w:val="0"/>
        <w:spacing w:line="480" w:lineRule="atLeast"/>
        <w:jc w:val="left"/>
        <w:rPr>
          <w:rFonts w:ascii="方正仿宋_GBK" w:hAnsi="方正仿宋_GBK" w:eastAsia="方正仿宋_GBK" w:cs="方正仿宋_GBK"/>
          <w:kern w:val="0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年贵州省县域（园区）经济知识产权</w:t>
      </w:r>
    </w:p>
    <w:p>
      <w:pPr>
        <w:widowControl/>
        <w:snapToGrid w:val="0"/>
        <w:spacing w:line="480" w:lineRule="atLeas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战略推进工程项目资助名单</w:t>
      </w:r>
    </w:p>
    <w:tbl>
      <w:tblPr>
        <w:tblStyle w:val="3"/>
        <w:tblW w:w="9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750"/>
        <w:gridCol w:w="4105"/>
        <w:gridCol w:w="14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8"/>
                <w:szCs w:val="28"/>
              </w:rPr>
              <w:t>县域（园区）名称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8"/>
                <w:szCs w:val="28"/>
              </w:rPr>
              <w:t>实施部门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8"/>
                <w:szCs w:val="28"/>
              </w:rPr>
              <w:t>所在市州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贵阳市南明区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贵阳市南明区市场监督管理局</w:t>
            </w:r>
          </w:p>
        </w:tc>
        <w:tc>
          <w:tcPr>
            <w:tcW w:w="1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贵阳市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（贵安）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贵阳国家高新技术产业开发区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贵阳市市场监督管理局高新区分局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贵州贵安新区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贵州贵安新区市场监督管理局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遵义市新蒲新区（贵州新蒲经济开发区）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遵义市新蒲新区管理委员会市场监督管理局</w:t>
            </w:r>
          </w:p>
        </w:tc>
        <w:tc>
          <w:tcPr>
            <w:tcW w:w="1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桐梓县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桐梓县市场监督管理局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湄潭县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湄潭县市场监督管理局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六盘水市钟山区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六盘水市钟山区市场监督管理局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六盘水市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安顺市西秀区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安顺市西秀区市场监督管理局</w:t>
            </w:r>
          </w:p>
        </w:tc>
        <w:tc>
          <w:tcPr>
            <w:tcW w:w="1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安顺市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安顺经济技术开发区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安顺经济技术开发区市场监督管理局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安顺市平坝区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安顺市平坝区市场监督管理局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金沙县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金沙县市场监督管理局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毕节市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玉屏侗族自治县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玉屏侗族自治县市场监督管理局</w:t>
            </w:r>
          </w:p>
        </w:tc>
        <w:tc>
          <w:tcPr>
            <w:tcW w:w="1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铜仁市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贵州大龙经济开发区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铜仁市市场监督管理局大龙经济开发区分局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榕江县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榕江县市场监督管理局</w:t>
            </w:r>
          </w:p>
        </w:tc>
        <w:tc>
          <w:tcPr>
            <w:tcW w:w="1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黔东南州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雷山县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雷山县市场监督管理局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施秉县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施秉县市场监督管理局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罗甸县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罗甸县市场监督管理局</w:t>
            </w:r>
          </w:p>
        </w:tc>
        <w:tc>
          <w:tcPr>
            <w:tcW w:w="1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黔南州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瓮安县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瓮安县市场监督管理局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贞丰县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贞丰县市场监督管理局</w:t>
            </w:r>
          </w:p>
        </w:tc>
        <w:tc>
          <w:tcPr>
            <w:tcW w:w="1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黔西南州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  <w:t>安龙县</w:t>
            </w:r>
          </w:p>
        </w:tc>
        <w:tc>
          <w:tcPr>
            <w:tcW w:w="41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pacing w:val="0"/>
                <w:kern w:val="0"/>
                <w:sz w:val="28"/>
                <w:szCs w:val="28"/>
                <w:lang w:bidi="ar"/>
              </w:rPr>
              <w:t>安龙县市场监督管理局</w:t>
            </w:r>
          </w:p>
        </w:tc>
        <w:tc>
          <w:tcPr>
            <w:tcW w:w="1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1F8F49EB"/>
    <w:rsid w:val="1F8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2023-06-01T03:02:00Z</dcterms:created>
  <dc:creator>L</dc:creator>
  <cp:lastModifiedBy>L</cp:lastModifiedBy>
  <dcterms:modified xsi:type="dcterms:W3CDTF">2023-06-01T03:04:04Z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BD487DFC5C5E4DE99BC0114795633639_11</vt:lpwstr>
  </property>
</Properties>
</file>