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贵州省眼镜类产品质量监督抽查实施细则</w:t>
      </w:r>
    </w:p>
    <w:p>
      <w:pPr>
        <w:spacing w:line="440" w:lineRule="exact"/>
        <w:jc w:val="center"/>
        <w:rPr>
          <w:rFonts w:hint="eastAsia" w:ascii="楷体_GB2312" w:hAnsi="楷体_GB2312" w:eastAsia="楷体_GB2312" w:cs="楷体_GB2312"/>
          <w:color w:val="000000"/>
          <w:sz w:val="32"/>
          <w:szCs w:val="32"/>
        </w:rPr>
      </w:pPr>
      <w:bookmarkStart w:id="0" w:name="_GoBack"/>
      <w:r>
        <w:rPr>
          <w:rFonts w:hint="eastAsia" w:ascii="楷体_GB2312" w:hAnsi="楷体_GB2312" w:eastAsia="楷体_GB2312" w:cs="楷体_GB2312"/>
          <w:color w:val="000000"/>
          <w:sz w:val="32"/>
          <w:szCs w:val="32"/>
        </w:rPr>
        <w:t>（2023年版）</w:t>
      </w:r>
    </w:p>
    <w:bookmarkEnd w:id="0"/>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auto"/>
          <w:szCs w:val="21"/>
        </w:rPr>
      </w:pPr>
      <w:r>
        <w:rPr>
          <w:rFonts w:hint="eastAsia" w:ascii="Times New Roman" w:hAnsi="Times New Roman" w:cs="宋体"/>
          <w:szCs w:val="21"/>
        </w:rPr>
        <w:t>每批次产</w:t>
      </w:r>
      <w:r>
        <w:rPr>
          <w:rFonts w:hint="eastAsia" w:ascii="Times New Roman" w:hAnsi="Times New Roman" w:cs="宋体"/>
          <w:color w:val="auto"/>
          <w:szCs w:val="21"/>
        </w:rPr>
        <w:t>品抽取样品</w:t>
      </w:r>
      <w:r>
        <w:rPr>
          <w:rFonts w:ascii="Times New Roman" w:hAnsi="Times New Roman" w:cs="宋体"/>
          <w:color w:val="auto"/>
          <w:szCs w:val="21"/>
        </w:rPr>
        <w:t>2</w:t>
      </w:r>
      <w:r>
        <w:rPr>
          <w:rFonts w:hint="eastAsia"/>
          <w:color w:val="auto"/>
          <w:szCs w:val="21"/>
        </w:rPr>
        <w:t>副</w:t>
      </w:r>
      <w:r>
        <w:rPr>
          <w:rFonts w:hint="eastAsia" w:ascii="Times New Roman" w:hAnsi="Times New Roman" w:cs="宋体"/>
          <w:color w:val="auto"/>
          <w:szCs w:val="21"/>
        </w:rPr>
        <w:t>，其中</w:t>
      </w:r>
      <w:r>
        <w:rPr>
          <w:rFonts w:ascii="Times New Roman" w:hAnsi="Times New Roman" w:cs="宋体"/>
          <w:color w:val="auto"/>
          <w:szCs w:val="21"/>
        </w:rPr>
        <w:t>1</w:t>
      </w:r>
      <w:r>
        <w:rPr>
          <w:rFonts w:hint="eastAsia"/>
          <w:color w:val="auto"/>
          <w:szCs w:val="21"/>
        </w:rPr>
        <w:t>副</w:t>
      </w:r>
      <w:r>
        <w:rPr>
          <w:rFonts w:hint="eastAsia" w:ascii="Times New Roman" w:hAnsi="Times New Roman" w:cs="宋体"/>
          <w:color w:val="auto"/>
          <w:szCs w:val="21"/>
        </w:rPr>
        <w:t>作为检验样品，</w:t>
      </w:r>
      <w:r>
        <w:rPr>
          <w:rFonts w:ascii="Times New Roman" w:hAnsi="Times New Roman" w:cs="宋体"/>
          <w:color w:val="auto"/>
          <w:szCs w:val="21"/>
        </w:rPr>
        <w:t>1</w:t>
      </w:r>
      <w:r>
        <w:rPr>
          <w:rFonts w:hint="eastAsia"/>
          <w:color w:val="auto"/>
          <w:szCs w:val="21"/>
        </w:rPr>
        <w:t>副</w:t>
      </w:r>
      <w:r>
        <w:rPr>
          <w:rFonts w:hint="eastAsia" w:ascii="Times New Roman" w:hAnsi="Times New Roman" w:cs="宋体"/>
          <w:color w:val="auto"/>
          <w:szCs w:val="21"/>
        </w:rPr>
        <w:t>作为备用样品。</w:t>
      </w:r>
    </w:p>
    <w:p>
      <w:pPr>
        <w:snapToGrid w:val="0"/>
        <w:spacing w:line="440" w:lineRule="exact"/>
        <w:ind w:firstLine="420" w:firstLineChars="200"/>
        <w:rPr>
          <w:color w:val="auto"/>
          <w:szCs w:val="21"/>
        </w:rPr>
      </w:pPr>
    </w:p>
    <w:p>
      <w:pPr>
        <w:snapToGrid w:val="0"/>
        <w:spacing w:line="440" w:lineRule="exact"/>
        <w:rPr>
          <w:rFonts w:eastAsia="黑体"/>
          <w:color w:val="000000"/>
          <w:szCs w:val="21"/>
        </w:rPr>
      </w:pPr>
      <w:r>
        <w:rPr>
          <w:rFonts w:eastAsia="黑体"/>
          <w:color w:val="000000"/>
          <w:szCs w:val="21"/>
        </w:rPr>
        <w:t>2 检验依据</w:t>
      </w:r>
    </w:p>
    <w:tbl>
      <w:tblPr>
        <w:tblStyle w:val="8"/>
        <w:tblW w:w="7652" w:type="dxa"/>
        <w:jc w:val="center"/>
        <w:tblLayout w:type="fixed"/>
        <w:tblCellMar>
          <w:top w:w="0" w:type="dxa"/>
          <w:left w:w="108" w:type="dxa"/>
          <w:bottom w:w="0" w:type="dxa"/>
          <w:right w:w="108" w:type="dxa"/>
        </w:tblCellMar>
      </w:tblPr>
      <w:tblGrid>
        <w:gridCol w:w="934"/>
        <w:gridCol w:w="705"/>
        <w:gridCol w:w="3163"/>
        <w:gridCol w:w="2850"/>
      </w:tblGrid>
      <w:tr>
        <w:tblPrEx>
          <w:tblCellMar>
            <w:top w:w="0" w:type="dxa"/>
            <w:left w:w="108" w:type="dxa"/>
            <w:bottom w:w="0" w:type="dxa"/>
            <w:right w:w="108" w:type="dxa"/>
          </w:tblCellMar>
        </w:tblPrEx>
        <w:trPr>
          <w:trHeight w:val="375" w:hRule="atLeast"/>
          <w:tblHeader/>
          <w:jc w:val="center"/>
        </w:trPr>
        <w:tc>
          <w:tcPr>
            <w:tcW w:w="93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序号</w:t>
            </w:r>
          </w:p>
        </w:tc>
        <w:tc>
          <w:tcPr>
            <w:tcW w:w="3868"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检验项目</w:t>
            </w:r>
          </w:p>
        </w:tc>
        <w:tc>
          <w:tcPr>
            <w:tcW w:w="285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检测方法</w:t>
            </w:r>
          </w:p>
        </w:tc>
      </w:tr>
      <w:tr>
        <w:tblPrEx>
          <w:tblCellMar>
            <w:top w:w="0" w:type="dxa"/>
            <w:left w:w="108" w:type="dxa"/>
            <w:bottom w:w="0" w:type="dxa"/>
            <w:right w:w="108" w:type="dxa"/>
          </w:tblCellMar>
        </w:tblPrEx>
        <w:trPr>
          <w:trHeight w:val="345" w:hRule="atLeast"/>
          <w:tblHeader/>
          <w:jc w:val="center"/>
        </w:trPr>
        <w:tc>
          <w:tcPr>
            <w:tcW w:w="934"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3868"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c>
          <w:tcPr>
            <w:tcW w:w="2850" w:type="dxa"/>
            <w:vMerge w:val="continue"/>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Cs w:val="21"/>
              </w:rPr>
            </w:pP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705" w:type="dxa"/>
            <w:vMerge w:val="restart"/>
            <w:tcBorders>
              <w:top w:val="single" w:color="auto" w:sz="4" w:space="0"/>
              <w:left w:val="single" w:color="auto" w:sz="4" w:space="0"/>
              <w:right w:val="single" w:color="auto" w:sz="4" w:space="0"/>
            </w:tcBorders>
            <w:vAlign w:val="center"/>
          </w:tcPr>
          <w:p>
            <w:pPr>
              <w:snapToGrid w:val="0"/>
              <w:spacing w:line="400" w:lineRule="atLeast"/>
              <w:jc w:val="center"/>
              <w:rPr>
                <w:rFonts w:ascii="宋体" w:hAnsi="宋体" w:cs="Sim Sun"/>
                <w:kern w:val="0"/>
                <w:szCs w:val="21"/>
              </w:rPr>
            </w:pPr>
            <w:r>
              <w:rPr>
                <w:rFonts w:hint="eastAsia"/>
                <w:szCs w:val="21"/>
              </w:rPr>
              <w:t>镜片顶焦度</w:t>
            </w:r>
          </w:p>
        </w:tc>
        <w:tc>
          <w:tcPr>
            <w:tcW w:w="31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球镜顶焦度偏差（主子午面一）</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10810.1</w:t>
            </w:r>
            <w:r>
              <w:rPr>
                <w:rFonts w:hint="eastAsia"/>
                <w:color w:val="000000"/>
                <w:szCs w:val="21"/>
              </w:rPr>
              <w:t>-</w:t>
            </w:r>
            <w:r>
              <w:rPr>
                <w:color w:val="000000"/>
                <w:szCs w:val="21"/>
              </w:rPr>
              <w:t>2005</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705" w:type="dxa"/>
            <w:vMerge w:val="continue"/>
            <w:tcBorders>
              <w:left w:val="single" w:color="auto" w:sz="4" w:space="0"/>
              <w:right w:val="single" w:color="auto" w:sz="4" w:space="0"/>
            </w:tcBorders>
            <w:vAlign w:val="center"/>
          </w:tcPr>
          <w:p>
            <w:pPr>
              <w:snapToGrid w:val="0"/>
              <w:spacing w:line="400" w:lineRule="atLeast"/>
              <w:jc w:val="center"/>
              <w:rPr>
                <w:rFonts w:ascii="宋体" w:hAnsi="宋体" w:cs="Sim Sun"/>
                <w:kern w:val="0"/>
                <w:szCs w:val="21"/>
              </w:rPr>
            </w:pPr>
          </w:p>
        </w:tc>
        <w:tc>
          <w:tcPr>
            <w:tcW w:w="31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球镜顶焦度偏差（主子午面二）</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10810.1</w:t>
            </w:r>
            <w:r>
              <w:rPr>
                <w:rFonts w:hint="eastAsia"/>
                <w:color w:val="000000"/>
                <w:szCs w:val="21"/>
              </w:rPr>
              <w:t>-</w:t>
            </w:r>
            <w:r>
              <w:rPr>
                <w:color w:val="000000"/>
                <w:szCs w:val="21"/>
              </w:rPr>
              <w:t>2005</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705" w:type="dxa"/>
            <w:vMerge w:val="continue"/>
            <w:tcBorders>
              <w:left w:val="single" w:color="auto" w:sz="4" w:space="0"/>
              <w:bottom w:val="single" w:color="auto" w:sz="4" w:space="0"/>
              <w:right w:val="single" w:color="auto" w:sz="4" w:space="0"/>
            </w:tcBorders>
            <w:vAlign w:val="center"/>
          </w:tcPr>
          <w:p>
            <w:pPr>
              <w:snapToGrid w:val="0"/>
              <w:spacing w:line="400" w:lineRule="atLeast"/>
              <w:jc w:val="center"/>
              <w:rPr>
                <w:rFonts w:ascii="宋体" w:hAnsi="宋体" w:cs="Sim Sun"/>
                <w:kern w:val="0"/>
                <w:szCs w:val="21"/>
              </w:rPr>
            </w:pPr>
          </w:p>
        </w:tc>
        <w:tc>
          <w:tcPr>
            <w:tcW w:w="31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柱镜顶焦度偏差</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10810.1</w:t>
            </w:r>
            <w:r>
              <w:rPr>
                <w:rFonts w:hint="eastAsia"/>
                <w:color w:val="000000"/>
                <w:szCs w:val="21"/>
              </w:rPr>
              <w:t>-</w:t>
            </w:r>
            <w:r>
              <w:rPr>
                <w:color w:val="000000"/>
                <w:szCs w:val="21"/>
              </w:rPr>
              <w:t>2005</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柱镜轴位方向偏差</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10810.1</w:t>
            </w:r>
            <w:r>
              <w:rPr>
                <w:rFonts w:hint="eastAsia" w:ascii="宋体" w:hAnsi="宋体" w:cs="宋体"/>
                <w:color w:val="000000"/>
                <w:kern w:val="0"/>
                <w:sz w:val="20"/>
                <w:szCs w:val="20"/>
                <w:lang w:bidi="ar"/>
              </w:rPr>
              <w:t>-</w:t>
            </w:r>
            <w:r>
              <w:rPr>
                <w:color w:val="000000"/>
                <w:szCs w:val="21"/>
              </w:rPr>
              <w:t>2005</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rFonts w:hint="eastAsia"/>
                <w:color w:val="000000"/>
                <w:szCs w:val="21"/>
              </w:rPr>
              <w:t>可见光谱区</w:t>
            </w:r>
            <w:r>
              <w:rPr>
                <w:color w:val="000000"/>
                <w:szCs w:val="21"/>
              </w:rPr>
              <w:t>透射比</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10810.3</w:t>
            </w:r>
            <w:r>
              <w:rPr>
                <w:rFonts w:hint="eastAsia" w:ascii="宋体" w:hAnsi="宋体" w:cs="宋体"/>
                <w:color w:val="000000"/>
                <w:kern w:val="0"/>
                <w:sz w:val="20"/>
                <w:szCs w:val="20"/>
                <w:lang w:bidi="ar"/>
              </w:rPr>
              <w:t>-</w:t>
            </w:r>
            <w:r>
              <w:rPr>
                <w:color w:val="000000"/>
                <w:szCs w:val="21"/>
              </w:rPr>
              <w:t>2006</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太阳紫外A波段透射比</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10810.3</w:t>
            </w:r>
            <w:r>
              <w:rPr>
                <w:rFonts w:hint="eastAsia" w:ascii="宋体" w:hAnsi="宋体" w:cs="宋体"/>
                <w:color w:val="000000"/>
                <w:kern w:val="0"/>
                <w:sz w:val="20"/>
                <w:szCs w:val="20"/>
                <w:lang w:bidi="ar"/>
              </w:rPr>
              <w:t>-</w:t>
            </w:r>
            <w:r>
              <w:rPr>
                <w:color w:val="000000"/>
                <w:szCs w:val="21"/>
              </w:rPr>
              <w:t>2006</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7</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Sim Sun"/>
                <w:kern w:val="0"/>
                <w:szCs w:val="21"/>
              </w:rPr>
            </w:pPr>
            <w:r>
              <w:rPr>
                <w:color w:val="000000"/>
                <w:szCs w:val="21"/>
              </w:rPr>
              <w:t>太阳紫外B波段透射比</w:t>
            </w:r>
          </w:p>
        </w:tc>
        <w:tc>
          <w:tcPr>
            <w:tcW w:w="28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kern w:val="0"/>
                <w:sz w:val="20"/>
                <w:szCs w:val="20"/>
                <w:lang w:bidi="ar"/>
              </w:rPr>
            </w:pPr>
            <w:r>
              <w:rPr>
                <w:color w:val="000000"/>
                <w:szCs w:val="21"/>
              </w:rPr>
              <w:t>GB 10810.3</w:t>
            </w:r>
            <w:r>
              <w:rPr>
                <w:rFonts w:hint="eastAsia" w:ascii="宋体" w:hAnsi="宋体" w:cs="宋体"/>
                <w:color w:val="000000"/>
                <w:kern w:val="0"/>
                <w:sz w:val="20"/>
                <w:szCs w:val="20"/>
                <w:lang w:bidi="ar"/>
              </w:rPr>
              <w:t>-</w:t>
            </w:r>
            <w:r>
              <w:rPr>
                <w:color w:val="000000"/>
                <w:szCs w:val="21"/>
              </w:rPr>
              <w:t>2006</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8</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光学中心水平偏差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光学中心单侧水平偏差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10</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光学中心垂直互差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11</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kern w:val="0"/>
                <w:szCs w:val="21"/>
              </w:rPr>
            </w:pPr>
            <w:r>
              <w:rPr>
                <w:rFonts w:hint="eastAsia" w:ascii="宋体" w:hAnsi="宋体" w:cs="Sim Sun"/>
                <w:kern w:val="0"/>
                <w:szCs w:val="21"/>
              </w:rPr>
              <w:t>装配质量</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lang w:bidi="ar"/>
              </w:rPr>
            </w:pPr>
            <w:r>
              <w:rPr>
                <w:rFonts w:hint="eastAsia" w:ascii="宋体" w:hAnsi="宋体" w:cs="宋体"/>
                <w:color w:val="000000"/>
                <w:kern w:val="0"/>
                <w:sz w:val="20"/>
                <w:szCs w:val="20"/>
                <w:lang w:bidi="ar"/>
              </w:rPr>
              <w:t>GB 13511.1-2011</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auto"/>
                <w:szCs w:val="21"/>
              </w:rPr>
            </w:pPr>
            <w:r>
              <w:rPr>
                <w:rFonts w:hint="eastAsia" w:cs="宋体" w:asciiTheme="minorEastAsia" w:hAnsiTheme="minorEastAsia" w:eastAsiaTheme="minorEastAsia"/>
                <w:color w:val="auto"/>
                <w:szCs w:val="21"/>
              </w:rPr>
              <w:t>12</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atLeast"/>
              <w:jc w:val="center"/>
              <w:rPr>
                <w:rFonts w:ascii="宋体" w:hAnsi="宋体" w:cs="Sim Sun"/>
                <w:color w:val="auto"/>
                <w:kern w:val="0"/>
                <w:szCs w:val="21"/>
              </w:rPr>
            </w:pPr>
            <w:r>
              <w:rPr>
                <w:rFonts w:hint="eastAsia" w:ascii="宋体" w:hAnsi="宋体" w:cs="Sim Sun"/>
                <w:color w:val="auto"/>
                <w:kern w:val="0"/>
                <w:szCs w:val="21"/>
              </w:rPr>
              <w:t>光透射比相对偏差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kern w:val="0"/>
                <w:sz w:val="20"/>
                <w:szCs w:val="20"/>
                <w:lang w:bidi="ar"/>
              </w:rPr>
            </w:pPr>
            <w:r>
              <w:rPr>
                <w:rFonts w:hint="eastAsia" w:ascii="宋体" w:hAnsi="宋体" w:cs="宋体"/>
                <w:color w:val="auto"/>
                <w:kern w:val="0"/>
                <w:sz w:val="20"/>
                <w:szCs w:val="20"/>
                <w:lang w:bidi="ar"/>
              </w:rPr>
              <w:t>GB 10810.3-2006</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auto"/>
                <w:szCs w:val="21"/>
              </w:rPr>
            </w:pPr>
            <w:r>
              <w:rPr>
                <w:rFonts w:hint="eastAsia" w:cs="宋体" w:asciiTheme="minorEastAsia" w:hAnsiTheme="minorEastAsia" w:eastAsiaTheme="minorEastAsia"/>
                <w:color w:val="auto"/>
                <w:szCs w:val="21"/>
              </w:rPr>
              <w:t>13</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color w:val="auto"/>
                <w:kern w:val="0"/>
                <w:szCs w:val="21"/>
              </w:rPr>
            </w:pPr>
            <w:r>
              <w:rPr>
                <w:rFonts w:hint="eastAsia" w:ascii="宋体" w:hAnsi="宋体" w:cs="Sim Sun"/>
                <w:color w:val="auto"/>
                <w:kern w:val="0"/>
                <w:szCs w:val="21"/>
              </w:rPr>
              <w:t>水平棱镜度偏差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kern w:val="0"/>
                <w:sz w:val="20"/>
                <w:szCs w:val="20"/>
                <w:lang w:bidi="ar"/>
              </w:rPr>
            </w:pPr>
            <w:r>
              <w:rPr>
                <w:rFonts w:hint="eastAsia" w:ascii="宋体" w:hAnsi="宋体" w:cs="宋体"/>
                <w:color w:val="auto"/>
                <w:kern w:val="0"/>
                <w:sz w:val="20"/>
                <w:szCs w:val="20"/>
                <w:lang w:bidi="ar"/>
              </w:rPr>
              <w:t>GB 13511.1-2011</w:t>
            </w:r>
          </w:p>
        </w:tc>
      </w:tr>
      <w:tr>
        <w:tblPrEx>
          <w:tblCellMar>
            <w:top w:w="0" w:type="dxa"/>
            <w:left w:w="108" w:type="dxa"/>
            <w:bottom w:w="0" w:type="dxa"/>
            <w:right w:w="108" w:type="dxa"/>
          </w:tblCellMar>
        </w:tblPrEx>
        <w:trPr>
          <w:trHeight w:val="566" w:hRule="atLeast"/>
          <w:jc w:val="center"/>
        </w:trPr>
        <w:tc>
          <w:tcPr>
            <w:tcW w:w="934"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auto"/>
                <w:szCs w:val="21"/>
              </w:rPr>
            </w:pPr>
            <w:r>
              <w:rPr>
                <w:rFonts w:hint="eastAsia" w:cs="宋体" w:asciiTheme="minorEastAsia" w:hAnsiTheme="minorEastAsia" w:eastAsiaTheme="minorEastAsia"/>
                <w:color w:val="auto"/>
                <w:szCs w:val="21"/>
              </w:rPr>
              <w:t>14</w:t>
            </w:r>
          </w:p>
        </w:tc>
        <w:tc>
          <w:tcPr>
            <w:tcW w:w="3868" w:type="dxa"/>
            <w:gridSpan w:val="2"/>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cs="Sim Sun"/>
                <w:color w:val="auto"/>
                <w:kern w:val="0"/>
                <w:szCs w:val="21"/>
              </w:rPr>
            </w:pPr>
            <w:r>
              <w:rPr>
                <w:rFonts w:hint="eastAsia" w:ascii="宋体" w:hAnsi="宋体" w:cs="Sim Sun"/>
                <w:color w:val="auto"/>
                <w:kern w:val="0"/>
                <w:szCs w:val="21"/>
              </w:rPr>
              <w:t>垂直棱镜度偏差</w:t>
            </w:r>
          </w:p>
        </w:tc>
        <w:tc>
          <w:tcPr>
            <w:tcW w:w="28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kern w:val="0"/>
                <w:sz w:val="20"/>
                <w:szCs w:val="20"/>
                <w:lang w:bidi="ar"/>
              </w:rPr>
            </w:pPr>
            <w:r>
              <w:rPr>
                <w:rFonts w:hint="eastAsia" w:ascii="宋体" w:hAnsi="宋体" w:cs="宋体"/>
                <w:color w:val="auto"/>
                <w:kern w:val="0"/>
                <w:sz w:val="20"/>
                <w:szCs w:val="20"/>
                <w:lang w:bidi="ar"/>
              </w:rPr>
              <w:t>GB 13511.1-2011</w:t>
            </w:r>
          </w:p>
        </w:tc>
      </w:tr>
      <w:tr>
        <w:tblPrEx>
          <w:tblCellMar>
            <w:top w:w="0" w:type="dxa"/>
            <w:left w:w="108" w:type="dxa"/>
            <w:bottom w:w="0" w:type="dxa"/>
            <w:right w:w="108" w:type="dxa"/>
          </w:tblCellMar>
        </w:tblPrEx>
        <w:trPr>
          <w:trHeight w:val="566" w:hRule="atLeast"/>
          <w:jc w:val="center"/>
        </w:trPr>
        <w:tc>
          <w:tcPr>
            <w:tcW w:w="7652" w:type="dxa"/>
            <w:gridSpan w:val="4"/>
            <w:tcBorders>
              <w:top w:val="single" w:color="auto" w:sz="4" w:space="0"/>
              <w:left w:val="single" w:color="auto" w:sz="4" w:space="0"/>
              <w:bottom w:val="single" w:color="auto" w:sz="4" w:space="0"/>
              <w:right w:val="single" w:color="auto" w:sz="4" w:space="0"/>
            </w:tcBorders>
            <w:vAlign w:val="center"/>
          </w:tcPr>
          <w:p>
            <w:pPr>
              <w:numPr>
                <w:ilvl w:val="255"/>
                <w:numId w:val="0"/>
              </w:numPr>
              <w:snapToGrid w:val="0"/>
              <w:spacing w:line="400" w:lineRule="exact"/>
              <w:ind w:right="-28"/>
              <w:jc w:val="left"/>
              <w:rPr>
                <w:rFonts w:ascii="宋体" w:hAnsi="宋体" w:cs="宋体"/>
                <w:color w:val="auto"/>
                <w:kern w:val="0"/>
                <w:sz w:val="20"/>
                <w:szCs w:val="20"/>
                <w:lang w:bidi="ar"/>
              </w:rPr>
            </w:pPr>
            <w:r>
              <w:rPr>
                <w:rFonts w:hint="eastAsia" w:ascii="宋体" w:hAnsi="宋体" w:cs="Sim Sun"/>
                <w:color w:val="auto"/>
                <w:kern w:val="0"/>
                <w:szCs w:val="21"/>
              </w:rPr>
              <w:t>备注：只有当抽查的样品有处方棱镜度时，才对序号13、14项目进行检测。</w:t>
            </w:r>
          </w:p>
        </w:tc>
      </w:tr>
    </w:tbl>
    <w:p>
      <w:pPr>
        <w:adjustRightInd w:val="0"/>
        <w:snapToGrid w:val="0"/>
        <w:spacing w:line="440" w:lineRule="exact"/>
        <w:ind w:firstLine="420" w:firstLineChars="200"/>
        <w:rPr>
          <w:color w:val="auto"/>
          <w:szCs w:val="21"/>
        </w:rPr>
      </w:pPr>
      <w:r>
        <w:rPr>
          <w:rFonts w:hint="eastAsia"/>
          <w:color w:val="auto"/>
          <w:szCs w:val="21"/>
        </w:rPr>
        <w:t>执行企业标准、团体标准、地方标准的产品，检验项目参照上述内容执行。</w:t>
      </w:r>
    </w:p>
    <w:p>
      <w:pPr>
        <w:adjustRightInd w:val="0"/>
        <w:snapToGrid w:val="0"/>
        <w:spacing w:line="440" w:lineRule="exact"/>
        <w:ind w:firstLine="420" w:firstLineChars="200"/>
        <w:rPr>
          <w:color w:val="auto"/>
          <w:szCs w:val="21"/>
        </w:rPr>
      </w:pPr>
      <w:r>
        <w:rPr>
          <w:rFonts w:hint="eastAsia"/>
          <w:color w:val="auto"/>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auto"/>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pStyle w:val="21"/>
        <w:widowControl w:val="0"/>
        <w:snapToGrid w:val="0"/>
        <w:spacing w:line="440" w:lineRule="exact"/>
        <w:ind w:firstLine="420"/>
        <w:rPr>
          <w:rFonts w:ascii="Times New Roman" w:hAnsi="Times New Roman" w:cs="Times New Roman"/>
          <w:kern w:val="2"/>
        </w:rPr>
      </w:pPr>
      <w:r>
        <w:rPr>
          <w:rFonts w:ascii="Times New Roman" w:hAnsi="Times New Roman" w:cs="Times New Roman"/>
          <w:kern w:val="2"/>
        </w:rPr>
        <w:t>GB 10810.1</w:t>
      </w:r>
      <w:r>
        <w:rPr>
          <w:rFonts w:hint="eastAsia"/>
          <w:color w:val="000000"/>
        </w:rPr>
        <w:t>-</w:t>
      </w:r>
      <w:r>
        <w:rPr>
          <w:rFonts w:ascii="Times New Roman" w:hAnsi="Times New Roman" w:cs="Times New Roman"/>
          <w:kern w:val="2"/>
        </w:rPr>
        <w:t>2005 眼镜镜片 第1部分：单光和多焦点镜片</w:t>
      </w:r>
    </w:p>
    <w:p>
      <w:pPr>
        <w:adjustRightInd w:val="0"/>
        <w:snapToGrid w:val="0"/>
        <w:spacing w:line="440" w:lineRule="exact"/>
        <w:ind w:left="439" w:leftChars="209"/>
        <w:rPr>
          <w:rFonts w:ascii="Times New Roman" w:hAnsi="Times New Roman" w:cs="宋体"/>
          <w:color w:val="000000"/>
          <w:szCs w:val="21"/>
        </w:rPr>
      </w:pPr>
      <w:r>
        <w:rPr>
          <w:rFonts w:ascii="Times New Roman" w:hAnsi="Times New Roman"/>
        </w:rPr>
        <w:t>GB 10810.3</w:t>
      </w:r>
      <w:r>
        <w:rPr>
          <w:rFonts w:hint="eastAsia"/>
          <w:color w:val="000000"/>
          <w:szCs w:val="21"/>
        </w:rPr>
        <w:t>-</w:t>
      </w:r>
      <w:r>
        <w:rPr>
          <w:rFonts w:ascii="Times New Roman" w:hAnsi="Times New Roman"/>
        </w:rPr>
        <w:t>2006 眼镜镜片及相关眼镜产品 第3部分：透射比规范及测量方法</w:t>
      </w:r>
    </w:p>
    <w:p>
      <w:pPr>
        <w:adjustRightInd w:val="0"/>
        <w:snapToGrid w:val="0"/>
        <w:spacing w:line="440" w:lineRule="exact"/>
        <w:ind w:left="439" w:leftChars="209"/>
        <w:rPr>
          <w:color w:val="000000"/>
          <w:szCs w:val="21"/>
        </w:rPr>
      </w:pPr>
      <w:r>
        <w:rPr>
          <w:rFonts w:hint="eastAsia"/>
          <w:color w:val="000000"/>
          <w:szCs w:val="21"/>
        </w:rPr>
        <w:t>GB 13511.1-2011 配装眼镜 第1部分：单光和多焦点</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ascii="Times New Roman" w:hAnsi="Times New Roman"/>
          <w:color w:val="FF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4 附则</w:t>
      </w:r>
    </w:p>
    <w:p>
      <w:pPr>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本细则首次发布。</w:t>
      </w:r>
    </w:p>
    <w:p>
      <w:pPr>
        <w:adjustRightInd w:val="0"/>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Sim Sun">
    <w:altName w:val="汉仪仿宋S"/>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RjOWMwYTlmNjc3ZWIyOGM2ZTAwNmYwODk4ZGFjNTIifQ=="/>
  </w:docVars>
  <w:rsids>
    <w:rsidRoot w:val="00172A27"/>
    <w:rsid w:val="000078BF"/>
    <w:rsid w:val="000411F6"/>
    <w:rsid w:val="00051A44"/>
    <w:rsid w:val="00057215"/>
    <w:rsid w:val="0006546B"/>
    <w:rsid w:val="000724E0"/>
    <w:rsid w:val="00081CBD"/>
    <w:rsid w:val="000976DE"/>
    <w:rsid w:val="000D3DC3"/>
    <w:rsid w:val="000D4520"/>
    <w:rsid w:val="0011126F"/>
    <w:rsid w:val="00121AD2"/>
    <w:rsid w:val="00172A27"/>
    <w:rsid w:val="0017462B"/>
    <w:rsid w:val="001752B3"/>
    <w:rsid w:val="001809DD"/>
    <w:rsid w:val="001B1B80"/>
    <w:rsid w:val="001C5B9E"/>
    <w:rsid w:val="001E2A58"/>
    <w:rsid w:val="001E5FDD"/>
    <w:rsid w:val="00200F7E"/>
    <w:rsid w:val="00204381"/>
    <w:rsid w:val="002218A6"/>
    <w:rsid w:val="00226457"/>
    <w:rsid w:val="002313CD"/>
    <w:rsid w:val="00232530"/>
    <w:rsid w:val="00253624"/>
    <w:rsid w:val="00271173"/>
    <w:rsid w:val="002A0EB6"/>
    <w:rsid w:val="002D7664"/>
    <w:rsid w:val="002D7F8A"/>
    <w:rsid w:val="002E0D1D"/>
    <w:rsid w:val="002E31EC"/>
    <w:rsid w:val="002E54BA"/>
    <w:rsid w:val="003124B0"/>
    <w:rsid w:val="00312963"/>
    <w:rsid w:val="00315F5D"/>
    <w:rsid w:val="003203A3"/>
    <w:rsid w:val="00365CBE"/>
    <w:rsid w:val="00370478"/>
    <w:rsid w:val="00386B3C"/>
    <w:rsid w:val="00387342"/>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E1396"/>
    <w:rsid w:val="004F6A1B"/>
    <w:rsid w:val="005059B8"/>
    <w:rsid w:val="005246DF"/>
    <w:rsid w:val="00532C7D"/>
    <w:rsid w:val="005547B9"/>
    <w:rsid w:val="00563592"/>
    <w:rsid w:val="00563EBC"/>
    <w:rsid w:val="00567612"/>
    <w:rsid w:val="005944BB"/>
    <w:rsid w:val="005B2B74"/>
    <w:rsid w:val="005F410D"/>
    <w:rsid w:val="0061401E"/>
    <w:rsid w:val="00653ACE"/>
    <w:rsid w:val="0068383D"/>
    <w:rsid w:val="00683D59"/>
    <w:rsid w:val="00686C1D"/>
    <w:rsid w:val="00696872"/>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F7401"/>
    <w:rsid w:val="00847CA2"/>
    <w:rsid w:val="00854A39"/>
    <w:rsid w:val="00856856"/>
    <w:rsid w:val="00895BEA"/>
    <w:rsid w:val="00897938"/>
    <w:rsid w:val="008A3497"/>
    <w:rsid w:val="008A784B"/>
    <w:rsid w:val="008C2891"/>
    <w:rsid w:val="009162E3"/>
    <w:rsid w:val="00917A54"/>
    <w:rsid w:val="00920531"/>
    <w:rsid w:val="00947017"/>
    <w:rsid w:val="009508C0"/>
    <w:rsid w:val="009672B3"/>
    <w:rsid w:val="00983208"/>
    <w:rsid w:val="00986DAA"/>
    <w:rsid w:val="009E1DB3"/>
    <w:rsid w:val="009F79F0"/>
    <w:rsid w:val="00A01D94"/>
    <w:rsid w:val="00A12535"/>
    <w:rsid w:val="00A14555"/>
    <w:rsid w:val="00A43553"/>
    <w:rsid w:val="00A47A81"/>
    <w:rsid w:val="00A53F64"/>
    <w:rsid w:val="00A82E3B"/>
    <w:rsid w:val="00A85372"/>
    <w:rsid w:val="00AA32FA"/>
    <w:rsid w:val="00AB58F6"/>
    <w:rsid w:val="00AB7EC8"/>
    <w:rsid w:val="00AC5391"/>
    <w:rsid w:val="00AD1F30"/>
    <w:rsid w:val="00AD4B7A"/>
    <w:rsid w:val="00AE1D84"/>
    <w:rsid w:val="00AF3D2A"/>
    <w:rsid w:val="00B023F6"/>
    <w:rsid w:val="00B22E26"/>
    <w:rsid w:val="00B23213"/>
    <w:rsid w:val="00B23618"/>
    <w:rsid w:val="00B44C01"/>
    <w:rsid w:val="00B4598B"/>
    <w:rsid w:val="00B8665C"/>
    <w:rsid w:val="00B86DEB"/>
    <w:rsid w:val="00B92E75"/>
    <w:rsid w:val="00BA4A01"/>
    <w:rsid w:val="00BB6DAB"/>
    <w:rsid w:val="00BC692E"/>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A7F"/>
    <w:rsid w:val="00E07880"/>
    <w:rsid w:val="00E12C14"/>
    <w:rsid w:val="00E23D31"/>
    <w:rsid w:val="00E32408"/>
    <w:rsid w:val="00E57DD6"/>
    <w:rsid w:val="00E62061"/>
    <w:rsid w:val="00E65655"/>
    <w:rsid w:val="00E710E0"/>
    <w:rsid w:val="00E7616F"/>
    <w:rsid w:val="00E7720E"/>
    <w:rsid w:val="00E82621"/>
    <w:rsid w:val="00E86190"/>
    <w:rsid w:val="00E94B8D"/>
    <w:rsid w:val="00EB05D5"/>
    <w:rsid w:val="00EC5582"/>
    <w:rsid w:val="00EE701C"/>
    <w:rsid w:val="00EF127A"/>
    <w:rsid w:val="00EF4681"/>
    <w:rsid w:val="00EF7D98"/>
    <w:rsid w:val="00F02CFF"/>
    <w:rsid w:val="00F041CC"/>
    <w:rsid w:val="00F047B9"/>
    <w:rsid w:val="00F13300"/>
    <w:rsid w:val="00F137FF"/>
    <w:rsid w:val="00F16E3A"/>
    <w:rsid w:val="00F24D81"/>
    <w:rsid w:val="00F37FFC"/>
    <w:rsid w:val="00F427D1"/>
    <w:rsid w:val="00F474A0"/>
    <w:rsid w:val="00F55BB7"/>
    <w:rsid w:val="00F77C9A"/>
    <w:rsid w:val="00FB576C"/>
    <w:rsid w:val="00FC4DB1"/>
    <w:rsid w:val="00FD2AA6"/>
    <w:rsid w:val="00FD6D81"/>
    <w:rsid w:val="00FE7E8A"/>
    <w:rsid w:val="00FF5126"/>
    <w:rsid w:val="0385268A"/>
    <w:rsid w:val="06AC3180"/>
    <w:rsid w:val="0C087B18"/>
    <w:rsid w:val="0CF77F3A"/>
    <w:rsid w:val="110720D3"/>
    <w:rsid w:val="123767B7"/>
    <w:rsid w:val="1A58096A"/>
    <w:rsid w:val="1C0C4212"/>
    <w:rsid w:val="227F6C37"/>
    <w:rsid w:val="28C25756"/>
    <w:rsid w:val="2B0013F2"/>
    <w:rsid w:val="2EC2549B"/>
    <w:rsid w:val="30F44350"/>
    <w:rsid w:val="34376C30"/>
    <w:rsid w:val="373175D4"/>
    <w:rsid w:val="37E52224"/>
    <w:rsid w:val="3D2309F1"/>
    <w:rsid w:val="3E85607D"/>
    <w:rsid w:val="3F241496"/>
    <w:rsid w:val="42F119CD"/>
    <w:rsid w:val="45397ECA"/>
    <w:rsid w:val="46B7701B"/>
    <w:rsid w:val="499B7A45"/>
    <w:rsid w:val="4B16063C"/>
    <w:rsid w:val="4CEC5FD7"/>
    <w:rsid w:val="4D231FC6"/>
    <w:rsid w:val="54786C3F"/>
    <w:rsid w:val="5ADB67F9"/>
    <w:rsid w:val="65282E3C"/>
    <w:rsid w:val="67302690"/>
    <w:rsid w:val="68B31F08"/>
    <w:rsid w:val="6AFF3292"/>
    <w:rsid w:val="707E5095"/>
    <w:rsid w:val="70FE4E7D"/>
    <w:rsid w:val="72F15635"/>
    <w:rsid w:val="75662232"/>
    <w:rsid w:val="7723186A"/>
    <w:rsid w:val="7B1249C3"/>
    <w:rsid w:val="7D974D29"/>
    <w:rsid w:val="7EB641EE"/>
    <w:rsid w:val="7FFB380A"/>
    <w:rsid w:val="FAED8A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2"/>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批注框文本 字符"/>
    <w:link w:val="4"/>
    <w:semiHidden/>
    <w:qFormat/>
    <w:uiPriority w:val="99"/>
    <w:rPr>
      <w:kern w:val="2"/>
      <w:sz w:val="18"/>
      <w:szCs w:val="18"/>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字符"/>
    <w:link w:val="6"/>
    <w:semiHidden/>
    <w:qFormat/>
    <w:uiPriority w:val="99"/>
    <w:rPr>
      <w:kern w:val="2"/>
      <w:sz w:val="18"/>
      <w:szCs w:val="18"/>
    </w:rPr>
  </w:style>
  <w:style w:type="character" w:customStyle="1" w:styleId="15">
    <w:name w:val="页脚 字符"/>
    <w:link w:val="5"/>
    <w:qFormat/>
    <w:uiPriority w:val="99"/>
    <w:rPr>
      <w:kern w:val="2"/>
      <w:sz w:val="18"/>
      <w:szCs w:val="18"/>
    </w:rPr>
  </w:style>
  <w:style w:type="paragraph" w:customStyle="1" w:styleId="16">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7">
    <w:name w:val="列出段落1"/>
    <w:basedOn w:val="1"/>
    <w:qFormat/>
    <w:uiPriority w:val="34"/>
    <w:pPr>
      <w:ind w:firstLine="420" w:firstLineChars="200"/>
    </w:pPr>
    <w:rPr>
      <w:szCs w:val="22"/>
    </w:rPr>
  </w:style>
  <w:style w:type="character" w:customStyle="1" w:styleId="18">
    <w:name w:val="批注文字 字符"/>
    <w:basedOn w:val="9"/>
    <w:link w:val="3"/>
    <w:semiHidden/>
    <w:qFormat/>
    <w:uiPriority w:val="99"/>
    <w:rPr>
      <w:kern w:val="2"/>
      <w:sz w:val="21"/>
      <w:szCs w:val="24"/>
    </w:rPr>
  </w:style>
  <w:style w:type="character" w:customStyle="1" w:styleId="19">
    <w:name w:val="批注主题 字符"/>
    <w:basedOn w:val="18"/>
    <w:link w:val="7"/>
    <w:semiHidden/>
    <w:qFormat/>
    <w:uiPriority w:val="99"/>
    <w:rPr>
      <w:b/>
      <w:bCs/>
      <w:kern w:val="2"/>
      <w:sz w:val="21"/>
      <w:szCs w:val="24"/>
    </w:rPr>
  </w:style>
  <w:style w:type="paragraph" w:styleId="20">
    <w:name w:val="List Paragraph"/>
    <w:qFormat/>
    <w:uiPriority w:val="34"/>
    <w:pPr>
      <w:widowControl w:val="0"/>
      <w:ind w:firstLine="420" w:firstLineChars="200"/>
      <w:jc w:val="both"/>
    </w:pPr>
    <w:rPr>
      <w:rFonts w:ascii="Times New Roman" w:hAnsi="Times New Roman" w:eastAsia="仿宋_GB2312" w:cs="Times New Roman"/>
      <w:kern w:val="2"/>
      <w:sz w:val="30"/>
      <w:szCs w:val="24"/>
      <w:lang w:val="en-US" w:eastAsia="zh-CN" w:bidi="ar-SA"/>
    </w:rPr>
  </w:style>
  <w:style w:type="paragraph" w:customStyle="1" w:styleId="21">
    <w:name w:val="段"/>
    <w:qFormat/>
    <w:uiPriority w:val="99"/>
    <w:pPr>
      <w:autoSpaceDE w:val="0"/>
      <w:autoSpaceDN w:val="0"/>
      <w:ind w:firstLine="200" w:firstLineChars="200"/>
      <w:jc w:val="both"/>
    </w:pPr>
    <w:rPr>
      <w:rFonts w:ascii="宋体" w:hAnsi="Calibri" w:eastAsia="宋体" w:cs="宋体"/>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835</Words>
  <Characters>1053</Characters>
  <Lines>8</Lines>
  <Paragraphs>2</Paragraphs>
  <TotalTime>4</TotalTime>
  <ScaleCrop>false</ScaleCrop>
  <LinksUpToDate>false</LinksUpToDate>
  <CharactersWithSpaces>1080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2023-07-20T09:53:21Z</dcterms:modified>
  <dc:title>××产品质量监督抽查实施细则</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3FF9BF8BDDD74034A53944DA96BE1A31_13</vt:lpwstr>
  </property>
</Properties>
</file>