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方正小标宋_GBK" w:hAnsi="方正小标宋_GBK" w:eastAsia="方正小标宋_GBK" w:cs="方正小标宋_GBK"/>
          <w:b w:val="0"/>
          <w:bCs/>
          <w:color w:val="auto"/>
          <w:sz w:val="32"/>
          <w:szCs w:val="32"/>
        </w:rPr>
      </w:pPr>
      <w:r>
        <w:rPr>
          <w:rFonts w:hint="eastAsia" w:ascii="方正小标宋_GBK" w:hAnsi="方正小标宋_GBK" w:eastAsia="方正小标宋_GBK" w:cs="方正小标宋_GBK"/>
          <w:b w:val="0"/>
          <w:bCs/>
          <w:color w:val="auto"/>
          <w:sz w:val="32"/>
          <w:szCs w:val="32"/>
        </w:rPr>
        <w:t>贵州省金属紧固件（</w:t>
      </w:r>
      <w:r>
        <w:rPr>
          <w:rFonts w:hint="eastAsia" w:ascii="方正小标宋_GBK" w:hAnsi="方正小标宋_GBK" w:eastAsia="方正小标宋_GBK" w:cs="方正小标宋_GBK"/>
          <w:b w:val="0"/>
          <w:bCs/>
          <w:color w:val="auto"/>
          <w:sz w:val="32"/>
          <w:szCs w:val="32"/>
          <w:lang w:val="en-US" w:eastAsia="zh-CN"/>
        </w:rPr>
        <w:t>六角头</w:t>
      </w:r>
      <w:r>
        <w:rPr>
          <w:rFonts w:hint="eastAsia" w:ascii="方正小标宋_GBK" w:hAnsi="方正小标宋_GBK" w:eastAsia="方正小标宋_GBK" w:cs="方正小标宋_GBK"/>
          <w:b w:val="0"/>
          <w:bCs/>
          <w:color w:val="auto"/>
          <w:sz w:val="32"/>
          <w:szCs w:val="32"/>
        </w:rPr>
        <w:t>螺栓</w:t>
      </w:r>
      <w:r>
        <w:rPr>
          <w:rFonts w:hint="eastAsia" w:ascii="方正小标宋_GBK" w:hAnsi="方正小标宋_GBK" w:eastAsia="方正小标宋_GBK" w:cs="方正小标宋_GBK"/>
          <w:b w:val="0"/>
          <w:bCs/>
          <w:color w:val="auto"/>
          <w:sz w:val="32"/>
          <w:szCs w:val="32"/>
        </w:rPr>
        <w:t>）产品质量监督抽查实施细则</w:t>
      </w:r>
    </w:p>
    <w:p>
      <w:pPr>
        <w:adjustRightInd w:val="0"/>
        <w:snapToGrid w:val="0"/>
        <w:spacing w:line="560" w:lineRule="exact"/>
        <w:jc w:val="center"/>
        <w:rPr>
          <w:rFonts w:hint="eastAsia" w:ascii="楷体_GB2312" w:hAnsi="楷体_GB2312" w:eastAsia="楷体_GB2312" w:cs="楷体_GB2312"/>
          <w:b w:val="0"/>
          <w:bCs/>
          <w:color w:val="000000"/>
          <w:sz w:val="32"/>
          <w:szCs w:val="32"/>
        </w:rPr>
      </w:pPr>
      <w:r>
        <w:rPr>
          <w:rFonts w:hint="eastAsia" w:ascii="楷体_GB2312" w:hAnsi="楷体_GB2312" w:eastAsia="楷体_GB2312" w:cs="楷体_GB2312"/>
          <w:b w:val="0"/>
          <w:bCs/>
          <w:color w:val="000000"/>
          <w:sz w:val="32"/>
          <w:szCs w:val="32"/>
        </w:rPr>
        <w:t>（2023年版）</w:t>
      </w:r>
    </w:p>
    <w:p>
      <w:pPr>
        <w:adjustRightInd w:val="0"/>
        <w:snapToGrid w:val="0"/>
        <w:spacing w:before="312" w:beforeLines="100" w:after="156" w:afterLines="50" w:line="440" w:lineRule="exact"/>
        <w:rPr>
          <w:rFonts w:eastAsia="黑体"/>
          <w:color w:val="000000"/>
          <w:szCs w:val="21"/>
        </w:rPr>
      </w:pPr>
      <w:r>
        <w:rPr>
          <w:rFonts w:hint="eastAsia" w:eastAsia="黑体"/>
          <w:color w:val="000000"/>
          <w:szCs w:val="21"/>
        </w:rPr>
        <w:t>1 抽样方法</w:t>
      </w:r>
    </w:p>
    <w:p>
      <w:pPr>
        <w:adjustRightInd w:val="0"/>
        <w:snapToGrid w:val="0"/>
        <w:spacing w:line="440" w:lineRule="exact"/>
        <w:ind w:left="420" w:left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left="420" w:leftChars="200"/>
        <w:rPr>
          <w:color w:val="000000"/>
          <w:szCs w:val="21"/>
        </w:rPr>
      </w:pPr>
      <w:r>
        <w:rPr>
          <w:color w:val="000000"/>
          <w:szCs w:val="21"/>
        </w:rPr>
        <w:t>每批次抽样数量24只，其中12只为检验样品，12只为备用样品。</w:t>
      </w:r>
    </w:p>
    <w:p>
      <w:pPr>
        <w:adjustRightInd w:val="0"/>
        <w:snapToGrid w:val="0"/>
        <w:spacing w:before="312" w:beforeLines="100" w:after="156" w:afterLines="50" w:line="440" w:lineRule="exact"/>
        <w:rPr>
          <w:rFonts w:eastAsia="黑体"/>
          <w:color w:val="000000"/>
          <w:szCs w:val="21"/>
        </w:rPr>
      </w:pPr>
      <w:r>
        <w:rPr>
          <w:rFonts w:hint="eastAsia" w:eastAsia="黑体"/>
          <w:color w:val="000000"/>
          <w:szCs w:val="21"/>
        </w:rPr>
        <w:t>2 检验依据</w:t>
      </w:r>
    </w:p>
    <w:p>
      <w:pPr>
        <w:snapToGrid w:val="0"/>
        <w:spacing w:line="440" w:lineRule="exact"/>
        <w:jc w:val="center"/>
        <w:rPr>
          <w:color w:val="000000"/>
          <w:szCs w:val="21"/>
        </w:rPr>
      </w:pPr>
      <w:r>
        <w:rPr>
          <w:color w:val="000000"/>
          <w:szCs w:val="21"/>
        </w:rPr>
        <w:t xml:space="preserve">表1 </w:t>
      </w:r>
      <w:r>
        <w:rPr>
          <w:szCs w:val="21"/>
        </w:rPr>
        <w:t>六角头螺栓</w:t>
      </w:r>
      <w:r>
        <w:rPr>
          <w:rFonts w:hint="eastAsia"/>
          <w:szCs w:val="21"/>
          <w:lang w:eastAsia="zh-CN"/>
        </w:rPr>
        <w:t>（</w:t>
      </w:r>
      <w:r>
        <w:rPr>
          <w:rFonts w:hint="eastAsia"/>
          <w:szCs w:val="21"/>
          <w:lang w:val="en-US" w:eastAsia="zh-CN"/>
        </w:rPr>
        <w:t>强度级别不低于8.8级</w:t>
      </w:r>
      <w:r>
        <w:rPr>
          <w:rFonts w:hint="eastAsia"/>
          <w:szCs w:val="21"/>
          <w:lang w:eastAsia="zh-CN"/>
        </w:rPr>
        <w:t>）</w:t>
      </w:r>
    </w:p>
    <w:tbl>
      <w:tblPr>
        <w:tblStyle w:val="7"/>
        <w:tblW w:w="8221"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850" w:type="dxa"/>
            <w:vAlign w:val="center"/>
          </w:tcPr>
          <w:p>
            <w:pPr>
              <w:snapToGrid w:val="0"/>
              <w:jc w:val="center"/>
              <w:rPr>
                <w:color w:val="000000"/>
                <w:szCs w:val="21"/>
              </w:rPr>
            </w:pPr>
            <w:r>
              <w:rPr>
                <w:color w:val="000000"/>
                <w:szCs w:val="21"/>
              </w:rPr>
              <w:t>序号</w:t>
            </w:r>
          </w:p>
        </w:tc>
        <w:tc>
          <w:tcPr>
            <w:tcW w:w="3544" w:type="dxa"/>
            <w:vAlign w:val="center"/>
          </w:tcPr>
          <w:p>
            <w:pPr>
              <w:snapToGrid w:val="0"/>
              <w:jc w:val="center"/>
              <w:rPr>
                <w:color w:val="000000"/>
                <w:szCs w:val="21"/>
              </w:rPr>
            </w:pPr>
            <w:r>
              <w:rPr>
                <w:color w:val="000000"/>
                <w:szCs w:val="21"/>
              </w:rPr>
              <w:t>检验项目</w:t>
            </w:r>
          </w:p>
        </w:tc>
        <w:tc>
          <w:tcPr>
            <w:tcW w:w="3827" w:type="dxa"/>
            <w:vAlign w:val="center"/>
          </w:tcPr>
          <w:p>
            <w:pPr>
              <w:snapToGrid w:val="0"/>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850" w:type="dxa"/>
            <w:vAlign w:val="center"/>
          </w:tcPr>
          <w:p>
            <w:pPr>
              <w:snapToGrid w:val="0"/>
              <w:jc w:val="center"/>
              <w:rPr>
                <w:color w:val="000000"/>
                <w:szCs w:val="21"/>
              </w:rPr>
            </w:pPr>
            <w:r>
              <w:rPr>
                <w:color w:val="000000"/>
                <w:szCs w:val="21"/>
              </w:rPr>
              <w:t>1</w:t>
            </w:r>
          </w:p>
        </w:tc>
        <w:tc>
          <w:tcPr>
            <w:tcW w:w="3544" w:type="dxa"/>
            <w:vAlign w:val="center"/>
          </w:tcPr>
          <w:p>
            <w:pPr>
              <w:snapToGrid w:val="0"/>
              <w:jc w:val="center"/>
              <w:rPr>
                <w:color w:val="000000"/>
                <w:szCs w:val="21"/>
              </w:rPr>
            </w:pPr>
            <w:r>
              <w:rPr>
                <w:color w:val="000000"/>
                <w:szCs w:val="21"/>
              </w:rPr>
              <w:t>拉力试验</w:t>
            </w:r>
          </w:p>
        </w:tc>
        <w:tc>
          <w:tcPr>
            <w:tcW w:w="3827" w:type="dxa"/>
            <w:vAlign w:val="center"/>
          </w:tcPr>
          <w:p>
            <w:pPr>
              <w:snapToGrid w:val="0"/>
              <w:jc w:val="center"/>
              <w:rPr>
                <w:color w:val="000000"/>
                <w:szCs w:val="21"/>
              </w:rPr>
            </w:pPr>
            <w:bookmarkStart w:id="0" w:name="_Hlk139625484"/>
            <w:r>
              <w:rPr>
                <w:color w:val="000000"/>
                <w:szCs w:val="21"/>
              </w:rPr>
              <w:t>GB/T 3098.1—2010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850" w:type="dxa"/>
            <w:vAlign w:val="center"/>
          </w:tcPr>
          <w:p>
            <w:pPr>
              <w:snapToGrid w:val="0"/>
              <w:jc w:val="center"/>
              <w:rPr>
                <w:color w:val="000000"/>
                <w:szCs w:val="21"/>
              </w:rPr>
            </w:pPr>
            <w:r>
              <w:rPr>
                <w:color w:val="000000"/>
                <w:szCs w:val="21"/>
              </w:rPr>
              <w:t>2</w:t>
            </w:r>
          </w:p>
        </w:tc>
        <w:tc>
          <w:tcPr>
            <w:tcW w:w="3544" w:type="dxa"/>
            <w:vAlign w:val="center"/>
          </w:tcPr>
          <w:p>
            <w:pPr>
              <w:snapToGrid w:val="0"/>
              <w:jc w:val="center"/>
              <w:rPr>
                <w:color w:val="000000"/>
                <w:szCs w:val="21"/>
              </w:rPr>
            </w:pPr>
            <w:r>
              <w:rPr>
                <w:color w:val="000000"/>
                <w:szCs w:val="21"/>
              </w:rPr>
              <w:t>楔负载试验</w:t>
            </w:r>
          </w:p>
        </w:tc>
        <w:tc>
          <w:tcPr>
            <w:tcW w:w="3827" w:type="dxa"/>
            <w:vAlign w:val="center"/>
          </w:tcPr>
          <w:p>
            <w:pPr>
              <w:snapToGrid w:val="0"/>
              <w:jc w:val="center"/>
              <w:rPr>
                <w:color w:val="000000"/>
                <w:szCs w:val="21"/>
              </w:rPr>
            </w:pPr>
            <w:r>
              <w:rPr>
                <w:color w:val="000000"/>
                <w:szCs w:val="21"/>
              </w:rPr>
              <w:t>GB/T 3098.1—2010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850" w:type="dxa"/>
            <w:vAlign w:val="center"/>
          </w:tcPr>
          <w:p>
            <w:pPr>
              <w:snapToGrid w:val="0"/>
              <w:jc w:val="center"/>
              <w:rPr>
                <w:color w:val="000000"/>
                <w:szCs w:val="21"/>
              </w:rPr>
            </w:pPr>
            <w:r>
              <w:rPr>
                <w:color w:val="000000"/>
                <w:szCs w:val="21"/>
              </w:rPr>
              <w:t>3</w:t>
            </w:r>
          </w:p>
        </w:tc>
        <w:tc>
          <w:tcPr>
            <w:tcW w:w="3544" w:type="dxa"/>
            <w:vAlign w:val="center"/>
          </w:tcPr>
          <w:p>
            <w:pPr>
              <w:snapToGrid w:val="0"/>
              <w:jc w:val="center"/>
              <w:rPr>
                <w:color w:val="000000"/>
                <w:szCs w:val="21"/>
              </w:rPr>
            </w:pPr>
            <w:r>
              <w:rPr>
                <w:color w:val="000000"/>
                <w:szCs w:val="21"/>
              </w:rPr>
              <w:t>扭矩试验</w:t>
            </w:r>
          </w:p>
        </w:tc>
        <w:tc>
          <w:tcPr>
            <w:tcW w:w="3827" w:type="dxa"/>
            <w:vAlign w:val="center"/>
          </w:tcPr>
          <w:p>
            <w:pPr>
              <w:snapToGrid w:val="0"/>
              <w:jc w:val="center"/>
              <w:rPr>
                <w:color w:val="auto"/>
                <w:szCs w:val="21"/>
              </w:rPr>
            </w:pPr>
            <w:r>
              <w:rPr>
                <w:color w:val="auto"/>
                <w:szCs w:val="21"/>
              </w:rPr>
              <w:t>GB/T 3098.1—2010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850" w:type="dxa"/>
            <w:vAlign w:val="center"/>
          </w:tcPr>
          <w:p>
            <w:pPr>
              <w:snapToGrid w:val="0"/>
              <w:jc w:val="center"/>
              <w:rPr>
                <w:color w:val="000000"/>
                <w:szCs w:val="21"/>
              </w:rPr>
            </w:pPr>
            <w:r>
              <w:rPr>
                <w:color w:val="000000"/>
                <w:szCs w:val="21"/>
              </w:rPr>
              <w:t>4</w:t>
            </w:r>
          </w:p>
        </w:tc>
        <w:tc>
          <w:tcPr>
            <w:tcW w:w="3544" w:type="dxa"/>
            <w:vAlign w:val="center"/>
          </w:tcPr>
          <w:p>
            <w:pPr>
              <w:snapToGrid w:val="0"/>
              <w:jc w:val="center"/>
              <w:rPr>
                <w:color w:val="000000"/>
                <w:szCs w:val="21"/>
              </w:rPr>
            </w:pPr>
            <w:r>
              <w:rPr>
                <w:color w:val="000000"/>
                <w:szCs w:val="21"/>
              </w:rPr>
              <w:t>保证载荷试验</w:t>
            </w:r>
          </w:p>
        </w:tc>
        <w:tc>
          <w:tcPr>
            <w:tcW w:w="3827" w:type="dxa"/>
            <w:vAlign w:val="center"/>
          </w:tcPr>
          <w:p>
            <w:pPr>
              <w:snapToGrid w:val="0"/>
              <w:jc w:val="center"/>
              <w:rPr>
                <w:color w:val="auto"/>
                <w:szCs w:val="21"/>
              </w:rPr>
            </w:pPr>
            <w:r>
              <w:rPr>
                <w:color w:val="auto"/>
                <w:szCs w:val="21"/>
              </w:rPr>
              <w:t>GB/T 3098.1—2010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850" w:type="dxa"/>
            <w:vAlign w:val="center"/>
          </w:tcPr>
          <w:p>
            <w:pPr>
              <w:snapToGrid w:val="0"/>
              <w:jc w:val="center"/>
              <w:rPr>
                <w:color w:val="000000"/>
                <w:szCs w:val="21"/>
              </w:rPr>
            </w:pPr>
            <w:r>
              <w:rPr>
                <w:color w:val="000000"/>
                <w:szCs w:val="21"/>
              </w:rPr>
              <w:t>5</w:t>
            </w:r>
          </w:p>
        </w:tc>
        <w:tc>
          <w:tcPr>
            <w:tcW w:w="3544" w:type="dxa"/>
            <w:vAlign w:val="center"/>
          </w:tcPr>
          <w:p>
            <w:pPr>
              <w:snapToGrid w:val="0"/>
              <w:jc w:val="center"/>
              <w:rPr>
                <w:color w:val="000000"/>
                <w:szCs w:val="21"/>
              </w:rPr>
            </w:pPr>
            <w:r>
              <w:rPr>
                <w:color w:val="000000"/>
                <w:szCs w:val="21"/>
              </w:rPr>
              <w:t>头部坚固性试验</w:t>
            </w:r>
          </w:p>
        </w:tc>
        <w:tc>
          <w:tcPr>
            <w:tcW w:w="3827" w:type="dxa"/>
            <w:vAlign w:val="center"/>
          </w:tcPr>
          <w:p>
            <w:pPr>
              <w:snapToGrid w:val="0"/>
              <w:jc w:val="center"/>
              <w:rPr>
                <w:color w:val="auto"/>
                <w:szCs w:val="21"/>
              </w:rPr>
            </w:pPr>
            <w:r>
              <w:rPr>
                <w:color w:val="auto"/>
                <w:szCs w:val="21"/>
              </w:rPr>
              <w:t>GB/T 3098.1—2010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850" w:type="dxa"/>
            <w:vAlign w:val="center"/>
          </w:tcPr>
          <w:p>
            <w:pPr>
              <w:snapToGrid w:val="0"/>
              <w:jc w:val="center"/>
              <w:rPr>
                <w:color w:val="000000"/>
                <w:szCs w:val="21"/>
              </w:rPr>
            </w:pPr>
            <w:r>
              <w:rPr>
                <w:color w:val="000000"/>
                <w:szCs w:val="21"/>
              </w:rPr>
              <w:t>6</w:t>
            </w:r>
          </w:p>
        </w:tc>
        <w:tc>
          <w:tcPr>
            <w:tcW w:w="3544" w:type="dxa"/>
            <w:vAlign w:val="center"/>
          </w:tcPr>
          <w:p>
            <w:pPr>
              <w:snapToGrid w:val="0"/>
              <w:jc w:val="center"/>
              <w:rPr>
                <w:color w:val="000000"/>
                <w:szCs w:val="21"/>
              </w:rPr>
            </w:pPr>
            <w:r>
              <w:rPr>
                <w:color w:val="000000"/>
                <w:szCs w:val="21"/>
              </w:rPr>
              <w:t>硬度试验</w:t>
            </w:r>
          </w:p>
        </w:tc>
        <w:tc>
          <w:tcPr>
            <w:tcW w:w="3827" w:type="dxa"/>
            <w:vAlign w:val="center"/>
          </w:tcPr>
          <w:p>
            <w:pPr>
              <w:snapToGrid w:val="0"/>
              <w:jc w:val="center"/>
              <w:rPr>
                <w:color w:val="auto"/>
                <w:szCs w:val="21"/>
              </w:rPr>
            </w:pPr>
            <w:r>
              <w:rPr>
                <w:color w:val="auto"/>
                <w:szCs w:val="21"/>
              </w:rPr>
              <w:t>GB/T</w:t>
            </w:r>
            <w:r>
              <w:rPr>
                <w:rFonts w:hint="eastAsia"/>
                <w:color w:val="auto"/>
                <w:szCs w:val="21"/>
                <w:lang w:val="en-US" w:eastAsia="zh-CN"/>
              </w:rPr>
              <w:t>4340</w:t>
            </w:r>
            <w:r>
              <w:rPr>
                <w:color w:val="auto"/>
                <w:szCs w:val="21"/>
              </w:rPr>
              <w:t>.1-20</w:t>
            </w:r>
            <w:r>
              <w:rPr>
                <w:rFonts w:hint="eastAsia"/>
                <w:color w:val="auto"/>
                <w:szCs w:val="21"/>
                <w:lang w:val="en-US" w:eastAsia="zh-CN"/>
              </w:rPr>
              <w:t>09</w:t>
            </w:r>
          </w:p>
          <w:p>
            <w:pPr>
              <w:snapToGrid w:val="0"/>
              <w:jc w:val="center"/>
              <w:rPr>
                <w:color w:val="auto"/>
                <w:szCs w:val="21"/>
              </w:rPr>
            </w:pPr>
            <w:r>
              <w:rPr>
                <w:color w:val="auto"/>
                <w:szCs w:val="21"/>
              </w:rPr>
              <w:t>GB/T 230.1-2018</w:t>
            </w:r>
          </w:p>
        </w:tc>
      </w:tr>
    </w:tbl>
    <w:p>
      <w:pPr>
        <w:tabs>
          <w:tab w:val="center" w:pos="4478"/>
          <w:tab w:val="left" w:pos="6399"/>
        </w:tabs>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pPr>
        <w:adjustRightInd w:val="0"/>
        <w:snapToGrid w:val="0"/>
        <w:spacing w:before="312" w:beforeLines="100" w:after="156" w:afterLines="50"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rPr>
          <w:szCs w:val="21"/>
        </w:rPr>
      </w:pPr>
      <w:r>
        <w:rPr>
          <w:szCs w:val="21"/>
        </w:rPr>
        <w:t>GB/T 5782—2016 六角头螺栓</w:t>
      </w:r>
    </w:p>
    <w:p>
      <w:pPr>
        <w:adjustRightInd w:val="0"/>
        <w:snapToGrid w:val="0"/>
        <w:spacing w:line="440" w:lineRule="exact"/>
        <w:ind w:firstLine="420" w:firstLineChars="200"/>
        <w:rPr>
          <w:rFonts w:hint="eastAsia"/>
          <w:szCs w:val="21"/>
        </w:rPr>
      </w:pPr>
      <w:r>
        <w:rPr>
          <w:rFonts w:hint="eastAsia"/>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adjustRightInd w:val="0"/>
        <w:snapToGrid w:val="0"/>
        <w:spacing w:before="312" w:beforeLines="100" w:after="156" w:afterLines="50" w:line="440" w:lineRule="exact"/>
        <w:rPr>
          <w:rFonts w:eastAsia="黑体"/>
          <w:color w:val="000000"/>
          <w:szCs w:val="21"/>
        </w:rPr>
      </w:pPr>
      <w:r>
        <w:rPr>
          <w:rFonts w:hint="eastAsia" w:eastAsia="黑体"/>
          <w:color w:val="000000"/>
          <w:szCs w:val="21"/>
        </w:rPr>
        <w:t>4 附则</w:t>
      </w:r>
    </w:p>
    <w:p>
      <w:pPr>
        <w:adjustRightInd w:val="0"/>
        <w:snapToGrid w:val="0"/>
        <w:spacing w:line="440" w:lineRule="exact"/>
        <w:ind w:firstLine="417" w:firstLineChars="199"/>
        <w:rPr>
          <w:color w:val="000000"/>
          <w:szCs w:val="21"/>
        </w:rPr>
      </w:pPr>
      <w:r>
        <w:rPr>
          <w:rFonts w:hint="eastAsia"/>
          <w:szCs w:val="21"/>
        </w:rPr>
        <w:t>本细则代替</w:t>
      </w:r>
      <w:r>
        <w:rPr>
          <w:rFonts w:hint="eastAsia"/>
          <w:szCs w:val="21"/>
          <w:lang w:eastAsia="zh-CN"/>
        </w:rPr>
        <w:t>《贵州省市场监管局关于发布2022年版贵州省产品质量监督抽查实施细则（第二批）的公告》中的</w:t>
      </w:r>
      <w:r>
        <w:rPr>
          <w:rFonts w:hint="eastAsia"/>
          <w:szCs w:val="21"/>
        </w:rPr>
        <w:t>《贵州省金属紧固件（螺栓、螺母）产品质量</w:t>
      </w:r>
      <w:bookmarkStart w:id="1" w:name="_GoBack"/>
      <w:bookmarkEnd w:id="1"/>
      <w:r>
        <w:rPr>
          <w:rFonts w:hint="eastAsia"/>
          <w:szCs w:val="21"/>
        </w:rPr>
        <w:t>监督抽查实施细则（2022版）》。</w:t>
      </w: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51A44"/>
    <w:rsid w:val="00061652"/>
    <w:rsid w:val="00066A70"/>
    <w:rsid w:val="00081CBD"/>
    <w:rsid w:val="000967AA"/>
    <w:rsid w:val="000976DE"/>
    <w:rsid w:val="000A218A"/>
    <w:rsid w:val="000A4BF8"/>
    <w:rsid w:val="000D07CE"/>
    <w:rsid w:val="000D3814"/>
    <w:rsid w:val="00113C48"/>
    <w:rsid w:val="00116C96"/>
    <w:rsid w:val="00143242"/>
    <w:rsid w:val="00164D9E"/>
    <w:rsid w:val="00166E93"/>
    <w:rsid w:val="00172A27"/>
    <w:rsid w:val="001809DD"/>
    <w:rsid w:val="001850B9"/>
    <w:rsid w:val="0019448A"/>
    <w:rsid w:val="001A0E19"/>
    <w:rsid w:val="001B59A4"/>
    <w:rsid w:val="001E599D"/>
    <w:rsid w:val="001F7030"/>
    <w:rsid w:val="00206EEF"/>
    <w:rsid w:val="00216CCF"/>
    <w:rsid w:val="0022592D"/>
    <w:rsid w:val="00231185"/>
    <w:rsid w:val="0023545B"/>
    <w:rsid w:val="00236A16"/>
    <w:rsid w:val="00253624"/>
    <w:rsid w:val="00256165"/>
    <w:rsid w:val="00272543"/>
    <w:rsid w:val="002C1C37"/>
    <w:rsid w:val="002C50E8"/>
    <w:rsid w:val="002D7F8A"/>
    <w:rsid w:val="002E0D1D"/>
    <w:rsid w:val="002E2C53"/>
    <w:rsid w:val="002F5E7B"/>
    <w:rsid w:val="00300266"/>
    <w:rsid w:val="003203A3"/>
    <w:rsid w:val="00344256"/>
    <w:rsid w:val="00353031"/>
    <w:rsid w:val="00364412"/>
    <w:rsid w:val="00382101"/>
    <w:rsid w:val="0039632F"/>
    <w:rsid w:val="003B1485"/>
    <w:rsid w:val="003B6278"/>
    <w:rsid w:val="003B6F4C"/>
    <w:rsid w:val="003C388C"/>
    <w:rsid w:val="003E07EA"/>
    <w:rsid w:val="003E1CA2"/>
    <w:rsid w:val="003E61BF"/>
    <w:rsid w:val="003E77B8"/>
    <w:rsid w:val="00412BB6"/>
    <w:rsid w:val="00414DEA"/>
    <w:rsid w:val="00420F2B"/>
    <w:rsid w:val="004264A9"/>
    <w:rsid w:val="00427BEC"/>
    <w:rsid w:val="0043308E"/>
    <w:rsid w:val="00445E86"/>
    <w:rsid w:val="0045043D"/>
    <w:rsid w:val="00474E04"/>
    <w:rsid w:val="004B1A83"/>
    <w:rsid w:val="004B77D4"/>
    <w:rsid w:val="004B7A79"/>
    <w:rsid w:val="004C656E"/>
    <w:rsid w:val="004D0C5A"/>
    <w:rsid w:val="004E0767"/>
    <w:rsid w:val="004E1396"/>
    <w:rsid w:val="004F2CE9"/>
    <w:rsid w:val="0052433C"/>
    <w:rsid w:val="00524748"/>
    <w:rsid w:val="00534C28"/>
    <w:rsid w:val="00556F65"/>
    <w:rsid w:val="00557A7A"/>
    <w:rsid w:val="00563EBC"/>
    <w:rsid w:val="00576C76"/>
    <w:rsid w:val="00582D28"/>
    <w:rsid w:val="005A5970"/>
    <w:rsid w:val="005B251E"/>
    <w:rsid w:val="005B329D"/>
    <w:rsid w:val="005C2642"/>
    <w:rsid w:val="00607904"/>
    <w:rsid w:val="006113DD"/>
    <w:rsid w:val="00616736"/>
    <w:rsid w:val="0062021C"/>
    <w:rsid w:val="00633EB4"/>
    <w:rsid w:val="006441A2"/>
    <w:rsid w:val="00647BA7"/>
    <w:rsid w:val="00655828"/>
    <w:rsid w:val="00666B08"/>
    <w:rsid w:val="00674619"/>
    <w:rsid w:val="006A62F8"/>
    <w:rsid w:val="006B36D0"/>
    <w:rsid w:val="006D31DC"/>
    <w:rsid w:val="006F0971"/>
    <w:rsid w:val="00714CF9"/>
    <w:rsid w:val="0072334C"/>
    <w:rsid w:val="0072425F"/>
    <w:rsid w:val="0074550A"/>
    <w:rsid w:val="00795ACA"/>
    <w:rsid w:val="007A0498"/>
    <w:rsid w:val="007A0690"/>
    <w:rsid w:val="007C3F40"/>
    <w:rsid w:val="007D1935"/>
    <w:rsid w:val="007D40BA"/>
    <w:rsid w:val="00856EE4"/>
    <w:rsid w:val="00887B02"/>
    <w:rsid w:val="00891690"/>
    <w:rsid w:val="00892C04"/>
    <w:rsid w:val="00895BEA"/>
    <w:rsid w:val="008A3497"/>
    <w:rsid w:val="008B075F"/>
    <w:rsid w:val="008B5FE8"/>
    <w:rsid w:val="008C2522"/>
    <w:rsid w:val="00906DA9"/>
    <w:rsid w:val="009074E7"/>
    <w:rsid w:val="00914FE8"/>
    <w:rsid w:val="00917A54"/>
    <w:rsid w:val="0093141A"/>
    <w:rsid w:val="00941E81"/>
    <w:rsid w:val="00956AD8"/>
    <w:rsid w:val="009A0639"/>
    <w:rsid w:val="009B3BB1"/>
    <w:rsid w:val="009C3408"/>
    <w:rsid w:val="009C5E17"/>
    <w:rsid w:val="009E3321"/>
    <w:rsid w:val="009E45EF"/>
    <w:rsid w:val="009E5847"/>
    <w:rsid w:val="009F2F5C"/>
    <w:rsid w:val="00A10A9A"/>
    <w:rsid w:val="00A11CFC"/>
    <w:rsid w:val="00A34FD1"/>
    <w:rsid w:val="00A36FD3"/>
    <w:rsid w:val="00A43553"/>
    <w:rsid w:val="00A863EE"/>
    <w:rsid w:val="00A91CA2"/>
    <w:rsid w:val="00AA1E85"/>
    <w:rsid w:val="00AA2A7C"/>
    <w:rsid w:val="00AC208E"/>
    <w:rsid w:val="00AF0CD7"/>
    <w:rsid w:val="00AF7167"/>
    <w:rsid w:val="00B02F51"/>
    <w:rsid w:val="00B87FE0"/>
    <w:rsid w:val="00BB3623"/>
    <w:rsid w:val="00BC6CF0"/>
    <w:rsid w:val="00BD0B4C"/>
    <w:rsid w:val="00BD1144"/>
    <w:rsid w:val="00BD6B98"/>
    <w:rsid w:val="00C23A6C"/>
    <w:rsid w:val="00C26074"/>
    <w:rsid w:val="00C359A1"/>
    <w:rsid w:val="00C83B0A"/>
    <w:rsid w:val="00CA2F72"/>
    <w:rsid w:val="00CD600F"/>
    <w:rsid w:val="00CE1E0C"/>
    <w:rsid w:val="00CE277E"/>
    <w:rsid w:val="00D0002C"/>
    <w:rsid w:val="00D1319E"/>
    <w:rsid w:val="00D217B6"/>
    <w:rsid w:val="00D36550"/>
    <w:rsid w:val="00D56867"/>
    <w:rsid w:val="00D65DEB"/>
    <w:rsid w:val="00D76C69"/>
    <w:rsid w:val="00DA1171"/>
    <w:rsid w:val="00DA393A"/>
    <w:rsid w:val="00DB3EAB"/>
    <w:rsid w:val="00DB739C"/>
    <w:rsid w:val="00E02A7F"/>
    <w:rsid w:val="00E043CE"/>
    <w:rsid w:val="00E07880"/>
    <w:rsid w:val="00E16F41"/>
    <w:rsid w:val="00E367C4"/>
    <w:rsid w:val="00E37ACF"/>
    <w:rsid w:val="00E45EA7"/>
    <w:rsid w:val="00E82621"/>
    <w:rsid w:val="00EA6148"/>
    <w:rsid w:val="00EC07CB"/>
    <w:rsid w:val="00EC351B"/>
    <w:rsid w:val="00EC4270"/>
    <w:rsid w:val="00EE7995"/>
    <w:rsid w:val="00F36620"/>
    <w:rsid w:val="00F37C28"/>
    <w:rsid w:val="00F418B1"/>
    <w:rsid w:val="00F52D58"/>
    <w:rsid w:val="00F52E7F"/>
    <w:rsid w:val="00F77C9A"/>
    <w:rsid w:val="00F825AF"/>
    <w:rsid w:val="00F91F5A"/>
    <w:rsid w:val="00FA0A15"/>
    <w:rsid w:val="00FB537B"/>
    <w:rsid w:val="00FB576C"/>
    <w:rsid w:val="00FC211F"/>
    <w:rsid w:val="00FD2AA6"/>
    <w:rsid w:val="00FD34AA"/>
    <w:rsid w:val="00FE2687"/>
    <w:rsid w:val="00FE7E8A"/>
    <w:rsid w:val="00FF475A"/>
    <w:rsid w:val="014E1508"/>
    <w:rsid w:val="021C190E"/>
    <w:rsid w:val="0303010A"/>
    <w:rsid w:val="030B11C9"/>
    <w:rsid w:val="0D8F15C0"/>
    <w:rsid w:val="11DF72EA"/>
    <w:rsid w:val="12854848"/>
    <w:rsid w:val="15A56B68"/>
    <w:rsid w:val="17CC1573"/>
    <w:rsid w:val="1B5059FB"/>
    <w:rsid w:val="20695593"/>
    <w:rsid w:val="212E148F"/>
    <w:rsid w:val="224E2BA4"/>
    <w:rsid w:val="253222EC"/>
    <w:rsid w:val="2C024D06"/>
    <w:rsid w:val="303A0F5C"/>
    <w:rsid w:val="323F5FC7"/>
    <w:rsid w:val="348524E3"/>
    <w:rsid w:val="373907D2"/>
    <w:rsid w:val="3B571843"/>
    <w:rsid w:val="3BC5182B"/>
    <w:rsid w:val="424F3DA0"/>
    <w:rsid w:val="44740A4B"/>
    <w:rsid w:val="48DE0E6F"/>
    <w:rsid w:val="4B476984"/>
    <w:rsid w:val="4BA03D43"/>
    <w:rsid w:val="4C9E3D45"/>
    <w:rsid w:val="4CE12189"/>
    <w:rsid w:val="522C67B4"/>
    <w:rsid w:val="553C3570"/>
    <w:rsid w:val="560412FB"/>
    <w:rsid w:val="57F41C4E"/>
    <w:rsid w:val="5A474BF2"/>
    <w:rsid w:val="5C3370DD"/>
    <w:rsid w:val="5C62112B"/>
    <w:rsid w:val="5EE504A9"/>
    <w:rsid w:val="601C7E4B"/>
    <w:rsid w:val="639D0994"/>
    <w:rsid w:val="65FF187D"/>
    <w:rsid w:val="665B6B8C"/>
    <w:rsid w:val="67010F92"/>
    <w:rsid w:val="673322F5"/>
    <w:rsid w:val="6A9A7115"/>
    <w:rsid w:val="6D214FFB"/>
    <w:rsid w:val="6EFE795B"/>
    <w:rsid w:val="7232339E"/>
    <w:rsid w:val="740523D7"/>
    <w:rsid w:val="75AC7B0D"/>
    <w:rsid w:val="762A1E93"/>
    <w:rsid w:val="7BFE499F"/>
    <w:rsid w:val="7DBD1618"/>
    <w:rsid w:val="7DFE71F2"/>
    <w:rsid w:val="7E812489"/>
    <w:rsid w:val="FFD9CD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9"/>
    <w:unhideWhenUsed/>
    <w:qFormat/>
    <w:uiPriority w:val="99"/>
    <w:pPr>
      <w:jc w:val="left"/>
    </w:pPr>
  </w:style>
  <w:style w:type="paragraph" w:styleId="3">
    <w:name w:val="Plain Text"/>
    <w:basedOn w:val="1"/>
    <w:link w:val="12"/>
    <w:qFormat/>
    <w:uiPriority w:val="99"/>
    <w:rPr>
      <w:rFonts w:ascii="宋体" w:hAnsi="Courier New"/>
      <w:kern w:val="0"/>
      <w:sz w:val="20"/>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unhideWhenUsed/>
    <w:qFormat/>
    <w:uiPriority w:val="99"/>
    <w:rPr>
      <w:color w:val="0000FF"/>
      <w:u w:val="single"/>
    </w:rPr>
  </w:style>
  <w:style w:type="character" w:styleId="11">
    <w:name w:val="annotation reference"/>
    <w:unhideWhenUsed/>
    <w:qFormat/>
    <w:uiPriority w:val="99"/>
    <w:rPr>
      <w:sz w:val="21"/>
      <w:szCs w:val="21"/>
    </w:rPr>
  </w:style>
  <w:style w:type="character" w:customStyle="1" w:styleId="12">
    <w:name w:val="纯文本 字符"/>
    <w:link w:val="3"/>
    <w:qFormat/>
    <w:locked/>
    <w:uiPriority w:val="99"/>
    <w:rPr>
      <w:rFonts w:ascii="宋体" w:hAnsi="Courier New"/>
    </w:rPr>
  </w:style>
  <w:style w:type="character" w:customStyle="1" w:styleId="13">
    <w:name w:val="页脚 字符"/>
    <w:link w:val="5"/>
    <w:qFormat/>
    <w:uiPriority w:val="99"/>
    <w:rPr>
      <w:kern w:val="2"/>
      <w:sz w:val="18"/>
      <w:szCs w:val="18"/>
    </w:rPr>
  </w:style>
  <w:style w:type="character" w:customStyle="1" w:styleId="14">
    <w:name w:val="批注框文本 字符"/>
    <w:link w:val="4"/>
    <w:semiHidden/>
    <w:qFormat/>
    <w:uiPriority w:val="99"/>
    <w:rPr>
      <w:kern w:val="2"/>
      <w:sz w:val="18"/>
      <w:szCs w:val="18"/>
    </w:rPr>
  </w:style>
  <w:style w:type="character" w:customStyle="1" w:styleId="15">
    <w:name w:val="纯文本 Char1"/>
    <w:semiHidden/>
    <w:qFormat/>
    <w:uiPriority w:val="99"/>
    <w:rPr>
      <w:rFonts w:ascii="宋体" w:hAnsi="Courier New" w:cs="Courier New"/>
      <w:kern w:val="2"/>
      <w:sz w:val="21"/>
      <w:szCs w:val="21"/>
    </w:rPr>
  </w:style>
  <w:style w:type="character" w:customStyle="1" w:styleId="16">
    <w:name w:val="页眉 字符"/>
    <w:link w:val="6"/>
    <w:semiHidden/>
    <w:qFormat/>
    <w:uiPriority w:val="99"/>
    <w:rPr>
      <w:kern w:val="2"/>
      <w:sz w:val="18"/>
      <w:szCs w:val="18"/>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列项·"/>
    <w:qFormat/>
    <w:uiPriority w:val="99"/>
    <w:pPr>
      <w:tabs>
        <w:tab w:val="left" w:pos="840"/>
      </w:tabs>
      <w:ind w:left="420"/>
      <w:jc w:val="both"/>
    </w:pPr>
    <w:rPr>
      <w:rFonts w:ascii="宋体" w:hAnsi="Times New Roman" w:eastAsia="宋体" w:cs="Times New Roman"/>
      <w:sz w:val="21"/>
      <w:lang w:val="en-US" w:eastAsia="zh-CN" w:bidi="ar-SA"/>
    </w:rPr>
  </w:style>
  <w:style w:type="character" w:customStyle="1" w:styleId="19">
    <w:name w:val="批注文字 字符"/>
    <w:link w:val="2"/>
    <w:qFormat/>
    <w:uiPriority w:val="99"/>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149</Words>
  <Characters>852</Characters>
  <Lines>7</Lines>
  <Paragraphs>1</Paragraphs>
  <TotalTime>2</TotalTime>
  <ScaleCrop>false</ScaleCrop>
  <LinksUpToDate>false</LinksUpToDate>
  <CharactersWithSpaces>1000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2023-07-07T08:37:00Z</dcterms:created>
  <dc:creator>Legend User</dc:creator>
  <cp:lastModifiedBy>ysgz</cp:lastModifiedBy>
  <cp:lastPrinted>2019-12-06T07:53:00Z</cp:lastPrinted>
  <dcterms:modified xsi:type="dcterms:W3CDTF">2023-07-20T15:58:32Z</dcterms:modified>
  <dc:title>××产品质量监督抽查实施细则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