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贵州省磷肥产品质量监督抽查实施细则</w:t>
      </w:r>
    </w:p>
    <w:p>
      <w:pPr>
        <w:spacing w:line="440" w:lineRule="exact"/>
        <w:jc w:val="center"/>
        <w:rPr>
          <w:rFonts w:ascii="方正小标宋_GBK" w:hAnsi="方正小标宋_GBK" w:eastAsia="方正小标宋_GBK" w:cs="方正小标宋_GBK"/>
          <w:color w:val="000000"/>
          <w:sz w:val="32"/>
          <w:szCs w:val="32"/>
        </w:rPr>
      </w:pPr>
      <w:r>
        <w:rPr>
          <w:rFonts w:hint="eastAsia" w:ascii="楷体_GB2312" w:hAnsi="楷体_GB2312" w:eastAsia="楷体_GB2312" w:cs="楷体_GB2312"/>
          <w:color w:val="000000"/>
          <w:sz w:val="32"/>
          <w:szCs w:val="32"/>
        </w:rPr>
        <w:t>（2023年版）</w:t>
      </w:r>
    </w:p>
    <w:p>
      <w:pPr>
        <w:adjustRightInd w:val="0"/>
        <w:snapToGrid w:val="0"/>
        <w:spacing w:line="440" w:lineRule="exact"/>
        <w:rPr>
          <w:rFonts w:eastAsia="方正小标宋简体" w:cs="方正仿宋简体"/>
          <w:color w:val="000000"/>
          <w:sz w:val="32"/>
          <w:szCs w:val="32"/>
        </w:rPr>
      </w:pPr>
    </w:p>
    <w:p>
      <w:pPr>
        <w:snapToGrid w:val="0"/>
        <w:spacing w:line="440" w:lineRule="exact"/>
        <w:rPr>
          <w:rFonts w:ascii="黑体" w:hAnsi="黑体" w:eastAsia="黑体"/>
          <w:color w:val="000000"/>
          <w:szCs w:val="21"/>
        </w:rPr>
      </w:pPr>
      <w:r>
        <w:rPr>
          <w:rFonts w:hint="eastAsia" w:ascii="黑体" w:hAnsi="黑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ascii="宋体" w:hAnsi="宋体"/>
          <w:color w:val="000000"/>
          <w:szCs w:val="21"/>
        </w:rPr>
      </w:pPr>
      <w:bookmarkStart w:id="0" w:name="_Hlk103259270"/>
      <w:r>
        <w:rPr>
          <w:rFonts w:hint="eastAsia" w:ascii="宋体" w:hAnsi="宋体"/>
          <w:color w:val="000000"/>
          <w:szCs w:val="21"/>
        </w:rPr>
        <w:t>将粒状样品缩分至约1kg、粉状样品缩分至约</w:t>
      </w:r>
      <w:r>
        <w:rPr>
          <w:rFonts w:ascii="宋体" w:hAnsi="宋体"/>
          <w:color w:val="000000"/>
          <w:szCs w:val="21"/>
        </w:rPr>
        <w:t>0.5</w:t>
      </w:r>
      <w:r>
        <w:rPr>
          <w:rFonts w:hint="eastAsia" w:ascii="宋体" w:hAnsi="宋体"/>
          <w:color w:val="000000"/>
          <w:szCs w:val="21"/>
        </w:rPr>
        <w:t>kg，再缩分成两份，分装于2个洁净、干燥的塑料瓶中。</w:t>
      </w:r>
      <w:r>
        <w:rPr>
          <w:rFonts w:ascii="宋体" w:hAnsi="宋体"/>
          <w:color w:val="000000"/>
          <w:szCs w:val="21"/>
        </w:rPr>
        <w:t>1</w:t>
      </w:r>
      <w:r>
        <w:rPr>
          <w:rFonts w:hint="eastAsia" w:ascii="宋体" w:hAnsi="宋体"/>
          <w:color w:val="000000"/>
          <w:szCs w:val="21"/>
        </w:rPr>
        <w:t>瓶作为检验样品，另</w:t>
      </w:r>
      <w:r>
        <w:rPr>
          <w:rFonts w:ascii="宋体" w:hAnsi="宋体"/>
          <w:color w:val="000000"/>
          <w:szCs w:val="21"/>
        </w:rPr>
        <w:t>1</w:t>
      </w:r>
      <w:r>
        <w:rPr>
          <w:rFonts w:hint="eastAsia" w:ascii="宋体" w:hAnsi="宋体"/>
          <w:color w:val="000000"/>
          <w:szCs w:val="21"/>
        </w:rPr>
        <w:t>瓶作为备用样品。</w:t>
      </w:r>
    </w:p>
    <w:bookmarkEnd w:id="0"/>
    <w:p>
      <w:pPr>
        <w:snapToGrid w:val="0"/>
        <w:spacing w:line="440" w:lineRule="exact"/>
        <w:ind w:firstLine="420" w:firstLineChars="200"/>
        <w:rPr>
          <w:rFonts w:ascii="宋体" w:hAnsi="宋体"/>
          <w:color w:val="000000"/>
          <w:szCs w:val="21"/>
        </w:rPr>
      </w:pPr>
    </w:p>
    <w:p>
      <w:pPr>
        <w:snapToGrid w:val="0"/>
        <w:spacing w:line="440" w:lineRule="exact"/>
        <w:rPr>
          <w:rFonts w:ascii="黑体" w:hAnsi="黑体" w:eastAsia="黑体"/>
          <w:bCs/>
          <w:color w:val="000000"/>
          <w:szCs w:val="21"/>
        </w:rPr>
      </w:pPr>
      <w:r>
        <w:rPr>
          <w:rFonts w:hint="eastAsia" w:ascii="黑体" w:hAnsi="黑体" w:eastAsia="黑体"/>
          <w:color w:val="000000"/>
          <w:szCs w:val="21"/>
        </w:rPr>
        <w:t>2 检验依据</w:t>
      </w:r>
    </w:p>
    <w:p>
      <w:pPr>
        <w:snapToGrid w:val="0"/>
        <w:spacing w:line="440" w:lineRule="exact"/>
        <w:jc w:val="center"/>
        <w:rPr>
          <w:bCs/>
          <w:color w:val="000000"/>
          <w:szCs w:val="21"/>
        </w:rPr>
      </w:pPr>
      <w:r>
        <w:rPr>
          <w:rFonts w:hint="eastAsia"/>
          <w:bCs/>
          <w:color w:val="000000"/>
          <w:szCs w:val="21"/>
        </w:rPr>
        <w:t>表1过磷酸钙</w:t>
      </w:r>
    </w:p>
    <w:tbl>
      <w:tblPr>
        <w:tblStyle w:val="9"/>
        <w:tblW w:w="9062"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5670"/>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699"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序号</w:t>
            </w:r>
          </w:p>
        </w:tc>
        <w:tc>
          <w:tcPr>
            <w:tcW w:w="5670"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检验项目</w:t>
            </w:r>
          </w:p>
        </w:tc>
        <w:tc>
          <w:tcPr>
            <w:tcW w:w="2693"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有效磷</w:t>
            </w:r>
            <w:r>
              <w:rPr>
                <w:rFonts w:hint="eastAsia"/>
                <w:color w:val="auto"/>
                <w:kern w:val="0"/>
                <w:szCs w:val="21"/>
              </w:rPr>
              <w:t>(</w:t>
            </w:r>
            <w:r>
              <w:rPr>
                <w:color w:val="auto"/>
                <w:kern w:val="0"/>
                <w:szCs w:val="21"/>
              </w:rPr>
              <w:t>以P</w:t>
            </w:r>
            <w:r>
              <w:rPr>
                <w:color w:val="auto"/>
                <w:kern w:val="0"/>
                <w:szCs w:val="21"/>
                <w:vertAlign w:val="subscript"/>
              </w:rPr>
              <w:t>2</w:t>
            </w:r>
            <w:r>
              <w:rPr>
                <w:color w:val="auto"/>
                <w:kern w:val="0"/>
                <w:szCs w:val="21"/>
              </w:rPr>
              <w:t>O</w:t>
            </w:r>
            <w:r>
              <w:rPr>
                <w:color w:val="auto"/>
                <w:kern w:val="0"/>
                <w:szCs w:val="21"/>
                <w:vertAlign w:val="subscript"/>
              </w:rPr>
              <w:t>5</w:t>
            </w:r>
            <w:r>
              <w:rPr>
                <w:color w:val="auto"/>
                <w:kern w:val="0"/>
                <w:szCs w:val="21"/>
              </w:rPr>
              <w:t>计</w:t>
            </w:r>
            <w:r>
              <w:rPr>
                <w:rFonts w:hint="eastAsia"/>
                <w:color w:val="auto"/>
                <w:kern w:val="0"/>
                <w:szCs w:val="21"/>
              </w:rPr>
              <w:t>)</w:t>
            </w:r>
            <w:r>
              <w:rPr>
                <w:color w:val="auto"/>
                <w:kern w:val="0"/>
                <w:szCs w:val="21"/>
              </w:rPr>
              <w:t>的质量分数</w:t>
            </w:r>
          </w:p>
        </w:tc>
        <w:tc>
          <w:tcPr>
            <w:tcW w:w="2693"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GB/T 20413-2017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水溶性磷</w:t>
            </w:r>
            <w:r>
              <w:rPr>
                <w:rFonts w:hint="eastAsia"/>
                <w:color w:val="auto"/>
                <w:kern w:val="0"/>
                <w:szCs w:val="21"/>
              </w:rPr>
              <w:t>(</w:t>
            </w:r>
            <w:r>
              <w:rPr>
                <w:color w:val="auto"/>
                <w:kern w:val="0"/>
                <w:szCs w:val="21"/>
              </w:rPr>
              <w:t>以P</w:t>
            </w:r>
            <w:r>
              <w:rPr>
                <w:color w:val="auto"/>
                <w:kern w:val="0"/>
                <w:szCs w:val="21"/>
                <w:vertAlign w:val="subscript"/>
              </w:rPr>
              <w:t>2</w:t>
            </w:r>
            <w:r>
              <w:rPr>
                <w:color w:val="auto"/>
                <w:kern w:val="0"/>
                <w:szCs w:val="21"/>
              </w:rPr>
              <w:t>O</w:t>
            </w:r>
            <w:r>
              <w:rPr>
                <w:color w:val="auto"/>
                <w:kern w:val="0"/>
                <w:szCs w:val="21"/>
                <w:vertAlign w:val="subscript"/>
              </w:rPr>
              <w:t>5</w:t>
            </w:r>
            <w:r>
              <w:rPr>
                <w:color w:val="auto"/>
                <w:kern w:val="0"/>
                <w:szCs w:val="21"/>
              </w:rPr>
              <w:t>计</w:t>
            </w:r>
            <w:r>
              <w:rPr>
                <w:rFonts w:hint="eastAsia"/>
                <w:color w:val="auto"/>
                <w:kern w:val="0"/>
                <w:szCs w:val="21"/>
              </w:rPr>
              <w:t>)</w:t>
            </w:r>
            <w:r>
              <w:rPr>
                <w:color w:val="auto"/>
                <w:kern w:val="0"/>
                <w:szCs w:val="21"/>
              </w:rPr>
              <w:t>的质量分数</w:t>
            </w:r>
          </w:p>
        </w:tc>
        <w:tc>
          <w:tcPr>
            <w:tcW w:w="2693"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GB/T 20413-2017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硫</w:t>
            </w:r>
            <w:r>
              <w:rPr>
                <w:rFonts w:hint="eastAsia"/>
                <w:color w:val="auto"/>
                <w:kern w:val="0"/>
                <w:szCs w:val="21"/>
              </w:rPr>
              <w:t>(</w:t>
            </w:r>
            <w:r>
              <w:rPr>
                <w:color w:val="auto"/>
                <w:kern w:val="0"/>
                <w:szCs w:val="21"/>
              </w:rPr>
              <w:t>以S计</w:t>
            </w:r>
            <w:r>
              <w:rPr>
                <w:rFonts w:hint="eastAsia"/>
                <w:color w:val="auto"/>
                <w:kern w:val="0"/>
                <w:szCs w:val="21"/>
              </w:rPr>
              <w:t>)</w:t>
            </w:r>
            <w:r>
              <w:rPr>
                <w:color w:val="auto"/>
                <w:kern w:val="0"/>
                <w:szCs w:val="21"/>
              </w:rPr>
              <w:t>的质量分数</w:t>
            </w:r>
          </w:p>
        </w:tc>
        <w:tc>
          <w:tcPr>
            <w:tcW w:w="2693" w:type="dxa"/>
            <w:tcBorders>
              <w:tl2br w:val="nil"/>
              <w:tr2bl w:val="nil"/>
            </w:tcBorders>
            <w:shd w:val="clear" w:color="auto" w:fill="auto"/>
            <w:noWrap/>
            <w:vAlign w:val="center"/>
          </w:tcPr>
          <w:p>
            <w:pPr>
              <w:jc w:val="center"/>
              <w:rPr>
                <w:color w:val="auto"/>
                <w:kern w:val="0"/>
                <w:szCs w:val="21"/>
              </w:rPr>
            </w:pPr>
            <w:r>
              <w:rPr>
                <w:color w:val="auto"/>
                <w:kern w:val="0"/>
                <w:szCs w:val="21"/>
              </w:rPr>
              <w:t>GB/T 19203-2003</w:t>
            </w:r>
          </w:p>
          <w:p>
            <w:pPr>
              <w:keepNext w:val="0"/>
              <w:keepLines w:val="0"/>
              <w:widowControl/>
              <w:suppressLineNumbers w:val="0"/>
              <w:jc w:val="center"/>
              <w:rPr>
                <w:color w:val="000000"/>
                <w:kern w:val="0"/>
                <w:szCs w:val="21"/>
              </w:rPr>
            </w:pPr>
            <w:r>
              <w:rPr>
                <w:rFonts w:hint="default" w:ascii="Times New Roman" w:hAnsi="Times New Roman" w:eastAsia="宋体" w:cs="Times New Roman"/>
                <w:color w:val="auto"/>
                <w:kern w:val="0"/>
                <w:sz w:val="21"/>
                <w:szCs w:val="21"/>
                <w:lang w:val="en-US" w:eastAsia="zh-CN" w:bidi="ar"/>
              </w:rPr>
              <w:t>NY/T 1117-2010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游离酸</w:t>
            </w:r>
            <w:r>
              <w:rPr>
                <w:rFonts w:hint="eastAsia"/>
                <w:color w:val="auto"/>
                <w:kern w:val="0"/>
                <w:szCs w:val="21"/>
              </w:rPr>
              <w:t>(</w:t>
            </w:r>
            <w:r>
              <w:rPr>
                <w:color w:val="auto"/>
                <w:kern w:val="0"/>
                <w:szCs w:val="21"/>
              </w:rPr>
              <w:t>以P</w:t>
            </w:r>
            <w:r>
              <w:rPr>
                <w:color w:val="auto"/>
                <w:kern w:val="0"/>
                <w:szCs w:val="21"/>
                <w:vertAlign w:val="subscript"/>
              </w:rPr>
              <w:t>2</w:t>
            </w:r>
            <w:r>
              <w:rPr>
                <w:color w:val="auto"/>
                <w:kern w:val="0"/>
                <w:szCs w:val="21"/>
              </w:rPr>
              <w:t>O</w:t>
            </w:r>
            <w:r>
              <w:rPr>
                <w:color w:val="auto"/>
                <w:kern w:val="0"/>
                <w:szCs w:val="21"/>
                <w:vertAlign w:val="subscript"/>
              </w:rPr>
              <w:t>5</w:t>
            </w:r>
            <w:r>
              <w:rPr>
                <w:color w:val="auto"/>
                <w:kern w:val="0"/>
                <w:szCs w:val="21"/>
              </w:rPr>
              <w:t>计</w:t>
            </w:r>
            <w:r>
              <w:rPr>
                <w:rFonts w:hint="eastAsia"/>
                <w:color w:val="auto"/>
                <w:kern w:val="0"/>
                <w:szCs w:val="21"/>
              </w:rPr>
              <w:t>)</w:t>
            </w:r>
            <w:r>
              <w:rPr>
                <w:color w:val="auto"/>
                <w:kern w:val="0"/>
                <w:szCs w:val="21"/>
              </w:rPr>
              <w:t>的质量分数</w:t>
            </w:r>
          </w:p>
        </w:tc>
        <w:tc>
          <w:tcPr>
            <w:tcW w:w="2693"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GB/T 20413-2017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游离水的质量分数</w:t>
            </w:r>
          </w:p>
        </w:tc>
        <w:tc>
          <w:tcPr>
            <w:tcW w:w="2693"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GB/T 20413-2017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三氯乙醛的质量分数</w:t>
            </w:r>
          </w:p>
        </w:tc>
        <w:tc>
          <w:tcPr>
            <w:tcW w:w="2693" w:type="dxa"/>
            <w:tcBorders>
              <w:tl2br w:val="nil"/>
              <w:tr2bl w:val="nil"/>
            </w:tcBorders>
            <w:shd w:val="clear" w:color="auto" w:fill="auto"/>
            <w:noWrap/>
            <w:vAlign w:val="center"/>
          </w:tcPr>
          <w:p>
            <w:pPr>
              <w:jc w:val="center"/>
              <w:rPr>
                <w:color w:val="000000"/>
                <w:kern w:val="0"/>
                <w:szCs w:val="21"/>
              </w:rPr>
            </w:pPr>
            <w:r>
              <w:rPr>
                <w:color w:val="000000"/>
                <w:kern w:val="0"/>
                <w:szCs w:val="21"/>
              </w:rPr>
              <w:t>GB/T 31266-2014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粒度</w:t>
            </w:r>
            <w:r>
              <w:rPr>
                <w:rFonts w:hint="eastAsia"/>
                <w:color w:val="auto"/>
                <w:kern w:val="0"/>
                <w:szCs w:val="21"/>
              </w:rPr>
              <w:t>(</w:t>
            </w:r>
            <w:r>
              <w:rPr>
                <w:color w:val="auto"/>
                <w:kern w:val="0"/>
                <w:szCs w:val="21"/>
              </w:rPr>
              <w:t>1.00mm～4.75mm或3.35mm～5.60mm</w:t>
            </w:r>
            <w:r>
              <w:rPr>
                <w:rFonts w:hint="eastAsia"/>
                <w:color w:val="auto"/>
                <w:kern w:val="0"/>
                <w:szCs w:val="21"/>
              </w:rPr>
              <w:t>)</w:t>
            </w:r>
            <w:r>
              <w:rPr>
                <w:color w:val="auto"/>
                <w:kern w:val="0"/>
                <w:szCs w:val="21"/>
              </w:rPr>
              <w:t>的质量分数</w:t>
            </w:r>
          </w:p>
        </w:tc>
        <w:tc>
          <w:tcPr>
            <w:tcW w:w="2693"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GB/T 20413-2017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vAlign w:val="center"/>
          </w:tcPr>
          <w:p>
            <w:pPr>
              <w:widowControl/>
              <w:jc w:val="center"/>
              <w:rPr>
                <w:color w:val="auto"/>
                <w:kern w:val="0"/>
                <w:szCs w:val="21"/>
              </w:rPr>
            </w:pPr>
            <w:r>
              <w:rPr>
                <w:color w:val="auto"/>
                <w:kern w:val="0"/>
                <w:szCs w:val="21"/>
              </w:rPr>
              <w:t>总砷</w:t>
            </w:r>
          </w:p>
        </w:tc>
        <w:tc>
          <w:tcPr>
            <w:tcW w:w="2693"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vAlign w:val="center"/>
          </w:tcPr>
          <w:p>
            <w:pPr>
              <w:widowControl/>
              <w:jc w:val="center"/>
              <w:rPr>
                <w:color w:val="auto"/>
                <w:kern w:val="0"/>
                <w:szCs w:val="21"/>
              </w:rPr>
            </w:pPr>
            <w:r>
              <w:rPr>
                <w:color w:val="auto"/>
                <w:kern w:val="0"/>
                <w:szCs w:val="21"/>
              </w:rPr>
              <w:t>总镉</w:t>
            </w:r>
          </w:p>
        </w:tc>
        <w:tc>
          <w:tcPr>
            <w:tcW w:w="2693"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vAlign w:val="center"/>
          </w:tcPr>
          <w:p>
            <w:pPr>
              <w:widowControl/>
              <w:jc w:val="center"/>
              <w:rPr>
                <w:color w:val="auto"/>
                <w:kern w:val="0"/>
                <w:szCs w:val="21"/>
              </w:rPr>
            </w:pPr>
            <w:r>
              <w:rPr>
                <w:color w:val="auto"/>
                <w:kern w:val="0"/>
                <w:szCs w:val="21"/>
              </w:rPr>
              <w:t>总铅</w:t>
            </w:r>
          </w:p>
        </w:tc>
        <w:tc>
          <w:tcPr>
            <w:tcW w:w="2693"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vAlign w:val="center"/>
          </w:tcPr>
          <w:p>
            <w:pPr>
              <w:widowControl/>
              <w:jc w:val="center"/>
              <w:rPr>
                <w:color w:val="auto"/>
                <w:kern w:val="0"/>
                <w:szCs w:val="21"/>
              </w:rPr>
            </w:pPr>
            <w:r>
              <w:rPr>
                <w:color w:val="auto"/>
                <w:kern w:val="0"/>
                <w:szCs w:val="21"/>
              </w:rPr>
              <w:t>总铬</w:t>
            </w:r>
          </w:p>
        </w:tc>
        <w:tc>
          <w:tcPr>
            <w:tcW w:w="2693"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vAlign w:val="center"/>
          </w:tcPr>
          <w:p>
            <w:pPr>
              <w:widowControl/>
              <w:jc w:val="center"/>
              <w:rPr>
                <w:color w:val="auto"/>
                <w:kern w:val="0"/>
                <w:szCs w:val="21"/>
              </w:rPr>
            </w:pPr>
            <w:r>
              <w:rPr>
                <w:color w:val="auto"/>
                <w:kern w:val="0"/>
                <w:szCs w:val="21"/>
              </w:rPr>
              <w:t>总汞</w:t>
            </w:r>
          </w:p>
        </w:tc>
        <w:tc>
          <w:tcPr>
            <w:tcW w:w="2693"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总铊</w:t>
            </w:r>
          </w:p>
        </w:tc>
        <w:tc>
          <w:tcPr>
            <w:tcW w:w="269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000000"/>
                <w:kern w:val="0"/>
                <w:szCs w:val="21"/>
              </w:rPr>
            </w:pPr>
            <w:r>
              <w:rPr>
                <w:rFonts w:hint="eastAsia"/>
                <w:color w:val="auto"/>
                <w:kern w:val="0"/>
                <w:szCs w:val="21"/>
              </w:rPr>
              <w:t>挥发性有机化合物</w:t>
            </w:r>
          </w:p>
        </w:tc>
        <w:tc>
          <w:tcPr>
            <w:tcW w:w="2693"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GB/T 20413-2017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包装标识</w:t>
            </w:r>
            <w:r>
              <w:rPr>
                <w:color w:val="auto"/>
                <w:kern w:val="0"/>
                <w:szCs w:val="21"/>
              </w:rPr>
              <w:t>（养分含量、名称中的禁用语</w:t>
            </w:r>
            <w:r>
              <w:rPr>
                <w:rFonts w:hint="eastAsia"/>
                <w:color w:val="auto"/>
                <w:kern w:val="0"/>
                <w:szCs w:val="21"/>
                <w:lang w:val="en-US" w:eastAsia="zh-CN"/>
              </w:rPr>
              <w:t>等内容</w:t>
            </w:r>
            <w:r>
              <w:rPr>
                <w:color w:val="auto"/>
                <w:kern w:val="0"/>
                <w:szCs w:val="21"/>
              </w:rPr>
              <w:t>）</w:t>
            </w:r>
          </w:p>
        </w:tc>
        <w:tc>
          <w:tcPr>
            <w:tcW w:w="2693"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GB 18382-2021</w:t>
            </w:r>
          </w:p>
          <w:p>
            <w:pPr>
              <w:widowControl/>
              <w:jc w:val="center"/>
              <w:rPr>
                <w:color w:val="000000"/>
                <w:kern w:val="0"/>
                <w:szCs w:val="21"/>
              </w:rPr>
            </w:pPr>
            <w:r>
              <w:rPr>
                <w:color w:val="000000"/>
                <w:kern w:val="0"/>
                <w:szCs w:val="21"/>
              </w:rPr>
              <w:t>GB/T 20413-2017</w:t>
            </w:r>
          </w:p>
        </w:tc>
      </w:tr>
    </w:tbl>
    <w:p>
      <w:pPr>
        <w:snapToGrid w:val="0"/>
        <w:spacing w:line="440" w:lineRule="exact"/>
        <w:jc w:val="center"/>
        <w:rPr>
          <w:bCs/>
          <w:color w:val="000000"/>
          <w:szCs w:val="21"/>
        </w:rPr>
      </w:pPr>
    </w:p>
    <w:p>
      <w:pPr>
        <w:snapToGrid w:val="0"/>
        <w:spacing w:line="440" w:lineRule="exact"/>
        <w:jc w:val="both"/>
        <w:rPr>
          <w:bCs/>
          <w:color w:val="000000"/>
          <w:szCs w:val="21"/>
        </w:rPr>
      </w:pPr>
    </w:p>
    <w:p>
      <w:pPr>
        <w:snapToGrid w:val="0"/>
        <w:spacing w:line="440" w:lineRule="exact"/>
        <w:jc w:val="center"/>
        <w:rPr>
          <w:bCs/>
          <w:color w:val="000000"/>
          <w:szCs w:val="21"/>
        </w:rPr>
      </w:pPr>
      <w:r>
        <w:rPr>
          <w:bCs/>
          <w:color w:val="000000"/>
          <w:szCs w:val="21"/>
        </w:rPr>
        <w:t>表</w:t>
      </w:r>
      <w:r>
        <w:rPr>
          <w:rFonts w:hint="eastAsia"/>
          <w:bCs/>
          <w:color w:val="000000"/>
          <w:szCs w:val="21"/>
        </w:rPr>
        <w:t>2钙镁磷肥</w:t>
      </w:r>
    </w:p>
    <w:tbl>
      <w:tblPr>
        <w:tblStyle w:val="9"/>
        <w:tblW w:w="8921"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4961"/>
        <w:gridCol w:w="3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99" w:type="dxa"/>
            <w:tcBorders>
              <w:tl2br w:val="nil"/>
              <w:tr2bl w:val="nil"/>
            </w:tcBorders>
            <w:shd w:val="clear" w:color="auto" w:fill="auto"/>
            <w:vAlign w:val="center"/>
          </w:tcPr>
          <w:p>
            <w:pPr>
              <w:widowControl/>
              <w:jc w:val="center"/>
              <w:rPr>
                <w:color w:val="000000"/>
                <w:kern w:val="0"/>
                <w:szCs w:val="21"/>
              </w:rPr>
            </w:pPr>
            <w:r>
              <w:rPr>
                <w:color w:val="000000"/>
                <w:kern w:val="0"/>
                <w:szCs w:val="21"/>
              </w:rPr>
              <w:t>序号</w:t>
            </w: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检验项目</w:t>
            </w:r>
          </w:p>
        </w:tc>
        <w:tc>
          <w:tcPr>
            <w:tcW w:w="3261" w:type="dxa"/>
            <w:tcBorders>
              <w:tl2br w:val="nil"/>
              <w:tr2bl w:val="nil"/>
            </w:tcBorders>
            <w:shd w:val="clear" w:color="auto" w:fill="auto"/>
            <w:vAlign w:val="center"/>
          </w:tcPr>
          <w:p>
            <w:pPr>
              <w:widowControl/>
              <w:jc w:val="center"/>
              <w:rPr>
                <w:color w:val="000000"/>
                <w:kern w:val="0"/>
                <w:szCs w:val="21"/>
              </w:rPr>
            </w:pPr>
            <w:r>
              <w:rPr>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auto"/>
                <w:kern w:val="0"/>
                <w:szCs w:val="21"/>
              </w:rPr>
            </w:pPr>
            <w:r>
              <w:rPr>
                <w:color w:val="auto"/>
                <w:kern w:val="0"/>
                <w:szCs w:val="21"/>
              </w:rPr>
              <w:t>有效五氧化二磷</w:t>
            </w:r>
            <w:r>
              <w:rPr>
                <w:rFonts w:hint="eastAsia"/>
                <w:color w:val="auto"/>
                <w:kern w:val="0"/>
                <w:szCs w:val="21"/>
              </w:rPr>
              <w:t>(</w:t>
            </w:r>
            <w:r>
              <w:rPr>
                <w:color w:val="auto"/>
                <w:kern w:val="0"/>
                <w:szCs w:val="21"/>
              </w:rPr>
              <w:t>P</w:t>
            </w:r>
            <w:r>
              <w:rPr>
                <w:color w:val="auto"/>
                <w:kern w:val="0"/>
                <w:szCs w:val="21"/>
                <w:vertAlign w:val="subscript"/>
              </w:rPr>
              <w:t>2</w:t>
            </w:r>
            <w:r>
              <w:rPr>
                <w:color w:val="auto"/>
                <w:kern w:val="0"/>
                <w:szCs w:val="21"/>
              </w:rPr>
              <w:t>O</w:t>
            </w:r>
            <w:r>
              <w:rPr>
                <w:color w:val="auto"/>
                <w:kern w:val="0"/>
                <w:szCs w:val="21"/>
                <w:vertAlign w:val="subscript"/>
              </w:rPr>
              <w:t>5</w:t>
            </w:r>
            <w:r>
              <w:rPr>
                <w:color w:val="auto"/>
                <w:kern w:val="0"/>
                <w:szCs w:val="21"/>
              </w:rPr>
              <w:t xml:space="preserve">) </w:t>
            </w:r>
          </w:p>
        </w:tc>
        <w:tc>
          <w:tcPr>
            <w:tcW w:w="3261" w:type="dxa"/>
            <w:tcBorders>
              <w:tl2br w:val="nil"/>
              <w:tr2bl w:val="nil"/>
            </w:tcBorders>
            <w:shd w:val="clear" w:color="auto" w:fill="auto"/>
            <w:vAlign w:val="center"/>
          </w:tcPr>
          <w:p>
            <w:pPr>
              <w:jc w:val="center"/>
              <w:rPr>
                <w:color w:val="000000"/>
                <w:kern w:val="0"/>
                <w:szCs w:val="21"/>
              </w:rPr>
            </w:pPr>
            <w:r>
              <w:rPr>
                <w:color w:val="000000"/>
                <w:kern w:val="0"/>
                <w:szCs w:val="21"/>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auto"/>
                <w:kern w:val="0"/>
                <w:szCs w:val="21"/>
              </w:rPr>
            </w:pPr>
            <w:r>
              <w:rPr>
                <w:color w:val="auto"/>
                <w:kern w:val="0"/>
                <w:szCs w:val="21"/>
              </w:rPr>
              <w:t>水分</w:t>
            </w:r>
            <w:r>
              <w:rPr>
                <w:rFonts w:hint="eastAsia"/>
                <w:color w:val="auto"/>
                <w:kern w:val="0"/>
                <w:szCs w:val="21"/>
              </w:rPr>
              <w:t>(</w:t>
            </w:r>
            <w:r>
              <w:rPr>
                <w:color w:val="auto"/>
                <w:kern w:val="0"/>
                <w:szCs w:val="21"/>
              </w:rPr>
              <w:t>H</w:t>
            </w:r>
            <w:r>
              <w:rPr>
                <w:color w:val="auto"/>
                <w:kern w:val="0"/>
                <w:szCs w:val="21"/>
                <w:vertAlign w:val="subscript"/>
              </w:rPr>
              <w:t>2</w:t>
            </w:r>
            <w:r>
              <w:rPr>
                <w:color w:val="auto"/>
                <w:kern w:val="0"/>
                <w:szCs w:val="21"/>
              </w:rPr>
              <w:t>O)</w:t>
            </w:r>
          </w:p>
        </w:tc>
        <w:tc>
          <w:tcPr>
            <w:tcW w:w="3261" w:type="dxa"/>
            <w:tcBorders>
              <w:tl2br w:val="nil"/>
              <w:tr2bl w:val="nil"/>
            </w:tcBorders>
            <w:shd w:val="clear" w:color="auto" w:fill="auto"/>
            <w:vAlign w:val="center"/>
          </w:tcPr>
          <w:p>
            <w:pPr>
              <w:jc w:val="center"/>
              <w:rPr>
                <w:color w:val="000000"/>
                <w:kern w:val="0"/>
                <w:szCs w:val="21"/>
              </w:rPr>
            </w:pPr>
            <w:r>
              <w:rPr>
                <w:color w:val="000000"/>
                <w:kern w:val="0"/>
                <w:szCs w:val="21"/>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rFonts w:ascii="Times New Roman" w:hAnsi="Times New Roman" w:eastAsia="宋体" w:cs="Times New Roman"/>
                <w:color w:val="auto"/>
                <w:kern w:val="0"/>
                <w:sz w:val="21"/>
                <w:szCs w:val="21"/>
                <w:lang w:val="en-US" w:eastAsia="zh-CN" w:bidi="ar-SA"/>
              </w:rPr>
            </w:pPr>
            <w:r>
              <w:rPr>
                <w:color w:val="auto"/>
                <w:kern w:val="0"/>
                <w:szCs w:val="21"/>
              </w:rPr>
              <w:t>细度</w:t>
            </w:r>
            <w:r>
              <w:rPr>
                <w:rFonts w:hint="eastAsia"/>
                <w:color w:val="auto"/>
                <w:kern w:val="0"/>
                <w:szCs w:val="21"/>
              </w:rPr>
              <w:t>(</w:t>
            </w:r>
            <w:r>
              <w:rPr>
                <w:color w:val="auto"/>
                <w:kern w:val="0"/>
                <w:szCs w:val="21"/>
              </w:rPr>
              <w:t>通过0.25mm试验筛</w:t>
            </w:r>
            <w:r>
              <w:rPr>
                <w:rFonts w:hint="eastAsia"/>
                <w:color w:val="auto"/>
                <w:kern w:val="0"/>
                <w:szCs w:val="21"/>
              </w:rPr>
              <w:t>)</w:t>
            </w:r>
          </w:p>
        </w:tc>
        <w:tc>
          <w:tcPr>
            <w:tcW w:w="3261" w:type="dxa"/>
            <w:tcBorders>
              <w:tl2br w:val="nil"/>
              <w:tr2bl w:val="nil"/>
            </w:tcBorders>
            <w:shd w:val="clear" w:color="auto" w:fill="auto"/>
            <w:vAlign w:val="center"/>
          </w:tcPr>
          <w:p>
            <w:pPr>
              <w:jc w:val="center"/>
              <w:rPr>
                <w:rFonts w:ascii="Times New Roman" w:hAnsi="Times New Roman" w:eastAsia="宋体" w:cs="Times New Roman"/>
                <w:color w:val="000000"/>
                <w:kern w:val="0"/>
                <w:sz w:val="21"/>
                <w:szCs w:val="21"/>
                <w:lang w:val="en-US" w:eastAsia="zh-CN" w:bidi="ar-SA"/>
              </w:rPr>
            </w:pPr>
            <w:r>
              <w:rPr>
                <w:color w:val="000000"/>
                <w:kern w:val="0"/>
                <w:szCs w:val="21"/>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rFonts w:ascii="Times New Roman" w:hAnsi="Times New Roman" w:eastAsia="宋体" w:cs="Times New Roman"/>
                <w:color w:val="auto"/>
                <w:kern w:val="0"/>
                <w:sz w:val="21"/>
                <w:szCs w:val="21"/>
                <w:lang w:val="en-US" w:eastAsia="zh-CN" w:bidi="ar-SA"/>
              </w:rPr>
            </w:pPr>
            <w:r>
              <w:rPr>
                <w:rFonts w:hint="eastAsia"/>
                <w:color w:val="auto"/>
                <w:kern w:val="0"/>
                <w:szCs w:val="21"/>
              </w:rPr>
              <w:t>粒度(</w:t>
            </w:r>
            <w:r>
              <w:rPr>
                <w:color w:val="auto"/>
                <w:kern w:val="0"/>
                <w:szCs w:val="21"/>
              </w:rPr>
              <w:t>2.00mm~4.75mm)</w:t>
            </w:r>
          </w:p>
        </w:tc>
        <w:tc>
          <w:tcPr>
            <w:tcW w:w="3261" w:type="dxa"/>
            <w:tcBorders>
              <w:tl2br w:val="nil"/>
              <w:tr2bl w:val="nil"/>
            </w:tcBorders>
            <w:shd w:val="clear" w:color="auto" w:fill="auto"/>
            <w:vAlign w:val="center"/>
          </w:tcPr>
          <w:p>
            <w:pPr>
              <w:widowControl/>
              <w:jc w:val="center"/>
              <w:rPr>
                <w:rFonts w:ascii="Times New Roman" w:hAnsi="Times New Roman" w:eastAsia="宋体" w:cs="Times New Roman"/>
                <w:color w:val="000000"/>
                <w:kern w:val="0"/>
                <w:sz w:val="21"/>
                <w:szCs w:val="21"/>
                <w:lang w:val="en-US" w:eastAsia="zh-CN" w:bidi="ar-SA"/>
              </w:rPr>
            </w:pPr>
            <w:r>
              <w:rPr>
                <w:color w:val="000000"/>
                <w:kern w:val="0"/>
                <w:szCs w:val="21"/>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auto"/>
                <w:kern w:val="0"/>
                <w:szCs w:val="21"/>
              </w:rPr>
            </w:pPr>
            <w:r>
              <w:rPr>
                <w:rFonts w:hint="eastAsia"/>
                <w:color w:val="auto"/>
                <w:kern w:val="0"/>
                <w:szCs w:val="21"/>
              </w:rPr>
              <w:t>有效钙（Ca）</w:t>
            </w:r>
          </w:p>
        </w:tc>
        <w:tc>
          <w:tcPr>
            <w:tcW w:w="3261" w:type="dxa"/>
            <w:tcBorders>
              <w:tl2br w:val="nil"/>
              <w:tr2bl w:val="nil"/>
            </w:tcBorders>
            <w:shd w:val="clear" w:color="auto" w:fill="auto"/>
            <w:vAlign w:val="center"/>
          </w:tcPr>
          <w:p>
            <w:pPr>
              <w:widowControl/>
              <w:jc w:val="center"/>
              <w:rPr>
                <w:color w:val="000000"/>
                <w:kern w:val="0"/>
                <w:szCs w:val="21"/>
              </w:rPr>
            </w:pPr>
            <w:r>
              <w:rPr>
                <w:color w:val="000000"/>
                <w:kern w:val="0"/>
                <w:szCs w:val="21"/>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rFonts w:ascii="Times New Roman" w:hAnsi="Times New Roman" w:eastAsia="宋体" w:cs="Times New Roman"/>
                <w:color w:val="auto"/>
                <w:kern w:val="0"/>
                <w:sz w:val="21"/>
                <w:szCs w:val="21"/>
                <w:lang w:val="en-US" w:eastAsia="zh-CN" w:bidi="ar-SA"/>
              </w:rPr>
            </w:pPr>
            <w:r>
              <w:rPr>
                <w:rFonts w:hint="eastAsia"/>
                <w:color w:val="auto"/>
                <w:kern w:val="0"/>
                <w:szCs w:val="21"/>
              </w:rPr>
              <w:t>可溶性硅（SiO</w:t>
            </w:r>
            <w:r>
              <w:rPr>
                <w:color w:val="auto"/>
                <w:kern w:val="0"/>
                <w:szCs w:val="21"/>
                <w:vertAlign w:val="subscript"/>
              </w:rPr>
              <w:t>2</w:t>
            </w:r>
            <w:r>
              <w:rPr>
                <w:rFonts w:hint="eastAsia"/>
                <w:color w:val="auto"/>
                <w:kern w:val="0"/>
                <w:szCs w:val="21"/>
              </w:rPr>
              <w:t>）</w:t>
            </w:r>
          </w:p>
        </w:tc>
        <w:tc>
          <w:tcPr>
            <w:tcW w:w="3261" w:type="dxa"/>
            <w:tcBorders>
              <w:tl2br w:val="nil"/>
              <w:tr2bl w:val="nil"/>
            </w:tcBorders>
            <w:shd w:val="clear" w:color="auto" w:fill="auto"/>
            <w:vAlign w:val="center"/>
          </w:tcPr>
          <w:p>
            <w:pPr>
              <w:widowControl/>
              <w:jc w:val="center"/>
              <w:rPr>
                <w:rFonts w:ascii="Times New Roman" w:hAnsi="Times New Roman" w:eastAsia="宋体" w:cs="Times New Roman"/>
                <w:color w:val="000000"/>
                <w:kern w:val="0"/>
                <w:sz w:val="21"/>
                <w:szCs w:val="21"/>
                <w:lang w:val="en-US" w:eastAsia="zh-CN" w:bidi="ar-SA"/>
              </w:rPr>
            </w:pPr>
            <w:r>
              <w:rPr>
                <w:color w:val="000000"/>
                <w:kern w:val="0"/>
                <w:szCs w:val="21"/>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rFonts w:ascii="Times New Roman" w:hAnsi="Times New Roman" w:eastAsia="宋体" w:cs="Times New Roman"/>
                <w:color w:val="auto"/>
                <w:kern w:val="0"/>
                <w:sz w:val="21"/>
                <w:szCs w:val="21"/>
                <w:lang w:val="en-US" w:eastAsia="zh-CN" w:bidi="ar-SA"/>
              </w:rPr>
            </w:pPr>
            <w:r>
              <w:rPr>
                <w:rFonts w:hint="eastAsia"/>
                <w:color w:val="auto"/>
                <w:kern w:val="0"/>
                <w:szCs w:val="21"/>
              </w:rPr>
              <w:t>有效镁（Mg）</w:t>
            </w:r>
          </w:p>
        </w:tc>
        <w:tc>
          <w:tcPr>
            <w:tcW w:w="3261" w:type="dxa"/>
            <w:tcBorders>
              <w:tl2br w:val="nil"/>
              <w:tr2bl w:val="nil"/>
            </w:tcBorders>
            <w:shd w:val="clear" w:color="auto" w:fill="auto"/>
            <w:vAlign w:val="center"/>
          </w:tcPr>
          <w:p>
            <w:pPr>
              <w:widowControl/>
              <w:jc w:val="center"/>
              <w:rPr>
                <w:rFonts w:ascii="Times New Roman" w:hAnsi="Times New Roman" w:eastAsia="宋体" w:cs="Times New Roman"/>
                <w:color w:val="000000"/>
                <w:kern w:val="0"/>
                <w:sz w:val="21"/>
                <w:szCs w:val="21"/>
                <w:lang w:val="en-US" w:eastAsia="zh-CN" w:bidi="ar-SA"/>
              </w:rPr>
            </w:pPr>
            <w:r>
              <w:rPr>
                <w:color w:val="000000"/>
                <w:kern w:val="0"/>
                <w:szCs w:val="21"/>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颗粒平均抗压碎力</w:t>
            </w:r>
          </w:p>
        </w:tc>
        <w:tc>
          <w:tcPr>
            <w:tcW w:w="3261" w:type="dxa"/>
            <w:tcBorders>
              <w:tl2br w:val="nil"/>
              <w:tr2bl w:val="nil"/>
            </w:tcBorders>
            <w:shd w:val="clear" w:color="auto" w:fill="auto"/>
            <w:vAlign w:val="center"/>
          </w:tcPr>
          <w:p>
            <w:pPr>
              <w:widowControl/>
              <w:jc w:val="center"/>
              <w:rPr>
                <w:rFonts w:ascii="Times New Roman" w:hAnsi="Times New Roman" w:eastAsia="宋体" w:cs="Times New Roman"/>
                <w:color w:val="auto"/>
                <w:kern w:val="0"/>
                <w:sz w:val="21"/>
                <w:szCs w:val="21"/>
                <w:lang w:val="en-US" w:eastAsia="zh-CN" w:bidi="ar-SA"/>
              </w:rPr>
            </w:pPr>
            <w:r>
              <w:rPr>
                <w:color w:val="auto"/>
                <w:kern w:val="0"/>
                <w:szCs w:val="21"/>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rFonts w:hint="default" w:eastAsia="宋体"/>
                <w:color w:val="auto"/>
                <w:kern w:val="0"/>
                <w:szCs w:val="21"/>
                <w:lang w:val="en-US" w:eastAsia="zh-CN"/>
              </w:rPr>
            </w:pPr>
            <w:r>
              <w:rPr>
                <w:rFonts w:hint="eastAsia"/>
                <w:color w:val="auto"/>
                <w:kern w:val="0"/>
                <w:szCs w:val="21"/>
                <w:lang w:val="en-US" w:eastAsia="zh-CN"/>
              </w:rPr>
              <w:t>溶散率</w:t>
            </w:r>
          </w:p>
        </w:tc>
        <w:tc>
          <w:tcPr>
            <w:tcW w:w="3261" w:type="dxa"/>
            <w:tcBorders>
              <w:tl2br w:val="nil"/>
              <w:tr2bl w:val="nil"/>
            </w:tcBorders>
            <w:shd w:val="clear" w:color="auto" w:fill="auto"/>
            <w:vAlign w:val="center"/>
          </w:tcPr>
          <w:p>
            <w:pPr>
              <w:widowControl/>
              <w:jc w:val="center"/>
              <w:rPr>
                <w:color w:val="auto"/>
                <w:kern w:val="0"/>
                <w:szCs w:val="21"/>
              </w:rPr>
            </w:pPr>
            <w:r>
              <w:rPr>
                <w:color w:val="auto"/>
                <w:kern w:val="0"/>
                <w:szCs w:val="21"/>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总砷</w:t>
            </w:r>
          </w:p>
        </w:tc>
        <w:tc>
          <w:tcPr>
            <w:tcW w:w="3261"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总镉</w:t>
            </w:r>
          </w:p>
        </w:tc>
        <w:tc>
          <w:tcPr>
            <w:tcW w:w="3261"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总铅</w:t>
            </w:r>
          </w:p>
        </w:tc>
        <w:tc>
          <w:tcPr>
            <w:tcW w:w="3261"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总铬</w:t>
            </w:r>
          </w:p>
        </w:tc>
        <w:tc>
          <w:tcPr>
            <w:tcW w:w="3261"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总汞</w:t>
            </w:r>
          </w:p>
        </w:tc>
        <w:tc>
          <w:tcPr>
            <w:tcW w:w="3261"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总铊</w:t>
            </w:r>
          </w:p>
        </w:tc>
        <w:tc>
          <w:tcPr>
            <w:tcW w:w="3261"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包装标识</w:t>
            </w:r>
            <w:r>
              <w:rPr>
                <w:color w:val="auto"/>
                <w:kern w:val="0"/>
                <w:szCs w:val="21"/>
              </w:rPr>
              <w:t>（养分含量、名称中的禁用语</w:t>
            </w:r>
            <w:r>
              <w:rPr>
                <w:rFonts w:hint="eastAsia"/>
                <w:color w:val="auto"/>
                <w:kern w:val="0"/>
                <w:szCs w:val="21"/>
                <w:lang w:val="en-US" w:eastAsia="zh-CN"/>
              </w:rPr>
              <w:t>等内容</w:t>
            </w:r>
            <w:r>
              <w:rPr>
                <w:color w:val="auto"/>
                <w:kern w:val="0"/>
                <w:szCs w:val="21"/>
              </w:rPr>
              <w:t>）</w:t>
            </w:r>
          </w:p>
        </w:tc>
        <w:tc>
          <w:tcPr>
            <w:tcW w:w="3261" w:type="dxa"/>
            <w:tcBorders>
              <w:tl2br w:val="nil"/>
              <w:tr2bl w:val="nil"/>
            </w:tcBorders>
            <w:shd w:val="clear" w:color="auto" w:fill="auto"/>
            <w:vAlign w:val="center"/>
          </w:tcPr>
          <w:p>
            <w:pPr>
              <w:widowControl/>
              <w:jc w:val="center"/>
              <w:rPr>
                <w:color w:val="000000"/>
                <w:kern w:val="0"/>
                <w:szCs w:val="21"/>
              </w:rPr>
            </w:pPr>
            <w:r>
              <w:rPr>
                <w:color w:val="000000"/>
                <w:kern w:val="0"/>
                <w:szCs w:val="21"/>
              </w:rPr>
              <w:t>GB 18382-2021</w:t>
            </w:r>
          </w:p>
          <w:p>
            <w:pPr>
              <w:widowControl/>
              <w:jc w:val="center"/>
              <w:rPr>
                <w:color w:val="000000"/>
                <w:kern w:val="0"/>
                <w:szCs w:val="21"/>
              </w:rPr>
            </w:pPr>
            <w:r>
              <w:rPr>
                <w:color w:val="000000"/>
                <w:kern w:val="0"/>
                <w:szCs w:val="21"/>
              </w:rPr>
              <w:t>GB/T 20412-2021</w:t>
            </w:r>
          </w:p>
        </w:tc>
      </w:tr>
    </w:tbl>
    <w:p>
      <w:pPr>
        <w:adjustRightInd w:val="0"/>
        <w:snapToGrid w:val="0"/>
        <w:spacing w:line="440" w:lineRule="exact"/>
        <w:ind w:firstLine="424" w:firstLineChars="202"/>
        <w:rPr>
          <w:color w:val="000000"/>
          <w:szCs w:val="21"/>
        </w:rPr>
      </w:pPr>
    </w:p>
    <w:p>
      <w:pPr>
        <w:snapToGrid w:val="0"/>
        <w:spacing w:line="440" w:lineRule="exact"/>
        <w:jc w:val="center"/>
        <w:rPr>
          <w:rFonts w:ascii="宋体" w:hAnsi="宋体" w:cs="宋体"/>
          <w:bCs/>
          <w:color w:val="000000"/>
          <w:szCs w:val="21"/>
        </w:rPr>
      </w:pPr>
      <w:r>
        <w:rPr>
          <w:rFonts w:hint="eastAsia" w:ascii="宋体" w:hAnsi="宋体" w:cs="宋体"/>
          <w:bCs/>
          <w:color w:val="000000"/>
          <w:szCs w:val="21"/>
        </w:rPr>
        <w:t>表3 重过磷酸钙</w:t>
      </w:r>
    </w:p>
    <w:tbl>
      <w:tblPr>
        <w:tblStyle w:val="9"/>
        <w:tblW w:w="49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5173"/>
        <w:gridCol w:w="3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序号</w:t>
            </w:r>
          </w:p>
        </w:tc>
        <w:tc>
          <w:tcPr>
            <w:tcW w:w="2866"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检验项目</w:t>
            </w:r>
          </w:p>
        </w:tc>
        <w:tc>
          <w:tcPr>
            <w:tcW w:w="1722" w:type="pct"/>
            <w:noWrap/>
            <w:vAlign w:val="center"/>
          </w:tcPr>
          <w:p>
            <w:pPr>
              <w:spacing w:line="440" w:lineRule="exact"/>
              <w:jc w:val="center"/>
              <w:rPr>
                <w:rFonts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1</w:t>
            </w:r>
          </w:p>
        </w:tc>
        <w:tc>
          <w:tcPr>
            <w:tcW w:w="2866" w:type="pct"/>
            <w:noWrap/>
            <w:vAlign w:val="center"/>
          </w:tcPr>
          <w:p>
            <w:pPr>
              <w:spacing w:line="440" w:lineRule="exact"/>
              <w:jc w:val="center"/>
              <w:rPr>
                <w:rFonts w:ascii="宋体" w:hAnsi="宋体" w:cs="宋体"/>
                <w:szCs w:val="21"/>
              </w:rPr>
            </w:pPr>
            <w:r>
              <w:rPr>
                <w:rFonts w:hint="eastAsia" w:ascii="宋体" w:hAnsi="宋体" w:cs="宋体"/>
                <w:szCs w:val="21"/>
              </w:rPr>
              <w:t>总磷（以P</w:t>
            </w:r>
            <w:r>
              <w:rPr>
                <w:rFonts w:hint="eastAsia" w:ascii="宋体" w:hAnsi="宋体" w:cs="宋体"/>
                <w:szCs w:val="21"/>
                <w:vertAlign w:val="subscript"/>
              </w:rPr>
              <w:t>2</w:t>
            </w:r>
            <w:r>
              <w:rPr>
                <w:rFonts w:hint="eastAsia" w:ascii="宋体" w:hAnsi="宋体" w:cs="宋体"/>
                <w:szCs w:val="21"/>
              </w:rPr>
              <w:t>O</w:t>
            </w:r>
            <w:r>
              <w:rPr>
                <w:rFonts w:hint="eastAsia" w:ascii="宋体" w:hAnsi="宋体" w:cs="宋体"/>
                <w:szCs w:val="21"/>
                <w:vertAlign w:val="subscript"/>
              </w:rPr>
              <w:t>5</w:t>
            </w:r>
            <w:r>
              <w:rPr>
                <w:rFonts w:hint="eastAsia" w:ascii="宋体" w:hAnsi="宋体" w:cs="宋体"/>
                <w:szCs w:val="21"/>
              </w:rPr>
              <w:t>计）</w:t>
            </w:r>
          </w:p>
        </w:tc>
        <w:tc>
          <w:tcPr>
            <w:tcW w:w="1722" w:type="pct"/>
            <w:vMerge w:val="restart"/>
            <w:noWrap/>
            <w:vAlign w:val="center"/>
          </w:tcPr>
          <w:p>
            <w:pPr>
              <w:spacing w:line="440" w:lineRule="exact"/>
              <w:jc w:val="center"/>
              <w:rPr>
                <w:color w:val="000000"/>
                <w:kern w:val="0"/>
                <w:szCs w:val="21"/>
              </w:rPr>
            </w:pPr>
            <w:r>
              <w:rPr>
                <w:rFonts w:hint="eastAsia"/>
                <w:color w:val="000000"/>
                <w:kern w:val="0"/>
                <w:szCs w:val="21"/>
              </w:rPr>
              <w:t>GB/T 21634-2020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2</w:t>
            </w:r>
          </w:p>
        </w:tc>
        <w:tc>
          <w:tcPr>
            <w:tcW w:w="2866" w:type="pct"/>
            <w:noWrap/>
            <w:vAlign w:val="center"/>
          </w:tcPr>
          <w:p>
            <w:pPr>
              <w:spacing w:line="440" w:lineRule="exact"/>
              <w:jc w:val="center"/>
              <w:rPr>
                <w:rFonts w:ascii="宋体" w:hAnsi="宋体" w:cs="宋体"/>
                <w:szCs w:val="21"/>
              </w:rPr>
            </w:pPr>
            <w:r>
              <w:rPr>
                <w:rFonts w:hint="eastAsia" w:ascii="宋体" w:hAnsi="宋体" w:cs="宋体"/>
                <w:szCs w:val="21"/>
              </w:rPr>
              <w:t>水溶性磷（以P</w:t>
            </w:r>
            <w:r>
              <w:rPr>
                <w:rFonts w:hint="eastAsia" w:ascii="宋体" w:hAnsi="宋体" w:cs="宋体"/>
                <w:szCs w:val="21"/>
                <w:vertAlign w:val="subscript"/>
              </w:rPr>
              <w:t>2</w:t>
            </w:r>
            <w:r>
              <w:rPr>
                <w:rFonts w:hint="eastAsia" w:ascii="宋体" w:hAnsi="宋体" w:cs="宋体"/>
                <w:szCs w:val="21"/>
              </w:rPr>
              <w:t>O</w:t>
            </w:r>
            <w:r>
              <w:rPr>
                <w:rFonts w:hint="eastAsia" w:ascii="宋体" w:hAnsi="宋体" w:cs="宋体"/>
                <w:szCs w:val="21"/>
                <w:vertAlign w:val="subscript"/>
              </w:rPr>
              <w:t>5</w:t>
            </w:r>
            <w:r>
              <w:rPr>
                <w:rFonts w:hint="eastAsia" w:ascii="宋体" w:hAnsi="宋体" w:cs="宋体"/>
                <w:szCs w:val="21"/>
              </w:rPr>
              <w:t>计）</w:t>
            </w:r>
          </w:p>
        </w:tc>
        <w:tc>
          <w:tcPr>
            <w:tcW w:w="1722" w:type="pct"/>
            <w:vMerge w:val="continue"/>
            <w:noWrap/>
            <w:vAlign w:val="center"/>
          </w:tcPr>
          <w:p>
            <w:pPr>
              <w:spacing w:line="440" w:lineRule="exact"/>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3</w:t>
            </w:r>
          </w:p>
        </w:tc>
        <w:tc>
          <w:tcPr>
            <w:tcW w:w="2866" w:type="pct"/>
            <w:noWrap/>
            <w:vAlign w:val="center"/>
          </w:tcPr>
          <w:p>
            <w:pPr>
              <w:spacing w:line="440" w:lineRule="exact"/>
              <w:jc w:val="center"/>
              <w:rPr>
                <w:rFonts w:ascii="宋体" w:hAnsi="宋体" w:cs="宋体"/>
                <w:szCs w:val="21"/>
              </w:rPr>
            </w:pPr>
            <w:r>
              <w:rPr>
                <w:rFonts w:hint="eastAsia" w:ascii="宋体" w:hAnsi="宋体" w:cs="宋体"/>
                <w:szCs w:val="21"/>
              </w:rPr>
              <w:t>有效磷（以P</w:t>
            </w:r>
            <w:r>
              <w:rPr>
                <w:rFonts w:hint="eastAsia" w:ascii="宋体" w:hAnsi="宋体" w:cs="宋体"/>
                <w:szCs w:val="21"/>
                <w:vertAlign w:val="subscript"/>
              </w:rPr>
              <w:t>2</w:t>
            </w:r>
            <w:r>
              <w:rPr>
                <w:rFonts w:hint="eastAsia" w:ascii="宋体" w:hAnsi="宋体" w:cs="宋体"/>
                <w:szCs w:val="21"/>
              </w:rPr>
              <w:t>O</w:t>
            </w:r>
            <w:r>
              <w:rPr>
                <w:rFonts w:hint="eastAsia" w:ascii="宋体" w:hAnsi="宋体" w:cs="宋体"/>
                <w:szCs w:val="21"/>
                <w:vertAlign w:val="subscript"/>
              </w:rPr>
              <w:t>5</w:t>
            </w:r>
            <w:r>
              <w:rPr>
                <w:rFonts w:hint="eastAsia" w:ascii="宋体" w:hAnsi="宋体" w:cs="宋体"/>
                <w:szCs w:val="21"/>
              </w:rPr>
              <w:t>计）</w:t>
            </w:r>
          </w:p>
        </w:tc>
        <w:tc>
          <w:tcPr>
            <w:tcW w:w="1722" w:type="pct"/>
            <w:vMerge w:val="continue"/>
            <w:noWrap/>
            <w:vAlign w:val="center"/>
          </w:tcPr>
          <w:p>
            <w:pPr>
              <w:spacing w:line="440" w:lineRule="exact"/>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4</w:t>
            </w:r>
          </w:p>
        </w:tc>
        <w:tc>
          <w:tcPr>
            <w:tcW w:w="2866"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游离酸</w:t>
            </w:r>
            <w:r>
              <w:rPr>
                <w:rFonts w:hint="eastAsia" w:ascii="宋体" w:hAnsi="宋体" w:cs="宋体"/>
                <w:szCs w:val="21"/>
              </w:rPr>
              <w:t>（以P</w:t>
            </w:r>
            <w:r>
              <w:rPr>
                <w:rFonts w:hint="eastAsia" w:ascii="宋体" w:hAnsi="宋体" w:cs="宋体"/>
                <w:szCs w:val="21"/>
                <w:vertAlign w:val="subscript"/>
              </w:rPr>
              <w:t>2</w:t>
            </w:r>
            <w:r>
              <w:rPr>
                <w:rFonts w:hint="eastAsia" w:ascii="宋体" w:hAnsi="宋体" w:cs="宋体"/>
                <w:szCs w:val="21"/>
              </w:rPr>
              <w:t>O</w:t>
            </w:r>
            <w:r>
              <w:rPr>
                <w:rFonts w:hint="eastAsia" w:ascii="宋体" w:hAnsi="宋体" w:cs="宋体"/>
                <w:szCs w:val="21"/>
                <w:vertAlign w:val="subscript"/>
              </w:rPr>
              <w:t>5</w:t>
            </w:r>
            <w:r>
              <w:rPr>
                <w:rFonts w:hint="eastAsia" w:ascii="宋体" w:hAnsi="宋体" w:cs="宋体"/>
                <w:szCs w:val="21"/>
              </w:rPr>
              <w:t>计）</w:t>
            </w:r>
          </w:p>
        </w:tc>
        <w:tc>
          <w:tcPr>
            <w:tcW w:w="1722" w:type="pct"/>
            <w:vMerge w:val="continue"/>
            <w:noWrap/>
            <w:vAlign w:val="center"/>
          </w:tcPr>
          <w:p>
            <w:pPr>
              <w:spacing w:line="440" w:lineRule="exact"/>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5</w:t>
            </w:r>
          </w:p>
        </w:tc>
        <w:tc>
          <w:tcPr>
            <w:tcW w:w="2866"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游离水</w:t>
            </w:r>
          </w:p>
        </w:tc>
        <w:tc>
          <w:tcPr>
            <w:tcW w:w="1722" w:type="pct"/>
            <w:vMerge w:val="continue"/>
            <w:noWrap/>
            <w:vAlign w:val="center"/>
          </w:tcPr>
          <w:p>
            <w:pPr>
              <w:spacing w:line="440" w:lineRule="exact"/>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6</w:t>
            </w:r>
          </w:p>
        </w:tc>
        <w:tc>
          <w:tcPr>
            <w:tcW w:w="2866"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粒度（2.00mm～4.75mm）</w:t>
            </w:r>
            <w:r>
              <w:rPr>
                <w:rFonts w:hint="eastAsia" w:ascii="宋体" w:hAnsi="宋体" w:cs="宋体"/>
                <w:bCs/>
                <w:sz w:val="24"/>
                <w:szCs w:val="24"/>
                <w:vertAlign w:val="superscript"/>
              </w:rPr>
              <w:t>a</w:t>
            </w:r>
          </w:p>
        </w:tc>
        <w:tc>
          <w:tcPr>
            <w:tcW w:w="1722" w:type="pct"/>
            <w:vMerge w:val="continue"/>
            <w:noWrap/>
            <w:vAlign w:val="center"/>
          </w:tcPr>
          <w:p>
            <w:pPr>
              <w:spacing w:line="440" w:lineRule="exact"/>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7</w:t>
            </w:r>
          </w:p>
        </w:tc>
        <w:tc>
          <w:tcPr>
            <w:tcW w:w="2866" w:type="pct"/>
            <w:noWrap/>
            <w:vAlign w:val="center"/>
          </w:tcPr>
          <w:p>
            <w:pPr>
              <w:adjustRightInd w:val="0"/>
              <w:spacing w:line="440" w:lineRule="exact"/>
              <w:jc w:val="center"/>
              <w:rPr>
                <w:rFonts w:ascii="宋体" w:hAnsi="宋体" w:cs="宋体"/>
                <w:bCs/>
                <w:szCs w:val="21"/>
              </w:rPr>
            </w:pPr>
            <w:r>
              <w:rPr>
                <w:rFonts w:hint="eastAsia" w:ascii="宋体" w:hAnsi="宋体" w:cs="宋体"/>
                <w:bCs/>
                <w:szCs w:val="21"/>
              </w:rPr>
              <w:t>总砷</w:t>
            </w:r>
          </w:p>
        </w:tc>
        <w:tc>
          <w:tcPr>
            <w:tcW w:w="1722" w:type="pct"/>
            <w:noWrap/>
            <w:vAlign w:val="center"/>
          </w:tcPr>
          <w:p>
            <w:pPr>
              <w:spacing w:line="440" w:lineRule="exact"/>
              <w:jc w:val="center"/>
              <w:rPr>
                <w:color w:val="000000"/>
                <w:kern w:val="0"/>
                <w:szCs w:val="21"/>
              </w:rPr>
            </w:pPr>
            <w:r>
              <w:rPr>
                <w:rFonts w:hint="eastAsia"/>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8</w:t>
            </w:r>
          </w:p>
        </w:tc>
        <w:tc>
          <w:tcPr>
            <w:tcW w:w="2866" w:type="pct"/>
            <w:noWrap/>
            <w:vAlign w:val="center"/>
          </w:tcPr>
          <w:p>
            <w:pPr>
              <w:spacing w:line="440" w:lineRule="exact"/>
              <w:jc w:val="center"/>
              <w:rPr>
                <w:rFonts w:ascii="宋体" w:hAnsi="宋体" w:cs="宋体"/>
                <w:szCs w:val="21"/>
              </w:rPr>
            </w:pPr>
            <w:r>
              <w:rPr>
                <w:rFonts w:hint="eastAsia" w:ascii="宋体" w:hAnsi="宋体" w:cs="宋体"/>
                <w:bCs/>
                <w:szCs w:val="21"/>
              </w:rPr>
              <w:t>总镉</w:t>
            </w:r>
          </w:p>
        </w:tc>
        <w:tc>
          <w:tcPr>
            <w:tcW w:w="1722" w:type="pct"/>
            <w:noWrap/>
            <w:vAlign w:val="center"/>
          </w:tcPr>
          <w:p>
            <w:pPr>
              <w:spacing w:line="440" w:lineRule="exact"/>
              <w:jc w:val="center"/>
              <w:rPr>
                <w:color w:val="000000"/>
                <w:kern w:val="0"/>
                <w:szCs w:val="21"/>
              </w:rPr>
            </w:pPr>
            <w:r>
              <w:rPr>
                <w:rFonts w:hint="eastAsia"/>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9</w:t>
            </w:r>
          </w:p>
        </w:tc>
        <w:tc>
          <w:tcPr>
            <w:tcW w:w="2866" w:type="pct"/>
            <w:noWrap/>
            <w:vAlign w:val="center"/>
          </w:tcPr>
          <w:p>
            <w:pPr>
              <w:spacing w:line="440" w:lineRule="exact"/>
              <w:jc w:val="center"/>
              <w:rPr>
                <w:rFonts w:ascii="宋体" w:hAnsi="宋体" w:cs="宋体"/>
                <w:szCs w:val="21"/>
              </w:rPr>
            </w:pPr>
            <w:r>
              <w:rPr>
                <w:rFonts w:hint="eastAsia" w:ascii="宋体" w:hAnsi="宋体" w:cs="宋体"/>
                <w:bCs/>
                <w:szCs w:val="21"/>
              </w:rPr>
              <w:t>总铅</w:t>
            </w:r>
          </w:p>
        </w:tc>
        <w:tc>
          <w:tcPr>
            <w:tcW w:w="1722" w:type="pct"/>
            <w:noWrap/>
            <w:vAlign w:val="center"/>
          </w:tcPr>
          <w:p>
            <w:pPr>
              <w:spacing w:line="440" w:lineRule="exact"/>
              <w:jc w:val="center"/>
              <w:rPr>
                <w:color w:val="000000"/>
                <w:kern w:val="0"/>
                <w:szCs w:val="21"/>
              </w:rPr>
            </w:pPr>
            <w:r>
              <w:rPr>
                <w:rFonts w:hint="eastAsia"/>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10</w:t>
            </w:r>
          </w:p>
        </w:tc>
        <w:tc>
          <w:tcPr>
            <w:tcW w:w="2866" w:type="pct"/>
            <w:noWrap/>
            <w:vAlign w:val="center"/>
          </w:tcPr>
          <w:p>
            <w:pPr>
              <w:spacing w:line="440" w:lineRule="exact"/>
              <w:jc w:val="center"/>
              <w:rPr>
                <w:rFonts w:ascii="宋体" w:hAnsi="宋体" w:cs="宋体"/>
                <w:szCs w:val="21"/>
              </w:rPr>
            </w:pPr>
            <w:r>
              <w:rPr>
                <w:rFonts w:hint="eastAsia" w:ascii="宋体" w:hAnsi="宋体" w:cs="宋体"/>
                <w:bCs/>
                <w:szCs w:val="21"/>
              </w:rPr>
              <w:t>总铬</w:t>
            </w:r>
          </w:p>
        </w:tc>
        <w:tc>
          <w:tcPr>
            <w:tcW w:w="1722" w:type="pct"/>
            <w:noWrap/>
            <w:vAlign w:val="center"/>
          </w:tcPr>
          <w:p>
            <w:pPr>
              <w:spacing w:line="440" w:lineRule="exact"/>
              <w:jc w:val="center"/>
              <w:rPr>
                <w:color w:val="000000"/>
                <w:kern w:val="0"/>
                <w:szCs w:val="21"/>
              </w:rPr>
            </w:pPr>
            <w:r>
              <w:rPr>
                <w:rFonts w:hint="eastAsia"/>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11</w:t>
            </w:r>
          </w:p>
        </w:tc>
        <w:tc>
          <w:tcPr>
            <w:tcW w:w="2866" w:type="pct"/>
            <w:noWrap/>
            <w:vAlign w:val="center"/>
          </w:tcPr>
          <w:p>
            <w:pPr>
              <w:spacing w:line="440" w:lineRule="exact"/>
              <w:jc w:val="center"/>
              <w:rPr>
                <w:rFonts w:ascii="宋体" w:hAnsi="宋体" w:cs="宋体"/>
                <w:szCs w:val="21"/>
              </w:rPr>
            </w:pPr>
            <w:r>
              <w:rPr>
                <w:rFonts w:hint="eastAsia" w:ascii="宋体" w:hAnsi="宋体" w:cs="宋体"/>
                <w:bCs/>
                <w:szCs w:val="21"/>
              </w:rPr>
              <w:t>总汞</w:t>
            </w:r>
          </w:p>
        </w:tc>
        <w:tc>
          <w:tcPr>
            <w:tcW w:w="1722" w:type="pct"/>
            <w:noWrap/>
            <w:vAlign w:val="center"/>
          </w:tcPr>
          <w:p>
            <w:pPr>
              <w:spacing w:line="440" w:lineRule="exact"/>
              <w:jc w:val="center"/>
              <w:rPr>
                <w:color w:val="000000"/>
                <w:kern w:val="0"/>
                <w:szCs w:val="21"/>
              </w:rPr>
            </w:pPr>
            <w:r>
              <w:rPr>
                <w:rFonts w:hint="eastAsia"/>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12</w:t>
            </w:r>
          </w:p>
        </w:tc>
        <w:tc>
          <w:tcPr>
            <w:tcW w:w="2866" w:type="pct"/>
            <w:noWrap/>
            <w:vAlign w:val="center"/>
          </w:tcPr>
          <w:p>
            <w:pPr>
              <w:spacing w:line="440" w:lineRule="exact"/>
              <w:jc w:val="center"/>
              <w:rPr>
                <w:rFonts w:ascii="宋体" w:hAnsi="宋体" w:cs="宋体"/>
                <w:bCs/>
                <w:szCs w:val="21"/>
              </w:rPr>
            </w:pPr>
            <w:r>
              <w:rPr>
                <w:rFonts w:hint="eastAsia" w:ascii="宋体" w:hAnsi="宋体" w:cs="宋体"/>
                <w:bCs/>
                <w:szCs w:val="21"/>
              </w:rPr>
              <w:t>总铊</w:t>
            </w:r>
          </w:p>
        </w:tc>
        <w:tc>
          <w:tcPr>
            <w:tcW w:w="1722" w:type="pct"/>
            <w:noWrap/>
            <w:vAlign w:val="center"/>
          </w:tcPr>
          <w:p>
            <w:pPr>
              <w:spacing w:line="440" w:lineRule="exact"/>
              <w:jc w:val="center"/>
              <w:rPr>
                <w:color w:val="000000"/>
                <w:kern w:val="0"/>
                <w:szCs w:val="21"/>
              </w:rPr>
            </w:pPr>
            <w:r>
              <w:rPr>
                <w:rFonts w:hint="eastAsia"/>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13</w:t>
            </w:r>
          </w:p>
        </w:tc>
        <w:tc>
          <w:tcPr>
            <w:tcW w:w="2866"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包装标识</w:t>
            </w:r>
          </w:p>
        </w:tc>
        <w:tc>
          <w:tcPr>
            <w:tcW w:w="1722" w:type="pct"/>
            <w:noWrap/>
            <w:vAlign w:val="center"/>
          </w:tcPr>
          <w:p>
            <w:pPr>
              <w:spacing w:line="440" w:lineRule="exact"/>
              <w:jc w:val="center"/>
              <w:rPr>
                <w:color w:val="000000"/>
                <w:kern w:val="0"/>
                <w:szCs w:val="21"/>
              </w:rPr>
            </w:pPr>
            <w:r>
              <w:rPr>
                <w:rFonts w:hint="eastAsia"/>
                <w:color w:val="000000"/>
                <w:kern w:val="0"/>
                <w:szCs w:val="21"/>
              </w:rPr>
              <w:t>GB 18382-2021</w:t>
            </w:r>
          </w:p>
          <w:p>
            <w:pPr>
              <w:spacing w:line="440" w:lineRule="exact"/>
              <w:jc w:val="center"/>
              <w:rPr>
                <w:color w:val="000000"/>
                <w:kern w:val="0"/>
                <w:szCs w:val="21"/>
              </w:rPr>
            </w:pPr>
            <w:r>
              <w:rPr>
                <w:rFonts w:hint="eastAsia"/>
                <w:color w:val="000000"/>
                <w:kern w:val="0"/>
                <w:szCs w:val="21"/>
              </w:rPr>
              <w:t>GB/T 21634-2020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3"/>
            <w:noWrap/>
            <w:vAlign w:val="center"/>
          </w:tcPr>
          <w:p>
            <w:pPr>
              <w:snapToGrid w:val="0"/>
              <w:spacing w:line="440" w:lineRule="exact"/>
              <w:rPr>
                <w:rFonts w:ascii="宋体" w:hAnsi="宋体" w:cs="宋体"/>
                <w:bCs/>
                <w:szCs w:val="21"/>
              </w:rPr>
            </w:pPr>
            <w:r>
              <w:rPr>
                <w:rFonts w:hint="eastAsia" w:ascii="宋体" w:hAnsi="宋体" w:cs="宋体"/>
                <w:szCs w:val="21"/>
                <w:lang w:val="en-US" w:eastAsia="zh-CN"/>
              </w:rPr>
              <w:t xml:space="preserve">a </w:t>
            </w:r>
            <w:r>
              <w:rPr>
                <w:rFonts w:hint="eastAsia" w:ascii="宋体" w:hAnsi="宋体" w:cs="宋体"/>
                <w:szCs w:val="21"/>
              </w:rPr>
              <w:t>粉状产品此项目不做检验和判定</w:t>
            </w:r>
          </w:p>
        </w:tc>
      </w:tr>
    </w:tbl>
    <w:p>
      <w:pPr>
        <w:snapToGrid w:val="0"/>
        <w:spacing w:line="440" w:lineRule="exact"/>
        <w:jc w:val="center"/>
        <w:rPr>
          <w:rFonts w:ascii="宋体" w:hAnsi="宋体" w:cs="宋体"/>
          <w:bCs/>
          <w:szCs w:val="21"/>
        </w:rPr>
      </w:pPr>
    </w:p>
    <w:p>
      <w:pPr>
        <w:snapToGrid w:val="0"/>
        <w:spacing w:line="440" w:lineRule="exact"/>
        <w:jc w:val="center"/>
        <w:rPr>
          <w:rFonts w:ascii="宋体" w:hAnsi="宋体" w:cs="宋体"/>
          <w:bCs/>
          <w:szCs w:val="21"/>
        </w:rPr>
      </w:pPr>
    </w:p>
    <w:p>
      <w:pPr>
        <w:snapToGrid w:val="0"/>
        <w:spacing w:line="440" w:lineRule="exact"/>
        <w:jc w:val="center"/>
        <w:rPr>
          <w:rFonts w:ascii="宋体" w:hAnsi="宋体" w:cs="宋体"/>
          <w:bCs/>
          <w:szCs w:val="21"/>
        </w:rPr>
      </w:pPr>
      <w:r>
        <w:rPr>
          <w:rFonts w:hint="eastAsia" w:ascii="宋体" w:hAnsi="宋体" w:cs="宋体"/>
          <w:bCs/>
          <w:szCs w:val="21"/>
        </w:rPr>
        <w:t>表4 钙镁磷钾肥</w:t>
      </w:r>
    </w:p>
    <w:tbl>
      <w:tblPr>
        <w:tblStyle w:val="9"/>
        <w:tblW w:w="90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5190"/>
        <w:gridCol w:w="3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0" w:type="dxa"/>
            <w:vAlign w:val="center"/>
          </w:tcPr>
          <w:p>
            <w:pPr>
              <w:spacing w:line="440" w:lineRule="exact"/>
              <w:jc w:val="center"/>
              <w:rPr>
                <w:rFonts w:ascii="宋体" w:hAnsi="宋体" w:cs="宋体"/>
                <w:szCs w:val="21"/>
              </w:rPr>
            </w:pPr>
            <w:r>
              <w:rPr>
                <w:rFonts w:hint="eastAsia" w:ascii="宋体" w:hAnsi="宋体" w:cs="宋体"/>
                <w:szCs w:val="21"/>
              </w:rPr>
              <w:t>序号</w:t>
            </w:r>
          </w:p>
        </w:tc>
        <w:tc>
          <w:tcPr>
            <w:tcW w:w="5190" w:type="dxa"/>
            <w:vAlign w:val="center"/>
          </w:tcPr>
          <w:p>
            <w:pPr>
              <w:spacing w:line="440" w:lineRule="exact"/>
              <w:jc w:val="center"/>
              <w:rPr>
                <w:rFonts w:ascii="宋体" w:hAnsi="宋体" w:cs="宋体"/>
                <w:szCs w:val="21"/>
              </w:rPr>
            </w:pPr>
            <w:r>
              <w:rPr>
                <w:rFonts w:hint="eastAsia" w:ascii="宋体" w:hAnsi="宋体" w:cs="宋体"/>
                <w:szCs w:val="21"/>
              </w:rPr>
              <w:t>检验项目</w:t>
            </w:r>
          </w:p>
        </w:tc>
        <w:tc>
          <w:tcPr>
            <w:tcW w:w="3113" w:type="dxa"/>
            <w:vAlign w:val="center"/>
          </w:tcPr>
          <w:p>
            <w:pPr>
              <w:spacing w:line="440" w:lineRule="exact"/>
              <w:jc w:val="center"/>
              <w:rPr>
                <w:rFonts w:ascii="宋体" w:hAnsi="宋体" w:cs="宋体"/>
                <w:szCs w:val="21"/>
              </w:rPr>
            </w:pPr>
            <w:r>
              <w:rPr>
                <w:rFonts w:hint="eastAsia" w:ascii="宋体" w:hAnsi="宋体" w:cs="宋体"/>
                <w:szCs w:val="21"/>
              </w:rPr>
              <w:t>检验方法标准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r>
              <w:rPr>
                <w:rFonts w:hint="eastAsia" w:ascii="宋体" w:hAnsi="宋体" w:cs="宋体"/>
                <w:szCs w:val="21"/>
              </w:rPr>
              <w:t>1</w:t>
            </w:r>
          </w:p>
        </w:tc>
        <w:tc>
          <w:tcPr>
            <w:tcW w:w="5190" w:type="dxa"/>
            <w:vAlign w:val="center"/>
          </w:tcPr>
          <w:p>
            <w:pPr>
              <w:spacing w:line="440" w:lineRule="exact"/>
              <w:jc w:val="center"/>
              <w:rPr>
                <w:rFonts w:ascii="宋体" w:hAnsi="宋体" w:cs="宋体"/>
                <w:szCs w:val="21"/>
              </w:rPr>
            </w:pPr>
            <w:r>
              <w:rPr>
                <w:rFonts w:hint="eastAsia" w:ascii="宋体" w:hAnsi="宋体" w:cs="宋体"/>
                <w:szCs w:val="21"/>
              </w:rPr>
              <w:t>有效钾（K</w:t>
            </w:r>
            <w:r>
              <w:rPr>
                <w:rFonts w:hint="eastAsia" w:ascii="宋体" w:hAnsi="宋体" w:cs="宋体"/>
                <w:szCs w:val="21"/>
                <w:vertAlign w:val="subscript"/>
              </w:rPr>
              <w:t>2</w:t>
            </w:r>
            <w:r>
              <w:rPr>
                <w:rFonts w:hint="eastAsia" w:ascii="宋体" w:hAnsi="宋体" w:cs="宋体"/>
                <w:szCs w:val="21"/>
              </w:rPr>
              <w:t>O）含量</w:t>
            </w:r>
          </w:p>
        </w:tc>
        <w:tc>
          <w:tcPr>
            <w:tcW w:w="3113" w:type="dxa"/>
            <w:vMerge w:val="restart"/>
            <w:vAlign w:val="center"/>
          </w:tcPr>
          <w:p>
            <w:pPr>
              <w:spacing w:line="440" w:lineRule="exact"/>
              <w:jc w:val="center"/>
              <w:rPr>
                <w:color w:val="000000"/>
                <w:kern w:val="0"/>
                <w:szCs w:val="21"/>
              </w:rPr>
            </w:pPr>
            <w:r>
              <w:rPr>
                <w:rFonts w:hint="eastAsia"/>
                <w:color w:val="000000"/>
                <w:kern w:val="0"/>
                <w:szCs w:val="21"/>
              </w:rPr>
              <w:t>HG/T 2598-1994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r>
              <w:rPr>
                <w:rFonts w:hint="eastAsia" w:ascii="宋体" w:hAnsi="宋体" w:cs="宋体"/>
                <w:szCs w:val="21"/>
              </w:rPr>
              <w:t>2</w:t>
            </w:r>
          </w:p>
        </w:tc>
        <w:tc>
          <w:tcPr>
            <w:tcW w:w="5190" w:type="dxa"/>
            <w:vAlign w:val="center"/>
          </w:tcPr>
          <w:p>
            <w:pPr>
              <w:spacing w:line="440" w:lineRule="exact"/>
              <w:jc w:val="center"/>
              <w:rPr>
                <w:rFonts w:ascii="宋体" w:hAnsi="宋体" w:cs="宋体"/>
                <w:szCs w:val="21"/>
              </w:rPr>
            </w:pPr>
            <w:r>
              <w:rPr>
                <w:rFonts w:hint="eastAsia" w:ascii="宋体" w:hAnsi="宋体" w:cs="宋体"/>
                <w:szCs w:val="21"/>
              </w:rPr>
              <w:t>总养分（P</w:t>
            </w:r>
            <w:r>
              <w:rPr>
                <w:rFonts w:hint="eastAsia" w:ascii="宋体" w:hAnsi="宋体" w:cs="宋体"/>
                <w:szCs w:val="21"/>
                <w:vertAlign w:val="subscript"/>
              </w:rPr>
              <w:t>2</w:t>
            </w:r>
            <w:r>
              <w:rPr>
                <w:rFonts w:hint="eastAsia" w:ascii="宋体" w:hAnsi="宋体" w:cs="宋体"/>
                <w:szCs w:val="21"/>
              </w:rPr>
              <w:t>O</w:t>
            </w:r>
            <w:r>
              <w:rPr>
                <w:rFonts w:hint="eastAsia" w:ascii="宋体" w:hAnsi="宋体" w:cs="宋体"/>
                <w:szCs w:val="21"/>
                <w:vertAlign w:val="subscript"/>
              </w:rPr>
              <w:t>5</w:t>
            </w:r>
            <w:r>
              <w:rPr>
                <w:rFonts w:hint="eastAsia" w:ascii="宋体" w:hAnsi="宋体" w:cs="宋体"/>
                <w:szCs w:val="21"/>
              </w:rPr>
              <w:t>+K</w:t>
            </w:r>
            <w:r>
              <w:rPr>
                <w:rFonts w:hint="eastAsia" w:ascii="宋体" w:hAnsi="宋体" w:cs="宋体"/>
                <w:szCs w:val="21"/>
                <w:vertAlign w:val="subscript"/>
              </w:rPr>
              <w:t>2</w:t>
            </w:r>
            <w:r>
              <w:rPr>
                <w:rFonts w:hint="eastAsia" w:ascii="宋体" w:hAnsi="宋体" w:cs="宋体"/>
                <w:szCs w:val="21"/>
              </w:rPr>
              <w:t>O）含量</w:t>
            </w:r>
          </w:p>
        </w:tc>
        <w:tc>
          <w:tcPr>
            <w:tcW w:w="3113" w:type="dxa"/>
            <w:vMerge w:val="continue"/>
            <w:vAlign w:val="center"/>
          </w:tcPr>
          <w:p>
            <w:pPr>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r>
              <w:rPr>
                <w:rFonts w:hint="eastAsia" w:ascii="宋体" w:hAnsi="宋体" w:cs="宋体"/>
                <w:szCs w:val="21"/>
              </w:rPr>
              <w:t>3</w:t>
            </w:r>
          </w:p>
        </w:tc>
        <w:tc>
          <w:tcPr>
            <w:tcW w:w="5190" w:type="dxa"/>
            <w:vAlign w:val="center"/>
          </w:tcPr>
          <w:p>
            <w:pPr>
              <w:spacing w:line="440" w:lineRule="exact"/>
              <w:jc w:val="center"/>
              <w:rPr>
                <w:rFonts w:ascii="宋体" w:hAnsi="宋体" w:cs="宋体"/>
                <w:szCs w:val="21"/>
              </w:rPr>
            </w:pPr>
            <w:r>
              <w:rPr>
                <w:rFonts w:hint="eastAsia" w:ascii="宋体" w:hAnsi="宋体" w:cs="宋体"/>
                <w:szCs w:val="21"/>
              </w:rPr>
              <w:t>水分</w:t>
            </w:r>
          </w:p>
        </w:tc>
        <w:tc>
          <w:tcPr>
            <w:tcW w:w="3113" w:type="dxa"/>
            <w:vMerge w:val="continue"/>
            <w:vAlign w:val="center"/>
          </w:tcPr>
          <w:p>
            <w:pPr>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r>
              <w:rPr>
                <w:rFonts w:hint="eastAsia" w:ascii="宋体" w:hAnsi="宋体" w:cs="宋体"/>
                <w:szCs w:val="21"/>
              </w:rPr>
              <w:t>4</w:t>
            </w:r>
          </w:p>
        </w:tc>
        <w:tc>
          <w:tcPr>
            <w:tcW w:w="5190" w:type="dxa"/>
            <w:vAlign w:val="center"/>
          </w:tcPr>
          <w:p>
            <w:pPr>
              <w:spacing w:line="440" w:lineRule="exact"/>
              <w:jc w:val="center"/>
              <w:rPr>
                <w:rFonts w:ascii="宋体" w:hAnsi="宋体" w:cs="宋体"/>
                <w:szCs w:val="21"/>
              </w:rPr>
            </w:pPr>
            <w:r>
              <w:rPr>
                <w:rFonts w:hint="eastAsia" w:ascii="宋体" w:hAnsi="宋体" w:cs="宋体"/>
                <w:szCs w:val="21"/>
              </w:rPr>
              <w:t>细度：通过250μm标准筛</w:t>
            </w:r>
          </w:p>
        </w:tc>
        <w:tc>
          <w:tcPr>
            <w:tcW w:w="3113" w:type="dxa"/>
            <w:vMerge w:val="continue"/>
            <w:vAlign w:val="center"/>
          </w:tcPr>
          <w:p>
            <w:pPr>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r>
              <w:rPr>
                <w:rFonts w:hint="eastAsia" w:ascii="宋体" w:hAnsi="宋体" w:cs="宋体"/>
                <w:szCs w:val="21"/>
              </w:rPr>
              <w:t>5</w:t>
            </w:r>
          </w:p>
        </w:tc>
        <w:tc>
          <w:tcPr>
            <w:tcW w:w="5190" w:type="dxa"/>
            <w:vAlign w:val="center"/>
          </w:tcPr>
          <w:p>
            <w:pPr>
              <w:widowControl/>
              <w:jc w:val="center"/>
              <w:rPr>
                <w:color w:val="000000"/>
                <w:kern w:val="0"/>
                <w:szCs w:val="21"/>
              </w:rPr>
            </w:pPr>
            <w:r>
              <w:rPr>
                <w:color w:val="000000"/>
                <w:kern w:val="0"/>
                <w:szCs w:val="21"/>
              </w:rPr>
              <w:t>总砷</w:t>
            </w:r>
          </w:p>
        </w:tc>
        <w:tc>
          <w:tcPr>
            <w:tcW w:w="3113"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r>
              <w:rPr>
                <w:rFonts w:hint="eastAsia" w:ascii="宋体" w:hAnsi="宋体" w:cs="宋体"/>
                <w:szCs w:val="21"/>
              </w:rPr>
              <w:t>6</w:t>
            </w:r>
          </w:p>
        </w:tc>
        <w:tc>
          <w:tcPr>
            <w:tcW w:w="5190" w:type="dxa"/>
            <w:vAlign w:val="center"/>
          </w:tcPr>
          <w:p>
            <w:pPr>
              <w:widowControl/>
              <w:jc w:val="center"/>
              <w:rPr>
                <w:color w:val="000000"/>
                <w:kern w:val="0"/>
                <w:szCs w:val="21"/>
              </w:rPr>
            </w:pPr>
            <w:r>
              <w:rPr>
                <w:color w:val="000000"/>
                <w:kern w:val="0"/>
                <w:szCs w:val="21"/>
              </w:rPr>
              <w:t>总镉</w:t>
            </w:r>
          </w:p>
        </w:tc>
        <w:tc>
          <w:tcPr>
            <w:tcW w:w="3113"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r>
              <w:rPr>
                <w:rFonts w:hint="eastAsia" w:ascii="宋体" w:hAnsi="宋体" w:cs="宋体"/>
                <w:szCs w:val="21"/>
              </w:rPr>
              <w:t>7</w:t>
            </w:r>
          </w:p>
        </w:tc>
        <w:tc>
          <w:tcPr>
            <w:tcW w:w="5190" w:type="dxa"/>
            <w:vAlign w:val="center"/>
          </w:tcPr>
          <w:p>
            <w:pPr>
              <w:widowControl/>
              <w:jc w:val="center"/>
              <w:rPr>
                <w:color w:val="000000"/>
                <w:kern w:val="0"/>
                <w:szCs w:val="21"/>
              </w:rPr>
            </w:pPr>
            <w:r>
              <w:rPr>
                <w:color w:val="000000"/>
                <w:kern w:val="0"/>
                <w:szCs w:val="21"/>
              </w:rPr>
              <w:t>总铅</w:t>
            </w:r>
          </w:p>
        </w:tc>
        <w:tc>
          <w:tcPr>
            <w:tcW w:w="3113"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r>
              <w:rPr>
                <w:rFonts w:hint="eastAsia" w:ascii="宋体" w:hAnsi="宋体" w:cs="宋体"/>
                <w:szCs w:val="21"/>
              </w:rPr>
              <w:t>8</w:t>
            </w:r>
          </w:p>
        </w:tc>
        <w:tc>
          <w:tcPr>
            <w:tcW w:w="5190" w:type="dxa"/>
            <w:vAlign w:val="center"/>
          </w:tcPr>
          <w:p>
            <w:pPr>
              <w:widowControl/>
              <w:jc w:val="center"/>
              <w:rPr>
                <w:color w:val="000000"/>
                <w:kern w:val="0"/>
                <w:szCs w:val="21"/>
              </w:rPr>
            </w:pPr>
            <w:r>
              <w:rPr>
                <w:color w:val="000000"/>
                <w:kern w:val="0"/>
                <w:szCs w:val="21"/>
              </w:rPr>
              <w:t>总铬</w:t>
            </w:r>
          </w:p>
        </w:tc>
        <w:tc>
          <w:tcPr>
            <w:tcW w:w="3113"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r>
              <w:rPr>
                <w:rFonts w:hint="eastAsia" w:ascii="宋体" w:hAnsi="宋体" w:cs="宋体"/>
                <w:szCs w:val="21"/>
              </w:rPr>
              <w:t>9</w:t>
            </w:r>
          </w:p>
        </w:tc>
        <w:tc>
          <w:tcPr>
            <w:tcW w:w="5190" w:type="dxa"/>
            <w:vAlign w:val="center"/>
          </w:tcPr>
          <w:p>
            <w:pPr>
              <w:widowControl/>
              <w:jc w:val="center"/>
              <w:rPr>
                <w:color w:val="000000"/>
                <w:kern w:val="0"/>
                <w:szCs w:val="21"/>
              </w:rPr>
            </w:pPr>
            <w:r>
              <w:rPr>
                <w:color w:val="000000"/>
                <w:kern w:val="0"/>
                <w:szCs w:val="21"/>
              </w:rPr>
              <w:t>总汞</w:t>
            </w:r>
          </w:p>
        </w:tc>
        <w:tc>
          <w:tcPr>
            <w:tcW w:w="3113"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r>
              <w:rPr>
                <w:rFonts w:hint="eastAsia" w:ascii="宋体" w:hAnsi="宋体" w:cs="宋体"/>
                <w:szCs w:val="21"/>
              </w:rPr>
              <w:t>10</w:t>
            </w:r>
          </w:p>
        </w:tc>
        <w:tc>
          <w:tcPr>
            <w:tcW w:w="5190" w:type="dxa"/>
            <w:vAlign w:val="center"/>
          </w:tcPr>
          <w:p>
            <w:pPr>
              <w:widowControl/>
              <w:jc w:val="center"/>
              <w:rPr>
                <w:color w:val="000000"/>
                <w:kern w:val="0"/>
                <w:szCs w:val="21"/>
              </w:rPr>
            </w:pPr>
            <w:r>
              <w:rPr>
                <w:color w:val="000000"/>
                <w:kern w:val="0"/>
                <w:szCs w:val="21"/>
              </w:rPr>
              <w:t>总铊</w:t>
            </w:r>
          </w:p>
        </w:tc>
        <w:tc>
          <w:tcPr>
            <w:tcW w:w="3113" w:type="dxa"/>
            <w:vAlign w:val="center"/>
          </w:tcPr>
          <w:p>
            <w:pPr>
              <w:spacing w:line="440" w:lineRule="exact"/>
              <w:jc w:val="center"/>
              <w:rPr>
                <w:color w:val="000000"/>
                <w:kern w:val="0"/>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730" w:type="dxa"/>
            <w:vAlign w:val="center"/>
          </w:tcPr>
          <w:p>
            <w:pPr>
              <w:spacing w:line="440" w:lineRule="exact"/>
              <w:jc w:val="center"/>
              <w:rPr>
                <w:rFonts w:ascii="宋体" w:hAnsi="宋体" w:cs="宋体"/>
                <w:szCs w:val="21"/>
              </w:rPr>
            </w:pPr>
            <w:r>
              <w:rPr>
                <w:rFonts w:hint="eastAsia" w:ascii="宋体" w:hAnsi="宋体" w:cs="宋体"/>
                <w:szCs w:val="21"/>
              </w:rPr>
              <w:t>11</w:t>
            </w:r>
          </w:p>
        </w:tc>
        <w:tc>
          <w:tcPr>
            <w:tcW w:w="5190" w:type="dxa"/>
            <w:vAlign w:val="center"/>
          </w:tcPr>
          <w:p>
            <w:pPr>
              <w:spacing w:line="440" w:lineRule="exact"/>
              <w:jc w:val="center"/>
              <w:rPr>
                <w:rFonts w:ascii="宋体" w:hAnsi="宋体" w:cs="宋体"/>
                <w:szCs w:val="21"/>
              </w:rPr>
            </w:pPr>
            <w:r>
              <w:rPr>
                <w:rFonts w:hint="eastAsia" w:ascii="宋体" w:hAnsi="宋体" w:cs="宋体"/>
                <w:szCs w:val="21"/>
              </w:rPr>
              <w:t>包装标识</w:t>
            </w:r>
          </w:p>
        </w:tc>
        <w:tc>
          <w:tcPr>
            <w:tcW w:w="3113" w:type="dxa"/>
            <w:vAlign w:val="center"/>
          </w:tcPr>
          <w:p>
            <w:pPr>
              <w:spacing w:line="440" w:lineRule="exact"/>
              <w:jc w:val="center"/>
              <w:rPr>
                <w:color w:val="000000"/>
                <w:kern w:val="0"/>
                <w:szCs w:val="21"/>
              </w:rPr>
            </w:pPr>
            <w:r>
              <w:rPr>
                <w:rFonts w:hint="eastAsia"/>
                <w:color w:val="000000"/>
                <w:kern w:val="0"/>
                <w:szCs w:val="21"/>
              </w:rPr>
              <w:t>GB 18382-2021</w:t>
            </w:r>
          </w:p>
          <w:p>
            <w:pPr>
              <w:spacing w:line="440" w:lineRule="exact"/>
              <w:jc w:val="center"/>
              <w:rPr>
                <w:color w:val="000000"/>
                <w:kern w:val="0"/>
                <w:szCs w:val="21"/>
              </w:rPr>
            </w:pPr>
            <w:r>
              <w:rPr>
                <w:rFonts w:hint="eastAsia"/>
                <w:color w:val="000000"/>
                <w:kern w:val="0"/>
                <w:szCs w:val="21"/>
              </w:rPr>
              <w:t>HG/T 2598-1994</w:t>
            </w:r>
          </w:p>
        </w:tc>
      </w:tr>
    </w:tbl>
    <w:p>
      <w:pPr>
        <w:adjustRightInd w:val="0"/>
        <w:snapToGrid w:val="0"/>
        <w:spacing w:line="440" w:lineRule="exact"/>
        <w:rPr>
          <w:rFonts w:ascii="宋体" w:hAnsi="宋体" w:cs="宋体"/>
          <w:color w:val="000000"/>
          <w:szCs w:val="21"/>
        </w:rPr>
      </w:pPr>
    </w:p>
    <w:p>
      <w:pPr>
        <w:adjustRightInd w:val="0"/>
        <w:snapToGrid w:val="0"/>
        <w:spacing w:line="440" w:lineRule="exact"/>
        <w:rPr>
          <w:rFonts w:ascii="宋体" w:hAnsi="宋体" w:cs="宋体"/>
          <w:color w:val="000000"/>
          <w:szCs w:val="21"/>
        </w:rPr>
      </w:pPr>
    </w:p>
    <w:p>
      <w:pPr>
        <w:adjustRightInd w:val="0"/>
        <w:snapToGrid w:val="0"/>
        <w:spacing w:line="440" w:lineRule="exact"/>
        <w:ind w:firstLine="424" w:firstLineChars="202"/>
        <w:rPr>
          <w:rFonts w:ascii="宋体" w:hAnsi="宋体" w:cs="宋体"/>
          <w:color w:val="000000"/>
          <w:szCs w:val="21"/>
        </w:rPr>
      </w:pPr>
    </w:p>
    <w:p>
      <w:pPr>
        <w:snapToGrid w:val="0"/>
        <w:spacing w:line="440" w:lineRule="exact"/>
        <w:jc w:val="center"/>
        <w:rPr>
          <w:rFonts w:ascii="宋体" w:hAnsi="宋体" w:cs="宋体"/>
          <w:bCs/>
          <w:szCs w:val="21"/>
        </w:rPr>
      </w:pPr>
      <w:r>
        <w:rPr>
          <w:rFonts w:hint="eastAsia" w:ascii="宋体" w:hAnsi="宋体" w:cs="宋体"/>
          <w:bCs/>
          <w:szCs w:val="21"/>
        </w:rPr>
        <w:t xml:space="preserve">表5 </w:t>
      </w:r>
      <w:r>
        <w:rPr>
          <w:rFonts w:hint="eastAsia" w:ascii="宋体" w:hAnsi="宋体" w:cs="宋体"/>
          <w:szCs w:val="21"/>
        </w:rPr>
        <w:t>肥料级磷酸氢钙</w:t>
      </w:r>
    </w:p>
    <w:tbl>
      <w:tblPr>
        <w:tblStyle w:val="9"/>
        <w:tblW w:w="90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5205"/>
        <w:gridCol w:w="3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37" w:type="dxa"/>
            <w:vMerge w:val="restart"/>
            <w:vAlign w:val="center"/>
          </w:tcPr>
          <w:p>
            <w:pPr>
              <w:spacing w:line="440" w:lineRule="exact"/>
              <w:jc w:val="center"/>
              <w:rPr>
                <w:rFonts w:ascii="宋体" w:hAnsi="宋体" w:cs="宋体"/>
                <w:szCs w:val="21"/>
              </w:rPr>
            </w:pPr>
            <w:r>
              <w:rPr>
                <w:rFonts w:hint="eastAsia" w:ascii="宋体" w:hAnsi="宋体" w:cs="宋体"/>
                <w:szCs w:val="21"/>
              </w:rPr>
              <w:t>序号</w:t>
            </w:r>
          </w:p>
        </w:tc>
        <w:tc>
          <w:tcPr>
            <w:tcW w:w="5205" w:type="dxa"/>
            <w:vMerge w:val="restart"/>
            <w:vAlign w:val="center"/>
          </w:tcPr>
          <w:p>
            <w:pPr>
              <w:spacing w:line="440" w:lineRule="exact"/>
              <w:jc w:val="center"/>
              <w:rPr>
                <w:rFonts w:ascii="宋体" w:hAnsi="宋体" w:cs="宋体"/>
                <w:szCs w:val="21"/>
              </w:rPr>
            </w:pPr>
            <w:r>
              <w:rPr>
                <w:rFonts w:hint="eastAsia" w:ascii="宋体" w:hAnsi="宋体" w:cs="宋体"/>
                <w:szCs w:val="21"/>
              </w:rPr>
              <w:t>检验项目</w:t>
            </w:r>
          </w:p>
        </w:tc>
        <w:tc>
          <w:tcPr>
            <w:tcW w:w="3105" w:type="dxa"/>
            <w:vMerge w:val="restart"/>
            <w:vAlign w:val="center"/>
          </w:tcPr>
          <w:p>
            <w:pPr>
              <w:spacing w:line="440" w:lineRule="exact"/>
              <w:jc w:val="center"/>
              <w:rPr>
                <w:rFonts w:ascii="宋体" w:hAnsi="宋体" w:cs="宋体"/>
                <w:szCs w:val="21"/>
              </w:rPr>
            </w:pPr>
            <w:r>
              <w:rPr>
                <w:rFonts w:hint="eastAsia" w:ascii="宋体" w:hAnsi="宋体" w:cs="宋体"/>
                <w:szCs w:val="21"/>
              </w:rPr>
              <w:t>检验方法标准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37" w:type="dxa"/>
            <w:vMerge w:val="continue"/>
            <w:vAlign w:val="center"/>
          </w:tcPr>
          <w:p>
            <w:pPr>
              <w:spacing w:line="440" w:lineRule="exact"/>
              <w:jc w:val="center"/>
              <w:rPr>
                <w:rFonts w:ascii="宋体" w:hAnsi="宋体" w:cs="宋体"/>
                <w:szCs w:val="21"/>
              </w:rPr>
            </w:pPr>
          </w:p>
        </w:tc>
        <w:tc>
          <w:tcPr>
            <w:tcW w:w="5205" w:type="dxa"/>
            <w:vMerge w:val="continue"/>
            <w:vAlign w:val="center"/>
          </w:tcPr>
          <w:p>
            <w:pPr>
              <w:spacing w:line="440" w:lineRule="exact"/>
              <w:jc w:val="center"/>
              <w:rPr>
                <w:rFonts w:ascii="宋体" w:hAnsi="宋体" w:cs="宋体"/>
                <w:szCs w:val="21"/>
              </w:rPr>
            </w:pPr>
          </w:p>
        </w:tc>
        <w:tc>
          <w:tcPr>
            <w:tcW w:w="3105" w:type="dxa"/>
            <w:vMerge w:val="continue"/>
            <w:vAlign w:val="center"/>
          </w:tcPr>
          <w:p>
            <w:pPr>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r>
              <w:rPr>
                <w:rFonts w:hint="eastAsia" w:ascii="宋体" w:hAnsi="宋体" w:cs="宋体"/>
                <w:szCs w:val="21"/>
              </w:rPr>
              <w:t>1</w:t>
            </w:r>
          </w:p>
        </w:tc>
        <w:tc>
          <w:tcPr>
            <w:tcW w:w="5205" w:type="dxa"/>
            <w:vAlign w:val="center"/>
          </w:tcPr>
          <w:p>
            <w:pPr>
              <w:spacing w:line="440" w:lineRule="exact"/>
              <w:jc w:val="center"/>
              <w:rPr>
                <w:rFonts w:ascii="宋体" w:hAnsi="宋体" w:cs="宋体"/>
                <w:szCs w:val="21"/>
              </w:rPr>
            </w:pPr>
            <w:r>
              <w:rPr>
                <w:rFonts w:hint="eastAsia" w:ascii="宋体" w:hAnsi="宋体" w:cs="宋体"/>
                <w:szCs w:val="21"/>
              </w:rPr>
              <w:t>有效五氧化二磷（P</w:t>
            </w:r>
            <w:r>
              <w:rPr>
                <w:rFonts w:hint="eastAsia" w:ascii="宋体" w:hAnsi="宋体" w:cs="宋体"/>
                <w:szCs w:val="21"/>
                <w:vertAlign w:val="subscript"/>
              </w:rPr>
              <w:t>2</w:t>
            </w:r>
            <w:r>
              <w:rPr>
                <w:rFonts w:hint="eastAsia" w:ascii="宋体" w:hAnsi="宋体" w:cs="宋体"/>
                <w:szCs w:val="21"/>
              </w:rPr>
              <w:t>O</w:t>
            </w:r>
            <w:r>
              <w:rPr>
                <w:rFonts w:hint="eastAsia" w:ascii="宋体" w:hAnsi="宋体" w:cs="宋体"/>
                <w:szCs w:val="21"/>
                <w:vertAlign w:val="subscript"/>
              </w:rPr>
              <w:t>5</w:t>
            </w:r>
            <w:r>
              <w:rPr>
                <w:rFonts w:hint="eastAsia" w:ascii="宋体" w:hAnsi="宋体" w:cs="宋体"/>
                <w:szCs w:val="21"/>
              </w:rPr>
              <w:t>）含量</w:t>
            </w:r>
          </w:p>
        </w:tc>
        <w:tc>
          <w:tcPr>
            <w:tcW w:w="3105" w:type="dxa"/>
            <w:vMerge w:val="restart"/>
            <w:vAlign w:val="center"/>
          </w:tcPr>
          <w:p>
            <w:pPr>
              <w:spacing w:line="440" w:lineRule="exact"/>
              <w:jc w:val="center"/>
              <w:rPr>
                <w:color w:val="000000"/>
                <w:kern w:val="0"/>
                <w:szCs w:val="21"/>
              </w:rPr>
            </w:pPr>
            <w:r>
              <w:rPr>
                <w:rFonts w:hint="eastAsia"/>
                <w:color w:val="000000"/>
                <w:kern w:val="0"/>
                <w:szCs w:val="21"/>
              </w:rPr>
              <w:t>HG/T 3275-1999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r>
              <w:rPr>
                <w:rFonts w:hint="eastAsia" w:ascii="宋体" w:hAnsi="宋体" w:cs="宋体"/>
                <w:szCs w:val="21"/>
              </w:rPr>
              <w:t>2</w:t>
            </w:r>
          </w:p>
        </w:tc>
        <w:tc>
          <w:tcPr>
            <w:tcW w:w="5205" w:type="dxa"/>
            <w:vAlign w:val="center"/>
          </w:tcPr>
          <w:p>
            <w:pPr>
              <w:spacing w:line="440" w:lineRule="exact"/>
              <w:jc w:val="center"/>
              <w:rPr>
                <w:rFonts w:ascii="宋体" w:hAnsi="宋体" w:cs="宋体"/>
                <w:szCs w:val="21"/>
              </w:rPr>
            </w:pPr>
            <w:r>
              <w:rPr>
                <w:rFonts w:hint="eastAsia" w:ascii="宋体" w:hAnsi="宋体" w:cs="宋体"/>
                <w:szCs w:val="21"/>
              </w:rPr>
              <w:t>游离水分含量</w:t>
            </w:r>
          </w:p>
        </w:tc>
        <w:tc>
          <w:tcPr>
            <w:tcW w:w="3105" w:type="dxa"/>
            <w:vMerge w:val="continue"/>
            <w:vAlign w:val="center"/>
          </w:tcPr>
          <w:p>
            <w:pPr>
              <w:spacing w:line="440" w:lineRule="exact"/>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r>
              <w:rPr>
                <w:rFonts w:hint="eastAsia" w:ascii="宋体" w:hAnsi="宋体" w:cs="宋体"/>
                <w:szCs w:val="21"/>
              </w:rPr>
              <w:t>3</w:t>
            </w:r>
          </w:p>
        </w:tc>
        <w:tc>
          <w:tcPr>
            <w:tcW w:w="5205" w:type="dxa"/>
            <w:vAlign w:val="center"/>
          </w:tcPr>
          <w:p>
            <w:pPr>
              <w:spacing w:line="440" w:lineRule="exact"/>
              <w:jc w:val="center"/>
              <w:rPr>
                <w:rFonts w:ascii="宋体" w:hAnsi="宋体" w:cs="宋体"/>
                <w:szCs w:val="21"/>
              </w:rPr>
            </w:pPr>
            <w:r>
              <w:rPr>
                <w:rFonts w:hint="eastAsia" w:ascii="宋体" w:hAnsi="宋体" w:cs="宋体"/>
                <w:szCs w:val="21"/>
              </w:rPr>
              <w:t>pH值（5g试样加入50mL水中）</w:t>
            </w:r>
          </w:p>
        </w:tc>
        <w:tc>
          <w:tcPr>
            <w:tcW w:w="3105" w:type="dxa"/>
            <w:vMerge w:val="continue"/>
            <w:vAlign w:val="center"/>
          </w:tcPr>
          <w:p>
            <w:pPr>
              <w:spacing w:line="440" w:lineRule="exact"/>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r>
              <w:rPr>
                <w:rFonts w:hint="eastAsia" w:ascii="宋体" w:hAnsi="宋体" w:cs="宋体"/>
                <w:szCs w:val="21"/>
              </w:rPr>
              <w:t>4</w:t>
            </w:r>
          </w:p>
        </w:tc>
        <w:tc>
          <w:tcPr>
            <w:tcW w:w="5205" w:type="dxa"/>
            <w:vAlign w:val="center"/>
          </w:tcPr>
          <w:p>
            <w:pPr>
              <w:widowControl/>
              <w:jc w:val="center"/>
              <w:rPr>
                <w:color w:val="000000"/>
                <w:kern w:val="0"/>
                <w:szCs w:val="21"/>
              </w:rPr>
            </w:pPr>
            <w:r>
              <w:rPr>
                <w:color w:val="000000"/>
                <w:kern w:val="0"/>
                <w:szCs w:val="21"/>
              </w:rPr>
              <w:t>总砷</w:t>
            </w:r>
          </w:p>
        </w:tc>
        <w:tc>
          <w:tcPr>
            <w:tcW w:w="3105"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r>
              <w:rPr>
                <w:rFonts w:hint="eastAsia" w:ascii="宋体" w:hAnsi="宋体" w:cs="宋体"/>
                <w:szCs w:val="21"/>
              </w:rPr>
              <w:t>5</w:t>
            </w:r>
          </w:p>
        </w:tc>
        <w:tc>
          <w:tcPr>
            <w:tcW w:w="5205" w:type="dxa"/>
            <w:vAlign w:val="center"/>
          </w:tcPr>
          <w:p>
            <w:pPr>
              <w:widowControl/>
              <w:jc w:val="center"/>
              <w:rPr>
                <w:color w:val="000000"/>
                <w:kern w:val="0"/>
                <w:szCs w:val="21"/>
              </w:rPr>
            </w:pPr>
            <w:r>
              <w:rPr>
                <w:color w:val="000000"/>
                <w:kern w:val="0"/>
                <w:szCs w:val="21"/>
              </w:rPr>
              <w:t>总镉</w:t>
            </w:r>
          </w:p>
        </w:tc>
        <w:tc>
          <w:tcPr>
            <w:tcW w:w="3105"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r>
              <w:rPr>
                <w:rFonts w:hint="eastAsia" w:ascii="宋体" w:hAnsi="宋体" w:cs="宋体"/>
                <w:szCs w:val="21"/>
              </w:rPr>
              <w:t>6</w:t>
            </w:r>
          </w:p>
        </w:tc>
        <w:tc>
          <w:tcPr>
            <w:tcW w:w="5205" w:type="dxa"/>
            <w:vAlign w:val="center"/>
          </w:tcPr>
          <w:p>
            <w:pPr>
              <w:widowControl/>
              <w:jc w:val="center"/>
              <w:rPr>
                <w:color w:val="000000"/>
                <w:kern w:val="0"/>
                <w:szCs w:val="21"/>
              </w:rPr>
            </w:pPr>
            <w:r>
              <w:rPr>
                <w:color w:val="000000"/>
                <w:kern w:val="0"/>
                <w:szCs w:val="21"/>
              </w:rPr>
              <w:t>总铅</w:t>
            </w:r>
          </w:p>
        </w:tc>
        <w:tc>
          <w:tcPr>
            <w:tcW w:w="3105"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r>
              <w:rPr>
                <w:rFonts w:hint="eastAsia" w:ascii="宋体" w:hAnsi="宋体" w:cs="宋体"/>
                <w:szCs w:val="21"/>
              </w:rPr>
              <w:t>7</w:t>
            </w:r>
          </w:p>
        </w:tc>
        <w:tc>
          <w:tcPr>
            <w:tcW w:w="5205" w:type="dxa"/>
            <w:vAlign w:val="center"/>
          </w:tcPr>
          <w:p>
            <w:pPr>
              <w:widowControl/>
              <w:jc w:val="center"/>
              <w:rPr>
                <w:color w:val="000000"/>
                <w:kern w:val="0"/>
                <w:szCs w:val="21"/>
              </w:rPr>
            </w:pPr>
            <w:r>
              <w:rPr>
                <w:color w:val="000000"/>
                <w:kern w:val="0"/>
                <w:szCs w:val="21"/>
              </w:rPr>
              <w:t>总铬</w:t>
            </w:r>
          </w:p>
        </w:tc>
        <w:tc>
          <w:tcPr>
            <w:tcW w:w="3105"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r>
              <w:rPr>
                <w:rFonts w:hint="eastAsia" w:ascii="宋体" w:hAnsi="宋体" w:cs="宋体"/>
                <w:szCs w:val="21"/>
              </w:rPr>
              <w:t>8</w:t>
            </w:r>
          </w:p>
        </w:tc>
        <w:tc>
          <w:tcPr>
            <w:tcW w:w="5205" w:type="dxa"/>
            <w:vAlign w:val="center"/>
          </w:tcPr>
          <w:p>
            <w:pPr>
              <w:widowControl/>
              <w:jc w:val="center"/>
              <w:rPr>
                <w:color w:val="000000"/>
                <w:kern w:val="0"/>
                <w:szCs w:val="21"/>
              </w:rPr>
            </w:pPr>
            <w:r>
              <w:rPr>
                <w:color w:val="000000"/>
                <w:kern w:val="0"/>
                <w:szCs w:val="21"/>
              </w:rPr>
              <w:t>总汞</w:t>
            </w:r>
          </w:p>
        </w:tc>
        <w:tc>
          <w:tcPr>
            <w:tcW w:w="3105"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r>
              <w:rPr>
                <w:rFonts w:hint="eastAsia" w:ascii="宋体" w:hAnsi="宋体" w:cs="宋体"/>
                <w:szCs w:val="21"/>
              </w:rPr>
              <w:t>9</w:t>
            </w:r>
          </w:p>
        </w:tc>
        <w:tc>
          <w:tcPr>
            <w:tcW w:w="5205" w:type="dxa"/>
            <w:vAlign w:val="center"/>
          </w:tcPr>
          <w:p>
            <w:pPr>
              <w:widowControl/>
              <w:jc w:val="center"/>
              <w:rPr>
                <w:color w:val="000000"/>
                <w:kern w:val="0"/>
                <w:szCs w:val="21"/>
              </w:rPr>
            </w:pPr>
            <w:r>
              <w:rPr>
                <w:color w:val="000000"/>
                <w:kern w:val="0"/>
                <w:szCs w:val="21"/>
              </w:rPr>
              <w:t>总铊</w:t>
            </w:r>
          </w:p>
        </w:tc>
        <w:tc>
          <w:tcPr>
            <w:tcW w:w="3105" w:type="dxa"/>
            <w:vAlign w:val="center"/>
          </w:tcPr>
          <w:p>
            <w:pPr>
              <w:widowControl/>
              <w:jc w:val="center"/>
              <w:rPr>
                <w:color w:val="000000"/>
                <w:kern w:val="0"/>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r>
              <w:rPr>
                <w:rFonts w:hint="eastAsia" w:ascii="宋体" w:hAnsi="宋体" w:cs="宋体"/>
                <w:szCs w:val="21"/>
              </w:rPr>
              <w:t>10</w:t>
            </w:r>
          </w:p>
        </w:tc>
        <w:tc>
          <w:tcPr>
            <w:tcW w:w="5205" w:type="dxa"/>
            <w:vAlign w:val="center"/>
          </w:tcPr>
          <w:p>
            <w:pPr>
              <w:spacing w:line="440" w:lineRule="exact"/>
              <w:jc w:val="center"/>
              <w:rPr>
                <w:rFonts w:ascii="宋体" w:hAnsi="宋体" w:cs="宋体"/>
                <w:szCs w:val="21"/>
              </w:rPr>
            </w:pPr>
            <w:r>
              <w:rPr>
                <w:rFonts w:hint="eastAsia" w:ascii="宋体" w:hAnsi="宋体" w:cs="宋体"/>
                <w:szCs w:val="21"/>
              </w:rPr>
              <w:t>包装标识</w:t>
            </w:r>
          </w:p>
        </w:tc>
        <w:tc>
          <w:tcPr>
            <w:tcW w:w="3105" w:type="dxa"/>
            <w:vAlign w:val="center"/>
          </w:tcPr>
          <w:p>
            <w:pPr>
              <w:spacing w:line="440" w:lineRule="exact"/>
              <w:jc w:val="center"/>
              <w:rPr>
                <w:color w:val="000000"/>
                <w:kern w:val="0"/>
                <w:szCs w:val="21"/>
              </w:rPr>
            </w:pPr>
            <w:r>
              <w:rPr>
                <w:rFonts w:hint="eastAsia"/>
                <w:color w:val="000000"/>
                <w:kern w:val="0"/>
                <w:szCs w:val="21"/>
              </w:rPr>
              <w:t>GB 18382-2021</w:t>
            </w:r>
          </w:p>
          <w:p>
            <w:pPr>
              <w:spacing w:line="440" w:lineRule="exact"/>
              <w:jc w:val="center"/>
              <w:rPr>
                <w:color w:val="000000"/>
                <w:kern w:val="0"/>
                <w:szCs w:val="21"/>
              </w:rPr>
            </w:pPr>
            <w:r>
              <w:rPr>
                <w:rFonts w:hint="eastAsia"/>
                <w:color w:val="000000"/>
                <w:kern w:val="0"/>
                <w:szCs w:val="21"/>
              </w:rPr>
              <w:t>HG/T 3275-1999</w:t>
            </w:r>
          </w:p>
        </w:tc>
      </w:tr>
    </w:tbl>
    <w:p>
      <w:pPr>
        <w:adjustRightInd w:val="0"/>
        <w:snapToGrid w:val="0"/>
        <w:spacing w:line="440" w:lineRule="exact"/>
        <w:ind w:firstLine="424" w:firstLineChars="202"/>
        <w:rPr>
          <w:color w:val="000000"/>
          <w:szCs w:val="21"/>
        </w:rPr>
      </w:pPr>
    </w:p>
    <w:p>
      <w:pPr>
        <w:adjustRightInd w:val="0"/>
        <w:snapToGrid w:val="0"/>
        <w:spacing w:line="440" w:lineRule="exact"/>
        <w:ind w:firstLine="424" w:firstLineChars="202"/>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color w:val="000000"/>
          <w:szCs w:val="21"/>
        </w:rPr>
      </w:pPr>
    </w:p>
    <w:p>
      <w:pPr>
        <w:spacing w:line="440" w:lineRule="exact"/>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bCs/>
          <w:color w:val="000000"/>
          <w:szCs w:val="21"/>
        </w:rPr>
      </w:pPr>
      <w:r>
        <w:rPr>
          <w:rFonts w:hint="eastAsia"/>
          <w:color w:val="000000"/>
          <w:szCs w:val="21"/>
        </w:rPr>
        <w:t>3.1依据标准</w:t>
      </w:r>
    </w:p>
    <w:p>
      <w:pPr>
        <w:spacing w:line="440" w:lineRule="exact"/>
        <w:ind w:firstLine="420" w:firstLineChars="200"/>
        <w:rPr>
          <w:bCs/>
          <w:color w:val="000000"/>
          <w:szCs w:val="21"/>
        </w:rPr>
      </w:pPr>
      <w:r>
        <w:rPr>
          <w:rFonts w:hint="eastAsia"/>
          <w:bCs/>
          <w:color w:val="000000"/>
          <w:szCs w:val="21"/>
        </w:rPr>
        <w:t>GB 18382-20</w:t>
      </w:r>
      <w:r>
        <w:rPr>
          <w:bCs/>
          <w:color w:val="000000"/>
          <w:szCs w:val="21"/>
        </w:rPr>
        <w:t>2</w:t>
      </w:r>
      <w:r>
        <w:rPr>
          <w:rFonts w:hint="eastAsia"/>
          <w:bCs/>
          <w:color w:val="000000"/>
          <w:szCs w:val="21"/>
        </w:rPr>
        <w:t xml:space="preserve">1 肥料标识 内容和要求 </w:t>
      </w:r>
    </w:p>
    <w:p>
      <w:pPr>
        <w:spacing w:line="440" w:lineRule="exact"/>
        <w:ind w:firstLine="420" w:firstLineChars="200"/>
        <w:rPr>
          <w:bCs/>
          <w:color w:val="000000"/>
          <w:szCs w:val="21"/>
        </w:rPr>
      </w:pPr>
      <w:r>
        <w:rPr>
          <w:rFonts w:hint="eastAsia"/>
          <w:bCs/>
          <w:color w:val="000000"/>
          <w:szCs w:val="21"/>
        </w:rPr>
        <w:t>GB 38400-2019 肥料中有毒有害物质的限量要求</w:t>
      </w:r>
    </w:p>
    <w:p>
      <w:pPr>
        <w:spacing w:line="440" w:lineRule="exact"/>
        <w:ind w:firstLine="420" w:firstLineChars="200"/>
        <w:rPr>
          <w:bCs/>
          <w:color w:val="000000"/>
          <w:szCs w:val="21"/>
        </w:rPr>
      </w:pPr>
      <w:r>
        <w:rPr>
          <w:rFonts w:hint="eastAsia"/>
          <w:bCs/>
          <w:color w:val="000000"/>
          <w:szCs w:val="21"/>
        </w:rPr>
        <w:t xml:space="preserve">GB/T </w:t>
      </w:r>
      <w:r>
        <w:rPr>
          <w:bCs/>
          <w:color w:val="000000"/>
          <w:szCs w:val="21"/>
        </w:rPr>
        <w:t>20412-2021</w:t>
      </w:r>
      <w:r>
        <w:rPr>
          <w:rFonts w:hint="eastAsia"/>
          <w:bCs/>
          <w:color w:val="000000"/>
          <w:szCs w:val="21"/>
        </w:rPr>
        <w:t xml:space="preserve"> 钙镁磷肥</w:t>
      </w:r>
    </w:p>
    <w:p>
      <w:pPr>
        <w:spacing w:line="440" w:lineRule="exact"/>
        <w:ind w:firstLine="420" w:firstLineChars="200"/>
        <w:rPr>
          <w:bCs/>
          <w:color w:val="000000"/>
          <w:szCs w:val="21"/>
        </w:rPr>
      </w:pPr>
      <w:r>
        <w:rPr>
          <w:rFonts w:hint="eastAsia"/>
          <w:bCs/>
          <w:color w:val="000000"/>
          <w:szCs w:val="21"/>
        </w:rPr>
        <w:t xml:space="preserve">GB/T </w:t>
      </w:r>
      <w:r>
        <w:rPr>
          <w:bCs/>
          <w:color w:val="000000"/>
          <w:szCs w:val="21"/>
        </w:rPr>
        <w:t xml:space="preserve">20413-2017 </w:t>
      </w:r>
      <w:r>
        <w:rPr>
          <w:rFonts w:hint="eastAsia"/>
          <w:bCs/>
          <w:color w:val="000000"/>
          <w:szCs w:val="21"/>
        </w:rPr>
        <w:t>过磷酸钙</w:t>
      </w:r>
    </w:p>
    <w:p>
      <w:pPr>
        <w:spacing w:line="440" w:lineRule="exact"/>
        <w:ind w:firstLine="420" w:firstLineChars="200"/>
        <w:rPr>
          <w:bCs/>
          <w:color w:val="000000"/>
          <w:szCs w:val="21"/>
        </w:rPr>
      </w:pPr>
      <w:r>
        <w:rPr>
          <w:rFonts w:hint="eastAsia"/>
          <w:bCs/>
          <w:color w:val="000000"/>
          <w:szCs w:val="21"/>
        </w:rPr>
        <w:t>GB/T 21634-2020重过磷酸钙</w:t>
      </w:r>
    </w:p>
    <w:p>
      <w:pPr>
        <w:spacing w:line="440" w:lineRule="exact"/>
        <w:ind w:firstLine="420" w:firstLineChars="200"/>
        <w:rPr>
          <w:bCs/>
          <w:color w:val="000000"/>
          <w:szCs w:val="21"/>
        </w:rPr>
      </w:pPr>
      <w:r>
        <w:rPr>
          <w:rFonts w:hint="eastAsia"/>
          <w:bCs/>
          <w:color w:val="000000"/>
          <w:szCs w:val="21"/>
        </w:rPr>
        <w:t>HG/T 2598-1994钙镁磷钾肥</w:t>
      </w:r>
    </w:p>
    <w:p>
      <w:pPr>
        <w:spacing w:line="440" w:lineRule="exact"/>
        <w:ind w:firstLine="420" w:firstLineChars="200"/>
        <w:rPr>
          <w:bCs/>
          <w:color w:val="000000"/>
          <w:szCs w:val="21"/>
        </w:rPr>
      </w:pPr>
      <w:r>
        <w:rPr>
          <w:rFonts w:hint="eastAsia"/>
          <w:bCs/>
          <w:color w:val="000000"/>
          <w:szCs w:val="21"/>
        </w:rPr>
        <w:t>HG/T 3275-1999肥料级磷酸氢钙</w:t>
      </w:r>
    </w:p>
    <w:p>
      <w:pPr>
        <w:spacing w:line="440" w:lineRule="exact"/>
        <w:ind w:firstLine="420" w:firstLineChars="200"/>
        <w:rPr>
          <w:bCs/>
          <w:strike/>
          <w:color w:val="000000"/>
          <w:szCs w:val="21"/>
        </w:rPr>
      </w:pPr>
      <w:r>
        <w:rPr>
          <w:rFonts w:hint="eastAsia"/>
          <w:color w:val="000000"/>
          <w:szCs w:val="21"/>
        </w:rPr>
        <w:t>现行有效的企业标准、团体标准、地方标准及产品明示质量要求</w:t>
      </w:r>
    </w:p>
    <w:p>
      <w:pPr>
        <w:snapToGrid w:val="0"/>
        <w:spacing w:line="440" w:lineRule="exact"/>
        <w:rPr>
          <w:color w:val="000000"/>
          <w:szCs w:val="21"/>
        </w:rPr>
      </w:pPr>
      <w:r>
        <w:rPr>
          <w:rFonts w:hint="eastAsia"/>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经检验，检验项目全部合格，判定为被抽查产品所检项目未发现不合格</w:t>
      </w:r>
      <w:r>
        <w:rPr>
          <w:rFonts w:hint="eastAsia"/>
          <w:color w:val="000000"/>
          <w:szCs w:val="21"/>
        </w:rPr>
        <w:t>；检验项目中任一项或一项以上不合格，判定为被抽查产品不合格。</w:t>
      </w:r>
    </w:p>
    <w:p>
      <w:pPr>
        <w:snapToGrid w:val="0"/>
        <w:spacing w:line="440" w:lineRule="exact"/>
        <w:ind w:firstLine="420" w:firstLineChars="200"/>
        <w:rPr>
          <w:color w:val="000000"/>
          <w:szCs w:val="21"/>
        </w:rPr>
      </w:pPr>
      <w:r>
        <w:rPr>
          <w:rFonts w:hint="eastAsia"/>
          <w:color w:val="000000"/>
          <w:szCs w:val="21"/>
        </w:rPr>
        <w:t>若被检产品明示的质量要求高于本细则中检验项目依据的标准要求时，应按被检产品明示的质量要求判定。</w:t>
      </w:r>
    </w:p>
    <w:p>
      <w:pPr>
        <w:snapToGrid w:val="0"/>
        <w:spacing w:line="440" w:lineRule="exact"/>
        <w:ind w:firstLine="420" w:firstLineChars="200"/>
        <w:rPr>
          <w:color w:val="000000"/>
          <w:szCs w:val="21"/>
        </w:rPr>
      </w:pPr>
      <w:r>
        <w:rPr>
          <w:rFonts w:hint="eastAsia"/>
          <w:color w:val="000000"/>
          <w:szCs w:val="21"/>
        </w:rPr>
        <w:t>若被检产品明示的质量要求低于本细则中检验项目依据的强制性标准要求时，应按照强制性标准要求判定。</w:t>
      </w:r>
    </w:p>
    <w:p>
      <w:pPr>
        <w:snapToGrid w:val="0"/>
        <w:spacing w:line="440" w:lineRule="exact"/>
        <w:ind w:firstLine="420" w:firstLineChars="200"/>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snapToGrid w:val="0"/>
        <w:spacing w:line="440" w:lineRule="exact"/>
        <w:ind w:firstLine="420" w:firstLineChars="200"/>
        <w:rPr>
          <w:color w:val="000000"/>
          <w:szCs w:val="21"/>
        </w:rPr>
      </w:pPr>
      <w:r>
        <w:rPr>
          <w:rFonts w:hint="eastAsia"/>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color w:val="000000"/>
          <w:szCs w:val="21"/>
        </w:rPr>
      </w:pPr>
      <w:r>
        <w:rPr>
          <w:rFonts w:hint="eastAsia"/>
          <w:color w:val="000000"/>
          <w:szCs w:val="21"/>
        </w:rPr>
        <w:t>若被检产品明示的质量要求缺少本细则中检验项目依据的推荐性标准要求时，该项目不参与判定。</w:t>
      </w:r>
    </w:p>
    <w:p>
      <w:pPr>
        <w:snapToGrid w:val="0"/>
        <w:spacing w:line="440" w:lineRule="exact"/>
        <w:ind w:firstLine="420" w:firstLineChars="200"/>
        <w:rPr>
          <w:color w:val="000000"/>
          <w:szCs w:val="21"/>
        </w:rPr>
      </w:pPr>
    </w:p>
    <w:p>
      <w:pPr>
        <w:spacing w:line="440" w:lineRule="exact"/>
        <w:rPr>
          <w:rFonts w:ascii="黑体" w:hAnsi="黑体" w:eastAsia="黑体"/>
          <w:color w:val="000000"/>
          <w:szCs w:val="21"/>
        </w:rPr>
      </w:pPr>
      <w:r>
        <w:rPr>
          <w:rFonts w:hint="eastAsia" w:ascii="黑体" w:hAnsi="黑体" w:eastAsia="黑体"/>
          <w:color w:val="000000"/>
          <w:szCs w:val="21"/>
        </w:rPr>
        <w:t>4 附则</w:t>
      </w:r>
    </w:p>
    <w:p>
      <w:pPr>
        <w:snapToGrid w:val="0"/>
        <w:spacing w:line="440" w:lineRule="exact"/>
        <w:ind w:firstLine="420" w:firstLineChars="200"/>
        <w:rPr>
          <w:szCs w:val="21"/>
        </w:rPr>
      </w:pPr>
      <w:r>
        <w:rPr>
          <w:rFonts w:hint="eastAsia"/>
          <w:szCs w:val="21"/>
        </w:rPr>
        <w:t>本细则代替《贵州省市场监管局关于发布2022年版贵州省产品质量监督抽查实</w:t>
      </w:r>
      <w:bookmarkStart w:id="1" w:name="_GoBack"/>
      <w:bookmarkEnd w:id="1"/>
      <w:r>
        <w:rPr>
          <w:rFonts w:hint="eastAsia"/>
          <w:szCs w:val="21"/>
        </w:rPr>
        <w:t>施细则（第二批）的公告》中的《贵州省磷肥产品质量监督抽查实施细则（</w:t>
      </w:r>
      <w:r>
        <w:rPr>
          <w:szCs w:val="21"/>
        </w:rPr>
        <w:t>2022</w:t>
      </w:r>
      <w:r>
        <w:rPr>
          <w:rFonts w:hint="eastAsia"/>
          <w:szCs w:val="21"/>
        </w:rPr>
        <w:t>年版）》。</w:t>
      </w:r>
    </w:p>
    <w:p>
      <w:pPr>
        <w:snapToGrid w:val="0"/>
        <w:spacing w:line="440" w:lineRule="exact"/>
        <w:ind w:firstLine="420" w:firstLineChars="200"/>
        <w:rPr>
          <w:color w:val="FF0000"/>
          <w:szCs w:val="21"/>
        </w:rPr>
      </w:pP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中宋"/>
    <w:panose1 w:val="02010600030101010101"/>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en-US"/>
      </w:rPr>
      <w:t>5</w:t>
    </w:r>
    <w: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B107E9"/>
    <w:multiLevelType w:val="multilevel"/>
    <w:tmpl w:val="14B107E9"/>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D934969"/>
    <w:multiLevelType w:val="multilevel"/>
    <w:tmpl w:val="4D934969"/>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5YjkxZmFlNjE1OTBjNTlmN2MxZjM5ODc1NmMzZDkifQ=="/>
  </w:docVars>
  <w:rsids>
    <w:rsidRoot w:val="00172A27"/>
    <w:rsid w:val="00000942"/>
    <w:rsid w:val="00010EA9"/>
    <w:rsid w:val="00017870"/>
    <w:rsid w:val="00020AD5"/>
    <w:rsid w:val="000226EC"/>
    <w:rsid w:val="000276A9"/>
    <w:rsid w:val="00047455"/>
    <w:rsid w:val="0005011C"/>
    <w:rsid w:val="00051A44"/>
    <w:rsid w:val="000524E8"/>
    <w:rsid w:val="00071001"/>
    <w:rsid w:val="00073DC1"/>
    <w:rsid w:val="00074506"/>
    <w:rsid w:val="00080749"/>
    <w:rsid w:val="00081CBD"/>
    <w:rsid w:val="00085F04"/>
    <w:rsid w:val="000976DE"/>
    <w:rsid w:val="000B50F1"/>
    <w:rsid w:val="000C0C82"/>
    <w:rsid w:val="000D0007"/>
    <w:rsid w:val="000D4557"/>
    <w:rsid w:val="000F0B81"/>
    <w:rsid w:val="000F3EA2"/>
    <w:rsid w:val="000F43C5"/>
    <w:rsid w:val="000F6E44"/>
    <w:rsid w:val="00103015"/>
    <w:rsid w:val="001035C2"/>
    <w:rsid w:val="00111206"/>
    <w:rsid w:val="001146B2"/>
    <w:rsid w:val="00116CE7"/>
    <w:rsid w:val="001201FA"/>
    <w:rsid w:val="00127A7C"/>
    <w:rsid w:val="00130B81"/>
    <w:rsid w:val="00140AA8"/>
    <w:rsid w:val="0014421B"/>
    <w:rsid w:val="00156794"/>
    <w:rsid w:val="00166DF8"/>
    <w:rsid w:val="001715A9"/>
    <w:rsid w:val="00172A27"/>
    <w:rsid w:val="001745C6"/>
    <w:rsid w:val="00177A5D"/>
    <w:rsid w:val="001809DD"/>
    <w:rsid w:val="00194699"/>
    <w:rsid w:val="001950D6"/>
    <w:rsid w:val="00195EDC"/>
    <w:rsid w:val="001A382C"/>
    <w:rsid w:val="001A64CC"/>
    <w:rsid w:val="001A76A2"/>
    <w:rsid w:val="001B2F4F"/>
    <w:rsid w:val="001B662F"/>
    <w:rsid w:val="001B7F63"/>
    <w:rsid w:val="001C2060"/>
    <w:rsid w:val="001C4F34"/>
    <w:rsid w:val="001C6D90"/>
    <w:rsid w:val="001D1FBC"/>
    <w:rsid w:val="001D6824"/>
    <w:rsid w:val="001F19F4"/>
    <w:rsid w:val="001F4FAC"/>
    <w:rsid w:val="00205CEE"/>
    <w:rsid w:val="00207DDD"/>
    <w:rsid w:val="002110DB"/>
    <w:rsid w:val="0021785F"/>
    <w:rsid w:val="00223317"/>
    <w:rsid w:val="00227025"/>
    <w:rsid w:val="00240199"/>
    <w:rsid w:val="00246D70"/>
    <w:rsid w:val="002470F3"/>
    <w:rsid w:val="00253624"/>
    <w:rsid w:val="002545EF"/>
    <w:rsid w:val="0025593B"/>
    <w:rsid w:val="002571F5"/>
    <w:rsid w:val="00261610"/>
    <w:rsid w:val="00262788"/>
    <w:rsid w:val="00273591"/>
    <w:rsid w:val="00274887"/>
    <w:rsid w:val="00274E3E"/>
    <w:rsid w:val="00281ABD"/>
    <w:rsid w:val="002820B2"/>
    <w:rsid w:val="00293B52"/>
    <w:rsid w:val="00295E2E"/>
    <w:rsid w:val="002A4630"/>
    <w:rsid w:val="002A7D1C"/>
    <w:rsid w:val="002B50E7"/>
    <w:rsid w:val="002C6D0F"/>
    <w:rsid w:val="002D7F8A"/>
    <w:rsid w:val="002E0D1D"/>
    <w:rsid w:val="002E68A8"/>
    <w:rsid w:val="002F49EA"/>
    <w:rsid w:val="00302A7E"/>
    <w:rsid w:val="00314292"/>
    <w:rsid w:val="003203A3"/>
    <w:rsid w:val="0032503A"/>
    <w:rsid w:val="003369F0"/>
    <w:rsid w:val="00353564"/>
    <w:rsid w:val="0036524B"/>
    <w:rsid w:val="00371567"/>
    <w:rsid w:val="00375E4A"/>
    <w:rsid w:val="003858D6"/>
    <w:rsid w:val="0039208F"/>
    <w:rsid w:val="003B3F2A"/>
    <w:rsid w:val="003C388C"/>
    <w:rsid w:val="003C4CFD"/>
    <w:rsid w:val="003D0118"/>
    <w:rsid w:val="003D1DC7"/>
    <w:rsid w:val="003E4890"/>
    <w:rsid w:val="003E61BF"/>
    <w:rsid w:val="003F03A8"/>
    <w:rsid w:val="00400A65"/>
    <w:rsid w:val="00412456"/>
    <w:rsid w:val="004132E8"/>
    <w:rsid w:val="004208E3"/>
    <w:rsid w:val="00421BC8"/>
    <w:rsid w:val="00421C9B"/>
    <w:rsid w:val="00427D8E"/>
    <w:rsid w:val="0043142C"/>
    <w:rsid w:val="00431D0F"/>
    <w:rsid w:val="00434BE0"/>
    <w:rsid w:val="00441F0A"/>
    <w:rsid w:val="00442A9A"/>
    <w:rsid w:val="00445E86"/>
    <w:rsid w:val="004473BE"/>
    <w:rsid w:val="004532DE"/>
    <w:rsid w:val="00474E04"/>
    <w:rsid w:val="00475152"/>
    <w:rsid w:val="00481380"/>
    <w:rsid w:val="004820E0"/>
    <w:rsid w:val="00487D09"/>
    <w:rsid w:val="00490A9C"/>
    <w:rsid w:val="004A3EA4"/>
    <w:rsid w:val="004B5ACF"/>
    <w:rsid w:val="004C32A1"/>
    <w:rsid w:val="004C3C43"/>
    <w:rsid w:val="004D0C5A"/>
    <w:rsid w:val="004D0E11"/>
    <w:rsid w:val="004D25D5"/>
    <w:rsid w:val="004E1396"/>
    <w:rsid w:val="004E13C4"/>
    <w:rsid w:val="004E2E27"/>
    <w:rsid w:val="004E5230"/>
    <w:rsid w:val="004F1247"/>
    <w:rsid w:val="00515553"/>
    <w:rsid w:val="005228D3"/>
    <w:rsid w:val="00533960"/>
    <w:rsid w:val="00541066"/>
    <w:rsid w:val="0054465D"/>
    <w:rsid w:val="005601FA"/>
    <w:rsid w:val="00560BA9"/>
    <w:rsid w:val="00563EBC"/>
    <w:rsid w:val="0056565E"/>
    <w:rsid w:val="00565BED"/>
    <w:rsid w:val="005830E6"/>
    <w:rsid w:val="005A2E2A"/>
    <w:rsid w:val="005A66CB"/>
    <w:rsid w:val="005C1085"/>
    <w:rsid w:val="005C759E"/>
    <w:rsid w:val="005D10AF"/>
    <w:rsid w:val="005D7A29"/>
    <w:rsid w:val="005E13E8"/>
    <w:rsid w:val="00606C30"/>
    <w:rsid w:val="00613EFC"/>
    <w:rsid w:val="00616DD9"/>
    <w:rsid w:val="00620556"/>
    <w:rsid w:val="00620856"/>
    <w:rsid w:val="006241C7"/>
    <w:rsid w:val="0063183B"/>
    <w:rsid w:val="00643C90"/>
    <w:rsid w:val="00653090"/>
    <w:rsid w:val="00663D21"/>
    <w:rsid w:val="006661AC"/>
    <w:rsid w:val="00666A57"/>
    <w:rsid w:val="006701D8"/>
    <w:rsid w:val="0067046B"/>
    <w:rsid w:val="00670B99"/>
    <w:rsid w:val="00674598"/>
    <w:rsid w:val="006864FE"/>
    <w:rsid w:val="006A6995"/>
    <w:rsid w:val="006B0B41"/>
    <w:rsid w:val="006B7ACD"/>
    <w:rsid w:val="006C2241"/>
    <w:rsid w:val="006C3A18"/>
    <w:rsid w:val="006C5312"/>
    <w:rsid w:val="006C61CD"/>
    <w:rsid w:val="006E3C22"/>
    <w:rsid w:val="006F0971"/>
    <w:rsid w:val="006F1D66"/>
    <w:rsid w:val="006F612E"/>
    <w:rsid w:val="007035AB"/>
    <w:rsid w:val="007064E0"/>
    <w:rsid w:val="007076A7"/>
    <w:rsid w:val="00710BF3"/>
    <w:rsid w:val="007122D4"/>
    <w:rsid w:val="00712AB3"/>
    <w:rsid w:val="007179EF"/>
    <w:rsid w:val="0072115B"/>
    <w:rsid w:val="0072334C"/>
    <w:rsid w:val="00723479"/>
    <w:rsid w:val="007245E6"/>
    <w:rsid w:val="00727689"/>
    <w:rsid w:val="00730DC8"/>
    <w:rsid w:val="0074174D"/>
    <w:rsid w:val="00743812"/>
    <w:rsid w:val="00746F74"/>
    <w:rsid w:val="00756A15"/>
    <w:rsid w:val="00767618"/>
    <w:rsid w:val="00783695"/>
    <w:rsid w:val="0078517D"/>
    <w:rsid w:val="00792A01"/>
    <w:rsid w:val="007A0EEB"/>
    <w:rsid w:val="007B3BBD"/>
    <w:rsid w:val="007C39FA"/>
    <w:rsid w:val="007D4CB7"/>
    <w:rsid w:val="007D5482"/>
    <w:rsid w:val="007D5622"/>
    <w:rsid w:val="007E44D9"/>
    <w:rsid w:val="007F1E4E"/>
    <w:rsid w:val="007F7F45"/>
    <w:rsid w:val="0080654F"/>
    <w:rsid w:val="00806B9E"/>
    <w:rsid w:val="0081453E"/>
    <w:rsid w:val="00822423"/>
    <w:rsid w:val="008305B2"/>
    <w:rsid w:val="00830B7D"/>
    <w:rsid w:val="00832480"/>
    <w:rsid w:val="0083350B"/>
    <w:rsid w:val="00833A7C"/>
    <w:rsid w:val="00835F10"/>
    <w:rsid w:val="0084366D"/>
    <w:rsid w:val="008534E8"/>
    <w:rsid w:val="008549FB"/>
    <w:rsid w:val="00854E01"/>
    <w:rsid w:val="00854F6E"/>
    <w:rsid w:val="00870CE4"/>
    <w:rsid w:val="008835C2"/>
    <w:rsid w:val="0089053D"/>
    <w:rsid w:val="00894619"/>
    <w:rsid w:val="00895BEA"/>
    <w:rsid w:val="008A0FF4"/>
    <w:rsid w:val="008A3497"/>
    <w:rsid w:val="008A35DF"/>
    <w:rsid w:val="008A4D10"/>
    <w:rsid w:val="008A5AF6"/>
    <w:rsid w:val="008A5D98"/>
    <w:rsid w:val="008B14D0"/>
    <w:rsid w:val="008B69C6"/>
    <w:rsid w:val="008C1B60"/>
    <w:rsid w:val="008C2DD7"/>
    <w:rsid w:val="008C4EE5"/>
    <w:rsid w:val="008C6467"/>
    <w:rsid w:val="008D4351"/>
    <w:rsid w:val="008E06DB"/>
    <w:rsid w:val="008E6D0D"/>
    <w:rsid w:val="008F02F1"/>
    <w:rsid w:val="008F2CA7"/>
    <w:rsid w:val="0090558A"/>
    <w:rsid w:val="00915EBD"/>
    <w:rsid w:val="00917A54"/>
    <w:rsid w:val="00926104"/>
    <w:rsid w:val="009339AE"/>
    <w:rsid w:val="0094409B"/>
    <w:rsid w:val="009443F6"/>
    <w:rsid w:val="00954167"/>
    <w:rsid w:val="0096498F"/>
    <w:rsid w:val="009659A3"/>
    <w:rsid w:val="00972E10"/>
    <w:rsid w:val="00973B12"/>
    <w:rsid w:val="0097514F"/>
    <w:rsid w:val="00984F3B"/>
    <w:rsid w:val="009C1920"/>
    <w:rsid w:val="009C675A"/>
    <w:rsid w:val="009D29B0"/>
    <w:rsid w:val="009D5082"/>
    <w:rsid w:val="009D6F6B"/>
    <w:rsid w:val="009D7B49"/>
    <w:rsid w:val="009E0E15"/>
    <w:rsid w:val="009E2BF7"/>
    <w:rsid w:val="009E5C5F"/>
    <w:rsid w:val="009E73FD"/>
    <w:rsid w:val="009E7934"/>
    <w:rsid w:val="009F4FA5"/>
    <w:rsid w:val="009F51AC"/>
    <w:rsid w:val="009F6B32"/>
    <w:rsid w:val="00A0606A"/>
    <w:rsid w:val="00A15656"/>
    <w:rsid w:val="00A15CB5"/>
    <w:rsid w:val="00A2258D"/>
    <w:rsid w:val="00A22C79"/>
    <w:rsid w:val="00A37CA7"/>
    <w:rsid w:val="00A40693"/>
    <w:rsid w:val="00A43553"/>
    <w:rsid w:val="00A459AA"/>
    <w:rsid w:val="00A62375"/>
    <w:rsid w:val="00A62B41"/>
    <w:rsid w:val="00A65982"/>
    <w:rsid w:val="00A7137F"/>
    <w:rsid w:val="00A743A3"/>
    <w:rsid w:val="00A87595"/>
    <w:rsid w:val="00A8778B"/>
    <w:rsid w:val="00A91506"/>
    <w:rsid w:val="00A94D7D"/>
    <w:rsid w:val="00AA1AA4"/>
    <w:rsid w:val="00AA2BE0"/>
    <w:rsid w:val="00AA5741"/>
    <w:rsid w:val="00AB41F0"/>
    <w:rsid w:val="00AC1E83"/>
    <w:rsid w:val="00AD088A"/>
    <w:rsid w:val="00AD1654"/>
    <w:rsid w:val="00AE24A4"/>
    <w:rsid w:val="00AE64CD"/>
    <w:rsid w:val="00AF2F38"/>
    <w:rsid w:val="00B11A9D"/>
    <w:rsid w:val="00B4113F"/>
    <w:rsid w:val="00B414A8"/>
    <w:rsid w:val="00B44C59"/>
    <w:rsid w:val="00B44DCA"/>
    <w:rsid w:val="00B4536A"/>
    <w:rsid w:val="00B511DF"/>
    <w:rsid w:val="00B52E63"/>
    <w:rsid w:val="00B54A25"/>
    <w:rsid w:val="00B6027C"/>
    <w:rsid w:val="00B617F4"/>
    <w:rsid w:val="00B6469F"/>
    <w:rsid w:val="00B66438"/>
    <w:rsid w:val="00B819A1"/>
    <w:rsid w:val="00B82294"/>
    <w:rsid w:val="00B83393"/>
    <w:rsid w:val="00B92EA8"/>
    <w:rsid w:val="00BA29DB"/>
    <w:rsid w:val="00BA444C"/>
    <w:rsid w:val="00BA6B5A"/>
    <w:rsid w:val="00BB305E"/>
    <w:rsid w:val="00BC00E5"/>
    <w:rsid w:val="00BC0F3D"/>
    <w:rsid w:val="00BC2570"/>
    <w:rsid w:val="00BC5C12"/>
    <w:rsid w:val="00BE544A"/>
    <w:rsid w:val="00BE736F"/>
    <w:rsid w:val="00BF0196"/>
    <w:rsid w:val="00BF04E2"/>
    <w:rsid w:val="00BF2499"/>
    <w:rsid w:val="00BF7BC7"/>
    <w:rsid w:val="00C04BB6"/>
    <w:rsid w:val="00C04BF7"/>
    <w:rsid w:val="00C05D0E"/>
    <w:rsid w:val="00C11645"/>
    <w:rsid w:val="00C12882"/>
    <w:rsid w:val="00C20A89"/>
    <w:rsid w:val="00C26074"/>
    <w:rsid w:val="00C3069F"/>
    <w:rsid w:val="00C32D4D"/>
    <w:rsid w:val="00C353D5"/>
    <w:rsid w:val="00C45FF7"/>
    <w:rsid w:val="00C474D6"/>
    <w:rsid w:val="00C5014D"/>
    <w:rsid w:val="00C54BC5"/>
    <w:rsid w:val="00C567D5"/>
    <w:rsid w:val="00C83B0A"/>
    <w:rsid w:val="00C86ACC"/>
    <w:rsid w:val="00C87714"/>
    <w:rsid w:val="00CB4CFB"/>
    <w:rsid w:val="00CB720D"/>
    <w:rsid w:val="00CC19E2"/>
    <w:rsid w:val="00CC1DDA"/>
    <w:rsid w:val="00CC3F7B"/>
    <w:rsid w:val="00CC5274"/>
    <w:rsid w:val="00CC575C"/>
    <w:rsid w:val="00CD3A75"/>
    <w:rsid w:val="00CE1E0C"/>
    <w:rsid w:val="00CE277E"/>
    <w:rsid w:val="00CF2BC9"/>
    <w:rsid w:val="00D15D3E"/>
    <w:rsid w:val="00D233FB"/>
    <w:rsid w:val="00D32354"/>
    <w:rsid w:val="00D3565B"/>
    <w:rsid w:val="00D35C5A"/>
    <w:rsid w:val="00D45E0D"/>
    <w:rsid w:val="00D46CD4"/>
    <w:rsid w:val="00D56867"/>
    <w:rsid w:val="00D77E90"/>
    <w:rsid w:val="00D8132E"/>
    <w:rsid w:val="00D8192B"/>
    <w:rsid w:val="00D819C5"/>
    <w:rsid w:val="00D93E53"/>
    <w:rsid w:val="00DA5D18"/>
    <w:rsid w:val="00DB61A4"/>
    <w:rsid w:val="00DB6E0E"/>
    <w:rsid w:val="00DC197B"/>
    <w:rsid w:val="00DD325F"/>
    <w:rsid w:val="00DE5A74"/>
    <w:rsid w:val="00DE65CD"/>
    <w:rsid w:val="00DF135C"/>
    <w:rsid w:val="00DF77D7"/>
    <w:rsid w:val="00DF7D61"/>
    <w:rsid w:val="00E02A7F"/>
    <w:rsid w:val="00E07880"/>
    <w:rsid w:val="00E10A2A"/>
    <w:rsid w:val="00E514CE"/>
    <w:rsid w:val="00E57A20"/>
    <w:rsid w:val="00E75541"/>
    <w:rsid w:val="00E75AA2"/>
    <w:rsid w:val="00E82621"/>
    <w:rsid w:val="00E82AA9"/>
    <w:rsid w:val="00E85E2F"/>
    <w:rsid w:val="00E87DCC"/>
    <w:rsid w:val="00E87FAC"/>
    <w:rsid w:val="00E931AF"/>
    <w:rsid w:val="00E97FE4"/>
    <w:rsid w:val="00EC1B50"/>
    <w:rsid w:val="00ED5046"/>
    <w:rsid w:val="00EE2F85"/>
    <w:rsid w:val="00F05BF8"/>
    <w:rsid w:val="00F15657"/>
    <w:rsid w:val="00F17644"/>
    <w:rsid w:val="00F278B5"/>
    <w:rsid w:val="00F36321"/>
    <w:rsid w:val="00F370D1"/>
    <w:rsid w:val="00F403E2"/>
    <w:rsid w:val="00F41F1B"/>
    <w:rsid w:val="00F51B27"/>
    <w:rsid w:val="00F5233C"/>
    <w:rsid w:val="00F542F2"/>
    <w:rsid w:val="00F7003B"/>
    <w:rsid w:val="00F721D8"/>
    <w:rsid w:val="00F76B38"/>
    <w:rsid w:val="00F77C9A"/>
    <w:rsid w:val="00F77F9E"/>
    <w:rsid w:val="00F90664"/>
    <w:rsid w:val="00F91FAE"/>
    <w:rsid w:val="00F93069"/>
    <w:rsid w:val="00F9402A"/>
    <w:rsid w:val="00F94C18"/>
    <w:rsid w:val="00FA5042"/>
    <w:rsid w:val="00FB13D0"/>
    <w:rsid w:val="00FB2570"/>
    <w:rsid w:val="00FB576C"/>
    <w:rsid w:val="00FB5BB7"/>
    <w:rsid w:val="00FC3752"/>
    <w:rsid w:val="00FC4CF8"/>
    <w:rsid w:val="00FD2AA6"/>
    <w:rsid w:val="00FE61AD"/>
    <w:rsid w:val="00FE7E8A"/>
    <w:rsid w:val="00FF477D"/>
    <w:rsid w:val="00FF703E"/>
    <w:rsid w:val="14835D42"/>
    <w:rsid w:val="2A677DD6"/>
    <w:rsid w:val="2C0172F2"/>
    <w:rsid w:val="2CA16D7D"/>
    <w:rsid w:val="4B760846"/>
    <w:rsid w:val="4BB73A39"/>
    <w:rsid w:val="4E4C1B02"/>
    <w:rsid w:val="57B103D4"/>
    <w:rsid w:val="5A7F6E2F"/>
    <w:rsid w:val="72876AE8"/>
    <w:rsid w:val="78444EA7"/>
    <w:rsid w:val="7B387BD5"/>
    <w:rsid w:val="7B4403A1"/>
    <w:rsid w:val="CB6FE33E"/>
    <w:rsid w:val="FEFF86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rPr>
      <w:lang w:val="zh-CN"/>
    </w:rPr>
  </w:style>
  <w:style w:type="paragraph" w:styleId="3">
    <w:name w:val="Date"/>
    <w:basedOn w:val="1"/>
    <w:next w:val="1"/>
    <w:link w:val="19"/>
    <w:unhideWhenUsed/>
    <w:qFormat/>
    <w:uiPriority w:val="99"/>
    <w:pPr>
      <w:ind w:left="100" w:leftChars="2500"/>
    </w:pPr>
    <w:rPr>
      <w:lang w:val="zh-CN"/>
    </w:rPr>
  </w:style>
  <w:style w:type="paragraph" w:styleId="4">
    <w:name w:val="Balloon Text"/>
    <w:basedOn w:val="1"/>
    <w:link w:val="14"/>
    <w:unhideWhenUsed/>
    <w:qFormat/>
    <w:uiPriority w:val="99"/>
    <w:rPr>
      <w:sz w:val="18"/>
      <w:szCs w:val="18"/>
      <w:lang w:val="zh-CN"/>
    </w:rPr>
  </w:style>
  <w:style w:type="paragraph" w:styleId="5">
    <w:name w:val="footer"/>
    <w:basedOn w:val="1"/>
    <w:link w:val="16"/>
    <w:unhideWhenUsed/>
    <w:qFormat/>
    <w:uiPriority w:val="99"/>
    <w:pPr>
      <w:tabs>
        <w:tab w:val="center" w:pos="4153"/>
        <w:tab w:val="right" w:pos="8306"/>
      </w:tabs>
      <w:snapToGrid w:val="0"/>
      <w:jc w:val="left"/>
    </w:pPr>
    <w:rPr>
      <w:sz w:val="18"/>
      <w:szCs w:val="18"/>
      <w:lang w:val="zh-CN"/>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styleId="7">
    <w:name w:val="Normal (Web)"/>
    <w:basedOn w:val="1"/>
    <w:semiHidden/>
    <w:unhideWhenUsed/>
    <w:qFormat/>
    <w:uiPriority w:val="0"/>
    <w:pPr>
      <w:spacing w:before="100" w:beforeAutospacing="1" w:after="100" w:afterAutospacing="1"/>
      <w:jc w:val="left"/>
    </w:pPr>
    <w:rPr>
      <w:rFonts w:ascii="Calibri" w:hAnsi="Calibri"/>
      <w:kern w:val="0"/>
      <w:sz w:val="24"/>
      <w:szCs w:val="22"/>
    </w:rPr>
  </w:style>
  <w:style w:type="paragraph" w:styleId="8">
    <w:name w:val="annotation subject"/>
    <w:basedOn w:val="2"/>
    <w:next w:val="2"/>
    <w:link w:val="18"/>
    <w:unhideWhenUsed/>
    <w:qFormat/>
    <w:uiPriority w:val="99"/>
    <w:rPr>
      <w:b/>
      <w:bCs/>
    </w:rPr>
  </w:style>
  <w:style w:type="character" w:styleId="11">
    <w:name w:val="page number"/>
    <w:basedOn w:val="10"/>
    <w:qFormat/>
    <w:uiPriority w:val="0"/>
  </w:style>
  <w:style w:type="character" w:styleId="12">
    <w:name w:val="Hyperlink"/>
    <w:semiHidden/>
    <w:unhideWhenUsed/>
    <w:qFormat/>
    <w:uiPriority w:val="99"/>
    <w:rPr>
      <w:color w:val="0000FF"/>
      <w:u w:val="single"/>
    </w:rPr>
  </w:style>
  <w:style w:type="character" w:styleId="13">
    <w:name w:val="annotation reference"/>
    <w:unhideWhenUsed/>
    <w:qFormat/>
    <w:uiPriority w:val="99"/>
    <w:rPr>
      <w:sz w:val="21"/>
      <w:szCs w:val="21"/>
    </w:rPr>
  </w:style>
  <w:style w:type="character" w:customStyle="1" w:styleId="14">
    <w:name w:val="批注框文本 Char"/>
    <w:link w:val="4"/>
    <w:semiHidden/>
    <w:qFormat/>
    <w:uiPriority w:val="99"/>
    <w:rPr>
      <w:kern w:val="2"/>
      <w:sz w:val="18"/>
      <w:szCs w:val="18"/>
    </w:rPr>
  </w:style>
  <w:style w:type="character" w:customStyle="1" w:styleId="15">
    <w:name w:val="批注文字 Char"/>
    <w:link w:val="2"/>
    <w:semiHidden/>
    <w:qFormat/>
    <w:uiPriority w:val="99"/>
    <w:rPr>
      <w:kern w:val="2"/>
      <w:sz w:val="21"/>
      <w:szCs w:val="24"/>
    </w:rPr>
  </w:style>
  <w:style w:type="character" w:customStyle="1" w:styleId="16">
    <w:name w:val="页脚 Char"/>
    <w:link w:val="5"/>
    <w:qFormat/>
    <w:uiPriority w:val="99"/>
    <w:rPr>
      <w:kern w:val="2"/>
      <w:sz w:val="18"/>
      <w:szCs w:val="18"/>
    </w:rPr>
  </w:style>
  <w:style w:type="character" w:customStyle="1" w:styleId="17">
    <w:name w:val="页眉 Char"/>
    <w:link w:val="6"/>
    <w:semiHidden/>
    <w:qFormat/>
    <w:uiPriority w:val="99"/>
    <w:rPr>
      <w:kern w:val="2"/>
      <w:sz w:val="18"/>
      <w:szCs w:val="18"/>
    </w:rPr>
  </w:style>
  <w:style w:type="character" w:customStyle="1" w:styleId="18">
    <w:name w:val="批注主题 Char"/>
    <w:link w:val="8"/>
    <w:semiHidden/>
    <w:qFormat/>
    <w:uiPriority w:val="99"/>
    <w:rPr>
      <w:b/>
      <w:bCs/>
      <w:kern w:val="2"/>
      <w:sz w:val="21"/>
      <w:szCs w:val="24"/>
    </w:rPr>
  </w:style>
  <w:style w:type="character" w:customStyle="1" w:styleId="19">
    <w:name w:val="日期 Char"/>
    <w:link w:val="3"/>
    <w:semiHidden/>
    <w:qFormat/>
    <w:uiPriority w:val="99"/>
    <w:rPr>
      <w:kern w:val="2"/>
      <w:sz w:val="21"/>
      <w:szCs w:val="24"/>
    </w:rPr>
  </w:style>
  <w:style w:type="paragraph" w:customStyle="1" w:styleId="20">
    <w:name w:val="列出段落1"/>
    <w:basedOn w:val="1"/>
    <w:qFormat/>
    <w:uiPriority w:val="34"/>
    <w:pPr>
      <w:ind w:firstLine="420" w:firstLineChars="200"/>
    </w:pPr>
    <w:rPr>
      <w:rFonts w:ascii="Calibri" w:hAnsi="Calibri"/>
      <w:szCs w:val="22"/>
    </w:rPr>
  </w:style>
  <w:style w:type="paragraph" w:styleId="21">
    <w:name w:val="List Paragraph"/>
    <w:basedOn w:val="1"/>
    <w:qFormat/>
    <w:uiPriority w:val="34"/>
    <w:pPr>
      <w:ind w:firstLine="420" w:firstLineChars="200"/>
    </w:pPr>
    <w:rPr>
      <w:rFonts w:ascii="等线" w:hAnsi="等线" w:eastAsia="等线"/>
      <w:szCs w:val="22"/>
    </w:rPr>
  </w:style>
  <w:style w:type="paragraph" w:customStyle="1" w:styleId="22">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1334</Words>
  <Characters>2256</Characters>
  <Lines>18</Lines>
  <Paragraphs>5</Paragraphs>
  <TotalTime>33</TotalTime>
  <ScaleCrop>false</ScaleCrop>
  <LinksUpToDate>false</LinksUpToDate>
  <CharactersWithSpaces>2339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2022-05-13T06:38:00Z</dcterms:created>
  <dc:creator>Legend User</dc:creator>
  <cp:lastModifiedBy>ysgz</cp:lastModifiedBy>
  <cp:lastPrinted>2021-03-20T02:15:00Z</cp:lastPrinted>
  <dcterms:modified xsi:type="dcterms:W3CDTF">2023-07-20T11:08:29Z</dcterms:modified>
  <dc:title>××产品质量监督抽查实施细则</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513503964B4349A396FA05CF51CBE156_13</vt:lpwstr>
  </property>
</Properties>
</file>