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贵州省建筑</w:t>
      </w:r>
      <w:r>
        <w:rPr>
          <w:rFonts w:hint="eastAsia" w:ascii="方正小标宋_GBK" w:hAnsi="Times New Roman" w:eastAsia="方正小标宋_GBK" w:cs="方正仿宋简体"/>
          <w:color w:val="000000"/>
          <w:sz w:val="32"/>
          <w:szCs w:val="32"/>
          <w:lang w:eastAsia="zh-CN"/>
        </w:rPr>
        <w:t>用</w:t>
      </w:r>
      <w:r>
        <w:rPr>
          <w:rFonts w:hint="eastAsia" w:ascii="方正小标宋_GBK" w:hAnsi="Times New Roman" w:eastAsia="方正小标宋_GBK" w:cs="方正仿宋简体"/>
          <w:color w:val="000000"/>
          <w:sz w:val="32"/>
          <w:szCs w:val="32"/>
        </w:rPr>
        <w:t>隔墙板产品质量监督抽查实施细则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楷体_GB2312" w:hAnsi="楷体_GB2312" w:eastAsia="楷体_GB2312" w:cs="楷体_GB2312"/>
          <w:color w:val="000000"/>
          <w:szCs w:val="21"/>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2023年版</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color w:val="000000"/>
          <w:szCs w:val="21"/>
        </w:rPr>
      </w:pPr>
      <w:r>
        <w:rPr>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lang w:val="en-US" w:eastAsia="zh-CN"/>
        </w:rPr>
      </w:pPr>
      <w:r>
        <w:rPr>
          <w:rFonts w:hint="eastAsia"/>
          <w:lang w:val="en-US" w:eastAsia="zh-CN"/>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lang w:val="en-US" w:eastAsia="zh-CN"/>
        </w:rPr>
      </w:pPr>
      <w:r>
        <w:rPr>
          <w:rFonts w:hint="eastAsia" w:ascii="Times New Roman" w:hAnsi="Times New Roman" w:cs="Times New Roman"/>
          <w:color w:val="000000"/>
        </w:rPr>
        <w:t>每批次产品抽取样品</w:t>
      </w:r>
      <w:r>
        <w:rPr>
          <w:rFonts w:hint="eastAsia" w:ascii="Times New Roman" w:hAnsi="Times New Roman" w:cs="Times New Roman"/>
          <w:color w:val="000000"/>
          <w:lang w:val="en-US" w:eastAsia="zh-CN"/>
        </w:rPr>
        <w:t>9块</w:t>
      </w:r>
      <w:r>
        <w:rPr>
          <w:rFonts w:hint="eastAsia" w:ascii="Times New Roman" w:hAnsi="Times New Roman" w:cs="Times New Roman"/>
          <w:color w:val="000000"/>
        </w:rPr>
        <w:t>，其中</w:t>
      </w:r>
      <w:r>
        <w:rPr>
          <w:rFonts w:hint="eastAsia" w:ascii="Times New Roman" w:hAnsi="Times New Roman" w:cs="Times New Roman"/>
          <w:color w:val="000000"/>
          <w:lang w:val="en-US" w:eastAsia="zh-CN"/>
        </w:rPr>
        <w:t>5块</w:t>
      </w:r>
      <w:r>
        <w:rPr>
          <w:rFonts w:hint="eastAsia" w:ascii="Times New Roman" w:hAnsi="Times New Roman" w:cs="Times New Roman"/>
          <w:color w:val="000000"/>
        </w:rPr>
        <w:t>作为检验样品，</w:t>
      </w:r>
      <w:r>
        <w:rPr>
          <w:rFonts w:hint="eastAsia" w:ascii="Times New Roman" w:hAnsi="Times New Roman" w:cs="Times New Roman"/>
          <w:color w:val="000000"/>
          <w:lang w:val="en-US" w:eastAsia="zh-CN"/>
        </w:rPr>
        <w:t>4块</w:t>
      </w:r>
      <w:r>
        <w:rPr>
          <w:rFonts w:hint="eastAsia" w:ascii="Times New Roman" w:hAnsi="Times New Roman" w:cs="Times New Roman"/>
          <w:color w:val="000000"/>
        </w:rPr>
        <w:t>作为备用样品。</w:t>
      </w:r>
    </w:p>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表1 建筑用轻质隔墙条板</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23451-2009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抗弯承载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表2 建筑隔墙用轻质条板</w:t>
      </w:r>
    </w:p>
    <w:tbl>
      <w:tblPr>
        <w:tblStyle w:val="3"/>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JG/T 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抗弯破坏荷载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cstheme="minorEastAsia"/>
                <w:color w:val="000000"/>
                <w:sz w:val="21"/>
                <w:szCs w:val="21"/>
                <w:lang w:val="en-US" w:eastAsia="zh-CN"/>
              </w:rPr>
              <w:t>GB/T 30100-2013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JG/T 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val="en-US" w:eastAsia="zh-CN"/>
              </w:rPr>
              <w:t>9</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表3 灰渣混凝土空心隔墙板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23449-2009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抗弯承载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eastAsia="黑体"/>
          <w:color w:val="000000"/>
          <w:szCs w:val="21"/>
          <w:lang w:val="en-US" w:eastAsia="zh-CN"/>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表4石膏空心条板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JC/T 829-2010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抗弯破坏荷载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表5 建筑隔墙用保温条板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面密度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23450-2009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抗弯承载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含水率</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吊挂力</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8</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软化系数</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10</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imes New Roman" w:hAnsi="Times New Roman" w:cs="Times New Roman"/>
          <w:color w:val="000000"/>
          <w:lang w:val="en-US" w:eastAsia="zh-CN"/>
        </w:rPr>
        <w:t>表6 钢丝网架水泥聚苯乙烯夹芯板（GSJ板）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每平方米面积的重量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JC/T 623-1996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轴向荷载允许值</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JC/T 623-1996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横向荷载允许值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抗冲击性能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放射性</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GB 6566-2010</w:t>
            </w: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eastAsia="黑体"/>
          <w:color w:val="000000"/>
          <w:szCs w:val="21"/>
          <w:lang w:val="en-US" w:eastAsia="zh-CN"/>
        </w:rPr>
      </w:pPr>
      <w:r>
        <w:rPr>
          <w:rFonts w:hint="eastAsia" w:ascii="Times New Roman" w:hAnsi="Times New Roman" w:cs="Times New Roman"/>
          <w:color w:val="000000"/>
          <w:lang w:val="en-US" w:eastAsia="zh-CN"/>
        </w:rPr>
        <w:t>表7 蒸压加气混凝土板</w:t>
      </w:r>
    </w:p>
    <w:tbl>
      <w:tblPr>
        <w:tblStyle w:val="3"/>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干密度</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GB/T 11969-2020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抗压强度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rPr>
              <w:t>干燥收缩值</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抗冻性</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导热系数</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rPr>
            </w:pPr>
            <w:r>
              <w:rPr>
                <w:rFonts w:hint="eastAsia" w:asciiTheme="minorEastAsia" w:hAnsiTheme="minorEastAsia" w:cstheme="minorEastAsia"/>
                <w:color w:val="000000"/>
                <w:sz w:val="21"/>
                <w:szCs w:val="21"/>
                <w:lang w:val="en-US" w:eastAsia="zh-CN"/>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钢筋粘着力</w:t>
            </w:r>
          </w:p>
        </w:tc>
        <w:tc>
          <w:tcPr>
            <w:tcW w:w="3927" w:type="dxa"/>
            <w:vMerge w:val="restart"/>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eastAsiaTheme="minorEastAsia" w:cstheme="minorEastAsia"/>
                <w:color w:val="000000"/>
                <w:sz w:val="21"/>
                <w:szCs w:val="21"/>
                <w:lang w:val="en-US"/>
              </w:rPr>
            </w:pPr>
            <w:r>
              <w:rPr>
                <w:rFonts w:hint="eastAsia" w:asciiTheme="minorEastAsia" w:hAnsiTheme="minorEastAsia" w:cstheme="minorEastAsia"/>
                <w:color w:val="000000"/>
                <w:sz w:val="21"/>
                <w:szCs w:val="21"/>
                <w:lang w:val="en-US" w:eastAsia="zh-CN"/>
              </w:rPr>
              <w:t>GB/T 15762-2020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纵向钢筋保护层厚度</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8</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cstheme="minorEastAsia"/>
                <w:color w:val="000000"/>
                <w:sz w:val="21"/>
                <w:szCs w:val="21"/>
                <w:lang w:eastAsia="zh-CN"/>
              </w:rPr>
            </w:pPr>
            <w:r>
              <w:rPr>
                <w:rFonts w:hint="eastAsia" w:asciiTheme="minorEastAsia" w:hAnsiTheme="minorEastAsia" w:cstheme="minorEastAsia"/>
                <w:color w:val="000000"/>
                <w:sz w:val="21"/>
                <w:szCs w:val="21"/>
                <w:lang w:eastAsia="zh-CN"/>
              </w:rPr>
              <w:t>结构性能</w:t>
            </w:r>
          </w:p>
        </w:tc>
        <w:tc>
          <w:tcPr>
            <w:tcW w:w="3927" w:type="dxa"/>
            <w:vMerge w:val="continue"/>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rPr>
      </w:pPr>
      <w:r>
        <w:rPr>
          <w:color w:val="00000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color w:val="000000"/>
          <w:szCs w:val="21"/>
          <w:lang w:val="en-US" w:eastAsia="zh-CN"/>
        </w:rPr>
      </w:pPr>
      <w:r>
        <w:rPr>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eastAsia="黑体"/>
          <w:color w:val="000000"/>
          <w:szCs w:val="21"/>
        </w:rPr>
        <w:t>3 判定规则</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cstheme="minorEastAsia"/>
          <w:color w:val="000000"/>
          <w:szCs w:val="21"/>
          <w:lang w:val="en-US" w:eastAsia="zh-CN"/>
        </w:rPr>
      </w:pPr>
      <w:r>
        <w:rPr>
          <w:rFonts w:hint="eastAsia" w:asciiTheme="minorEastAsia" w:hAnsiTheme="minorEastAsia" w:eastAsiaTheme="minorEastAsia" w:cstheme="minorEastAsia"/>
          <w:color w:val="000000"/>
          <w:szCs w:val="21"/>
        </w:rPr>
        <w:t>3.1依据标准</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GB/T 23451-2009</w:t>
      </w:r>
      <w:r>
        <w:rPr>
          <w:rFonts w:hint="eastAsia" w:asciiTheme="minorEastAsia" w:hAnsiTheme="minorEastAsia" w:eastAsiaTheme="minorEastAsia" w:cstheme="minorEastAsia"/>
          <w:color w:val="000000"/>
          <w:szCs w:val="21"/>
        </w:rPr>
        <w:t xml:space="preserve"> 建筑用轻质隔墙条板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val="en-US" w:eastAsia="zh-CN"/>
        </w:rPr>
        <w:t>JG/T 169-2016  建筑隔墙用轻质条板通用技术要求</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GB/T 23449-2009</w:t>
      </w:r>
      <w:r>
        <w:rPr>
          <w:rFonts w:hint="eastAsia" w:asciiTheme="minorEastAsia" w:hAnsiTheme="minorEastAsia" w:eastAsiaTheme="minorEastAsia" w:cstheme="minorEastAsia"/>
          <w:color w:val="000000"/>
          <w:szCs w:val="21"/>
        </w:rPr>
        <w:t xml:space="preserve"> 灰渣混凝土空心隔墙板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JC/T 829-2010</w:t>
      </w:r>
      <w:r>
        <w:rPr>
          <w:rFonts w:hint="eastAsia" w:asciiTheme="minorEastAsia" w:hAnsiTheme="minorEastAsia" w:eastAsiaTheme="minorEastAsia" w:cstheme="minorEastAsia"/>
          <w:color w:val="000000"/>
          <w:szCs w:val="21"/>
        </w:rPr>
        <w:t xml:space="preserve"> 石膏空心条板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eastAsia="zh-CN"/>
        </w:rPr>
      </w:pPr>
      <w:r>
        <w:rPr>
          <w:rFonts w:hint="eastAsia" w:asciiTheme="minorEastAsia" w:hAnsiTheme="minorEastAsia" w:cstheme="minorEastAsia"/>
          <w:color w:val="000000"/>
          <w:szCs w:val="21"/>
          <w:lang w:eastAsia="zh-CN"/>
        </w:rPr>
        <w:t>GB/T 23450-2009</w:t>
      </w:r>
      <w:r>
        <w:rPr>
          <w:rFonts w:hint="eastAsia" w:asciiTheme="minorEastAsia" w:hAnsiTheme="minorEastAsia" w:eastAsiaTheme="minorEastAsia" w:cstheme="minorEastAsia"/>
          <w:color w:val="000000"/>
          <w:szCs w:val="21"/>
        </w:rPr>
        <w:t xml:space="preserve"> 建筑隔墙用保温条板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lang w:eastAsia="zh-CN"/>
        </w:rPr>
        <w:t>JC/T 623-1996</w:t>
      </w:r>
      <w:r>
        <w:rPr>
          <w:rFonts w:hint="eastAsia" w:asciiTheme="minorEastAsia" w:hAnsiTheme="minorEastAsia" w:eastAsiaTheme="minorEastAsia" w:cstheme="minorEastAsia"/>
          <w:color w:val="000000"/>
          <w:szCs w:val="21"/>
        </w:rPr>
        <w:t xml:space="preserve"> 钢丝网架水泥聚苯乙烯夹芯板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GB/T 15762</w:t>
      </w:r>
      <w:r>
        <w:rPr>
          <w:rFonts w:hint="eastAsia" w:asciiTheme="minorEastAsia" w:hAnsiTheme="minorEastAsia" w:cstheme="minorEastAsia"/>
          <w:color w:val="000000"/>
          <w:szCs w:val="21"/>
          <w:lang w:val="en-US" w:eastAsia="zh-CN"/>
        </w:rPr>
        <w:t>-2020</w:t>
      </w:r>
      <w:r>
        <w:rPr>
          <w:rFonts w:hint="eastAsia" w:asciiTheme="minorEastAsia" w:hAnsiTheme="minorEastAsia" w:eastAsiaTheme="minorEastAsia" w:cstheme="minorEastAsia"/>
          <w:color w:val="000000"/>
          <w:szCs w:val="21"/>
          <w:lang w:val="en-US" w:eastAsia="zh-CN"/>
        </w:rPr>
        <w:t xml:space="preserve">  蒸压加气混凝土板</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color w:val="000000"/>
          <w:szCs w:val="21"/>
        </w:rPr>
      </w:pPr>
      <w:r>
        <w:rPr>
          <w:rFonts w:hint="eastAsia" w:asciiTheme="minorEastAsia" w:hAnsiTheme="minorEastAsia" w:eastAsiaTheme="minorEastAsia" w:cstheme="minorEastAsia"/>
          <w:color w:val="000000"/>
          <w:szCs w:val="21"/>
        </w:rPr>
        <w:t>3.2判定</w:t>
      </w:r>
      <w:r>
        <w:rPr>
          <w:color w:val="000000"/>
          <w:szCs w:val="21"/>
        </w:rPr>
        <w:t>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olor w:val="000000"/>
          <w:szCs w:val="21"/>
          <w:lang w:val="en-US" w:eastAsia="zh-CN"/>
        </w:rPr>
      </w:pPr>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color w:val="000000"/>
          <w:szCs w:val="21"/>
          <w:lang w:val="en-US" w:eastAsia="zh-CN"/>
        </w:rPr>
      </w:pPr>
      <w:r>
        <w:rPr>
          <w:rFonts w:hint="eastAsia"/>
          <w:color w:val="000000"/>
          <w:szCs w:val="21"/>
        </w:rPr>
        <w:t>本细则代替《贵州省市场监管局关于发布2022年版贵州省产品质量监督抽查实施细则（第一批）的公告》（黔市监公告〔2022〕46号）中的《贵州省</w:t>
      </w:r>
      <w:r>
        <w:rPr>
          <w:rFonts w:hint="eastAsia"/>
          <w:color w:val="000000"/>
          <w:szCs w:val="21"/>
          <w:lang w:eastAsia="zh-CN"/>
        </w:rPr>
        <w:t>建筑用隔墙板</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2022年版</w:t>
      </w:r>
      <w:r>
        <w:rPr>
          <w:rFonts w:hint="eastAsia"/>
          <w:color w:val="000000"/>
          <w:szCs w:val="21"/>
        </w:rPr>
        <w:t>）》。</w:t>
      </w:r>
      <w:bookmarkStart w:id="0" w:name="_GoBack"/>
      <w:bookmarkEnd w:id="0"/>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53DC6026"/>
    <w:rsid w:val="050A6E54"/>
    <w:rsid w:val="0828477E"/>
    <w:rsid w:val="1827079B"/>
    <w:rsid w:val="2A3403CA"/>
    <w:rsid w:val="2B890A91"/>
    <w:rsid w:val="330752D4"/>
    <w:rsid w:val="42C2309C"/>
    <w:rsid w:val="453E4C4F"/>
    <w:rsid w:val="461A3D5A"/>
    <w:rsid w:val="46A66A71"/>
    <w:rsid w:val="4B316808"/>
    <w:rsid w:val="4CAF176B"/>
    <w:rsid w:val="52251A59"/>
    <w:rsid w:val="53DC6026"/>
    <w:rsid w:val="5FFE4D98"/>
    <w:rsid w:val="66D84C6F"/>
    <w:rsid w:val="68FE0AD3"/>
    <w:rsid w:val="728A6A07"/>
    <w:rsid w:val="73F549DB"/>
    <w:rsid w:val="778911AF"/>
    <w:rsid w:val="7DCF9AC0"/>
    <w:rsid w:val="F3FF9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1201</Words>
  <Characters>1501</Characters>
  <Lines>0</Lines>
  <Paragraphs>0</Paragraphs>
  <TotalTime>1</TotalTime>
  <ScaleCrop>false</ScaleCrop>
  <LinksUpToDate>false</LinksUpToDate>
  <CharactersWithSpaces>1546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2020-06-03T13:31:00Z</dcterms:created>
  <dc:creator>青鸟</dc:creator>
  <cp:lastModifiedBy>ysgz</cp:lastModifiedBy>
  <dcterms:modified xsi:type="dcterms:W3CDTF">2023-07-20T17:13:32Z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19ADB5719F37406F9086B60C2AC87EB7</vt:lpwstr>
  </property>
  <property fmtid="{D5CDD505-2E9C-101B-9397-08002B2CF9AE}" pid="4" name="KSOSaveFontToCloudKey">
    <vt:lpwstr>425104523_cloud</vt:lpwstr>
  </property>
</Properties>
</file>