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黑体" w:eastAsia="方正小标宋_GBK"/>
          <w:sz w:val="32"/>
          <w:szCs w:val="32"/>
        </w:rPr>
      </w:pPr>
      <w:r>
        <w:rPr>
          <w:rFonts w:hint="eastAsia" w:ascii="方正小标宋_GBK" w:hAnsi="黑体" w:eastAsia="方正小标宋_GBK"/>
          <w:sz w:val="32"/>
          <w:szCs w:val="32"/>
        </w:rPr>
        <w:t>贵州省汽车内饰材料产品质量监督抽查实施细则</w:t>
      </w:r>
    </w:p>
    <w:p>
      <w:pPr>
        <w:ind w:firstLine="3360" w:firstLineChars="1050"/>
        <w:rPr>
          <w:rFonts w:hint="eastAsia" w:ascii="楷体_GB2312" w:hAnsi="楷体_GB2312" w:eastAsia="楷体_GB2312" w:cs="楷体_GB2312"/>
          <w:sz w:val="32"/>
          <w:szCs w:val="32"/>
        </w:rPr>
      </w:pPr>
      <w:bookmarkStart w:id="0" w:name="_GoBack"/>
      <w:r>
        <w:rPr>
          <w:rFonts w:hint="eastAsia" w:ascii="楷体_GB2312" w:hAnsi="楷体_GB2312" w:eastAsia="楷体_GB2312" w:cs="楷体_GB2312"/>
          <w:sz w:val="32"/>
          <w:szCs w:val="32"/>
        </w:rPr>
        <w:t>(2023年版)</w:t>
      </w:r>
    </w:p>
    <w:bookmarkEnd w:id="0"/>
    <w:p>
      <w:pPr>
        <w:spacing w:line="360" w:lineRule="auto"/>
        <w:jc w:val="both"/>
        <w:rPr>
          <w:rFonts w:ascii="黑体" w:eastAsia="黑体" w:hAnsiTheme="minorHAnsi" w:cstheme="minorBidi"/>
          <w:sz w:val="21"/>
          <w:szCs w:val="21"/>
        </w:rPr>
      </w:pPr>
    </w:p>
    <w:p>
      <w:pPr>
        <w:spacing w:line="360" w:lineRule="auto"/>
        <w:jc w:val="both"/>
        <w:rPr>
          <w:rFonts w:ascii="黑体" w:eastAsia="黑体" w:hAnsiTheme="minorHAnsi" w:cstheme="minorBidi"/>
          <w:sz w:val="21"/>
          <w:szCs w:val="21"/>
        </w:rPr>
      </w:pPr>
      <w:r>
        <w:rPr>
          <w:rFonts w:hint="eastAsia" w:ascii="黑体" w:eastAsia="黑体" w:hAnsiTheme="minorHAnsi" w:cstheme="minorBidi"/>
          <w:sz w:val="21"/>
          <w:szCs w:val="21"/>
        </w:rPr>
        <w:t>1 抽样方法</w:t>
      </w:r>
    </w:p>
    <w:p>
      <w:pPr>
        <w:spacing w:line="360" w:lineRule="auto"/>
        <w:ind w:firstLine="420" w:firstLineChars="200"/>
        <w:jc w:val="both"/>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以随机抽样的方式在被抽样生产者、销售者的待销产品中抽取。</w:t>
      </w:r>
    </w:p>
    <w:p>
      <w:pPr>
        <w:spacing w:line="360" w:lineRule="auto"/>
        <w:ind w:firstLine="420" w:firstLineChars="200"/>
        <w:jc w:val="both"/>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随机数一般可使用随机数表等方法产生。</w:t>
      </w:r>
    </w:p>
    <w:p>
      <w:pPr>
        <w:spacing w:line="360" w:lineRule="auto"/>
        <w:ind w:firstLine="420" w:firstLineChars="200"/>
        <w:jc w:val="both"/>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每批次产品中截取样品10块，其中5块作为检验样品，5块作为备用样品。如果汽车内饰材料沿不同方向有不同燃烧速度，则应在不同方向分别截取样品10块，其中5块作为检验样品，5块作为备用样品。要求每块样品的尺寸不小于356mm×100mm。</w:t>
      </w:r>
    </w:p>
    <w:p>
      <w:pPr>
        <w:spacing w:line="360" w:lineRule="auto"/>
        <w:jc w:val="both"/>
        <w:rPr>
          <w:rFonts w:asciiTheme="minorEastAsia" w:hAnsiTheme="minorEastAsia" w:eastAsiaTheme="minorEastAsia" w:cstheme="minorBidi"/>
          <w:sz w:val="21"/>
          <w:szCs w:val="21"/>
        </w:rPr>
      </w:pPr>
    </w:p>
    <w:p>
      <w:pPr>
        <w:spacing w:line="360" w:lineRule="auto"/>
        <w:jc w:val="both"/>
        <w:rPr>
          <w:rFonts w:ascii="黑体" w:eastAsia="黑体" w:hAnsiTheme="minorHAnsi" w:cstheme="minorBidi"/>
          <w:sz w:val="21"/>
          <w:szCs w:val="21"/>
        </w:rPr>
      </w:pPr>
      <w:r>
        <w:rPr>
          <w:rFonts w:hint="eastAsia" w:ascii="黑体" w:eastAsia="黑体" w:hAnsiTheme="minorHAnsi" w:cstheme="minorBidi"/>
          <w:sz w:val="21"/>
          <w:szCs w:val="21"/>
        </w:rPr>
        <w:t>2 检验依据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3" w:type="dxa"/>
          </w:tcPr>
          <w:p>
            <w:pPr>
              <w:jc w:val="center"/>
              <w:rPr>
                <w:rFonts w:asciiTheme="minorEastAsia" w:hAnsiTheme="minorEastAsia" w:eastAsiaTheme="minorEastAsia" w:cstheme="minorBidi"/>
                <w:sz w:val="21"/>
                <w:szCs w:val="21"/>
                <w:lang w:val="zh-CN"/>
              </w:rPr>
            </w:pPr>
            <w:r>
              <w:rPr>
                <w:rFonts w:asciiTheme="minorEastAsia" w:hAnsiTheme="minorEastAsia" w:eastAsiaTheme="minorEastAsia" w:cstheme="minorBidi"/>
                <w:sz w:val="21"/>
                <w:szCs w:val="21"/>
              </w:rPr>
              <w:t>检验项目</w:t>
            </w:r>
          </w:p>
        </w:tc>
        <w:tc>
          <w:tcPr>
            <w:tcW w:w="4263" w:type="dxa"/>
          </w:tcPr>
          <w:p>
            <w:pPr>
              <w:jc w:val="center"/>
              <w:rPr>
                <w:rFonts w:asciiTheme="minorEastAsia" w:hAnsiTheme="minorEastAsia" w:eastAsiaTheme="minorEastAsia" w:cstheme="minorBidi"/>
                <w:sz w:val="21"/>
                <w:szCs w:val="21"/>
                <w:lang w:val="zh-CN"/>
              </w:rPr>
            </w:pPr>
            <w:r>
              <w:rPr>
                <w:rFonts w:asciiTheme="minorEastAsia" w:hAnsiTheme="minorEastAsia" w:eastAsiaTheme="minorEastAsia" w:cstheme="minorBidi"/>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3" w:type="dxa"/>
            <w:vAlign w:val="center"/>
          </w:tcPr>
          <w:p>
            <w:pPr>
              <w:jc w:val="center"/>
              <w:rPr>
                <w:rFonts w:asciiTheme="minorEastAsia" w:hAnsiTheme="minorEastAsia" w:eastAsiaTheme="minorEastAsia" w:cstheme="minorBidi"/>
                <w:sz w:val="21"/>
                <w:szCs w:val="21"/>
              </w:rPr>
            </w:pPr>
            <w:r>
              <w:rPr>
                <w:rFonts w:asciiTheme="minorEastAsia" w:hAnsiTheme="minorEastAsia" w:eastAsiaTheme="minorEastAsia" w:cstheme="minorBidi"/>
                <w:sz w:val="21"/>
                <w:szCs w:val="21"/>
              </w:rPr>
              <w:t>燃烧特性</w:t>
            </w:r>
            <w:r>
              <w:rPr>
                <w:rFonts w:hint="eastAsia" w:asciiTheme="minorEastAsia" w:hAnsiTheme="minorEastAsia" w:eastAsiaTheme="minorEastAsia" w:cstheme="minorBidi"/>
                <w:sz w:val="21"/>
                <w:szCs w:val="21"/>
              </w:rPr>
              <w:t>(燃烧距离、燃烧时间、燃烧速度）</w:t>
            </w:r>
          </w:p>
        </w:tc>
        <w:tc>
          <w:tcPr>
            <w:tcW w:w="4263" w:type="dxa"/>
            <w:vAlign w:val="center"/>
          </w:tcPr>
          <w:p>
            <w:pPr>
              <w:jc w:val="center"/>
              <w:rPr>
                <w:rFonts w:asciiTheme="minorEastAsia" w:hAnsiTheme="minorEastAsia" w:eastAsiaTheme="minorEastAsia" w:cstheme="minorBidi"/>
                <w:sz w:val="21"/>
                <w:szCs w:val="21"/>
              </w:rPr>
            </w:pPr>
            <w:r>
              <w:rPr>
                <w:rFonts w:asciiTheme="minorEastAsia" w:hAnsiTheme="minorEastAsia" w:eastAsiaTheme="minorEastAsia" w:cstheme="minorBidi"/>
                <w:sz w:val="21"/>
                <w:szCs w:val="21"/>
              </w:rPr>
              <w:t>GB 8410-2006</w:t>
            </w:r>
          </w:p>
        </w:tc>
      </w:tr>
    </w:tbl>
    <w:p>
      <w:pPr>
        <w:autoSpaceDE w:val="0"/>
        <w:autoSpaceDN w:val="0"/>
        <w:snapToGrid w:val="0"/>
        <w:rPr>
          <w:rFonts w:hAnsi="宋体"/>
          <w:color w:val="000000"/>
          <w:szCs w:val="21"/>
        </w:rPr>
      </w:pP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执行企业标准、团体标准、地方标准的产品，检验项目参照上述内容执行。</w:t>
      </w: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凡是注日期的文件，其随后所有的修改单（不包括勘误的内容）或修订版不适用于本细则。凡是不注日期的文件，其最新版本适用于本细则。</w:t>
      </w:r>
    </w:p>
    <w:p>
      <w:pPr>
        <w:spacing w:line="360" w:lineRule="auto"/>
        <w:jc w:val="both"/>
        <w:rPr>
          <w:rFonts w:ascii="黑体" w:eastAsia="黑体" w:hAnsiTheme="minorHAnsi" w:cstheme="minorBidi"/>
          <w:sz w:val="21"/>
          <w:szCs w:val="21"/>
        </w:rPr>
      </w:pPr>
    </w:p>
    <w:p>
      <w:pPr>
        <w:spacing w:line="360" w:lineRule="auto"/>
        <w:jc w:val="both"/>
        <w:rPr>
          <w:rFonts w:ascii="黑体" w:eastAsia="黑体" w:hAnsiTheme="minorHAnsi" w:cstheme="minorBidi"/>
          <w:sz w:val="21"/>
          <w:szCs w:val="21"/>
        </w:rPr>
      </w:pPr>
      <w:r>
        <w:rPr>
          <w:rFonts w:hint="eastAsia" w:ascii="黑体" w:eastAsia="黑体" w:hAnsiTheme="minorHAnsi" w:cstheme="minorBidi"/>
          <w:sz w:val="21"/>
          <w:szCs w:val="21"/>
        </w:rPr>
        <w:t>3 判定规则</w:t>
      </w:r>
    </w:p>
    <w:p>
      <w:pPr>
        <w:spacing w:line="360" w:lineRule="auto"/>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3.1依据标准</w:t>
      </w: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GB 8410-2006 汽车内饰材料的燃烧特性</w:t>
      </w: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现行有效的企业标准、团体标准、地方标准及产品明示质量要求。</w:t>
      </w:r>
    </w:p>
    <w:p>
      <w:pPr>
        <w:spacing w:line="360" w:lineRule="auto"/>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3.2判定原则</w:t>
      </w: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经检验，检验项目全部合格，判定为被抽查产品所检项目未发现不合格；检验项目中任一项或一项以上不合格，判定为被抽查产品不合格。</w:t>
      </w: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若被检产品明示的质量要求高于本细则中检验项目依据的标准要求时，应按被检产品明示的质量要求判定。</w:t>
      </w: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若被检产品明示的质量要求低于本细则中检验项目依据的强制性标准要求时，应按照强制性标准要求判定。</w:t>
      </w: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若被检产品明示的质量要求低于或包含本细则中检验项目依据的推荐性标准要求时，应以被检产品明示的质量要求判定。</w:t>
      </w: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若被检产品明示的质量要求缺少本细则中检验项目依据的强制性标准要求时，应按照强制性标准要求判定。</w:t>
      </w:r>
    </w:p>
    <w:p>
      <w:pPr>
        <w:spacing w:line="360" w:lineRule="auto"/>
        <w:ind w:firstLine="420" w:firstLineChars="200"/>
        <w:jc w:val="both"/>
        <w:rPr>
          <w:rFonts w:asciiTheme="minorHAnsi" w:hAnsiTheme="minorHAnsi" w:eastAsiaTheme="minorEastAsia" w:cstheme="minorBidi"/>
          <w:sz w:val="21"/>
          <w:szCs w:val="21"/>
        </w:rPr>
      </w:pPr>
      <w:r>
        <w:rPr>
          <w:rFonts w:hint="eastAsia" w:asciiTheme="minorHAnsi" w:hAnsiTheme="minorHAnsi" w:eastAsiaTheme="minorEastAsia" w:cstheme="minorBidi"/>
          <w:sz w:val="21"/>
          <w:szCs w:val="21"/>
        </w:rPr>
        <w:t>若被检产品明示的质量要求缺少本细则中检验项目依据的推荐性标准要求时，该项目不参与判定。</w:t>
      </w:r>
    </w:p>
    <w:p>
      <w:pPr>
        <w:spacing w:line="360" w:lineRule="auto"/>
        <w:jc w:val="both"/>
        <w:rPr>
          <w:rFonts w:ascii="黑体" w:eastAsia="黑体" w:hAnsiTheme="minorHAnsi" w:cstheme="minorBidi"/>
          <w:sz w:val="21"/>
          <w:szCs w:val="21"/>
        </w:rPr>
      </w:pPr>
    </w:p>
    <w:p>
      <w:pPr>
        <w:spacing w:line="360" w:lineRule="auto"/>
        <w:jc w:val="both"/>
        <w:rPr>
          <w:rFonts w:ascii="黑体" w:eastAsia="黑体" w:hAnsiTheme="minorHAnsi" w:cstheme="minorBidi"/>
          <w:sz w:val="21"/>
          <w:szCs w:val="21"/>
        </w:rPr>
      </w:pPr>
      <w:r>
        <w:rPr>
          <w:rFonts w:hint="eastAsia" w:ascii="黑体" w:eastAsia="黑体" w:hAnsiTheme="minorHAnsi" w:cstheme="minorBidi"/>
          <w:sz w:val="21"/>
          <w:szCs w:val="21"/>
        </w:rPr>
        <w:t>4 附则</w:t>
      </w:r>
    </w:p>
    <w:p>
      <w:pPr>
        <w:pStyle w:val="2"/>
        <w:rPr>
          <w:rFonts w:asciiTheme="minorHAnsi" w:hAnsiTheme="minorHAnsi" w:eastAsiaTheme="minorEastAsia" w:cstheme="minorBidi"/>
          <w:b w:val="0"/>
          <w:kern w:val="2"/>
          <w:sz w:val="21"/>
          <w:szCs w:val="21"/>
        </w:rPr>
      </w:pPr>
      <w:r>
        <w:rPr>
          <w:rFonts w:hint="eastAsia" w:asciiTheme="minorHAnsi" w:hAnsiTheme="minorHAnsi" w:eastAsiaTheme="minorEastAsia" w:cstheme="minorBidi"/>
          <w:b w:val="0"/>
          <w:kern w:val="2"/>
          <w:sz w:val="21"/>
          <w:szCs w:val="21"/>
        </w:rPr>
        <w:t xml:space="preserve">   本细则为首次发布。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hOGFjZmY4ZmRkMTM2MWFiOGQ0NDM5NzgwMjc3M2UifQ=="/>
  </w:docVars>
  <w:rsids>
    <w:rsidRoot w:val="1BF7209C"/>
    <w:rsid w:val="001C0340"/>
    <w:rsid w:val="00245917"/>
    <w:rsid w:val="003C0676"/>
    <w:rsid w:val="007418B5"/>
    <w:rsid w:val="007F5B06"/>
    <w:rsid w:val="00984705"/>
    <w:rsid w:val="00CB0957"/>
    <w:rsid w:val="00E910EA"/>
    <w:rsid w:val="0FAE084D"/>
    <w:rsid w:val="162A7DB9"/>
    <w:rsid w:val="18E56AA0"/>
    <w:rsid w:val="1BF7209C"/>
    <w:rsid w:val="1E7201CF"/>
    <w:rsid w:val="373A6660"/>
    <w:rsid w:val="488E4660"/>
    <w:rsid w:val="52C93BFA"/>
    <w:rsid w:val="57DF3B2F"/>
    <w:rsid w:val="5C89421B"/>
    <w:rsid w:val="5DC15346"/>
    <w:rsid w:val="5EF3593A"/>
    <w:rsid w:val="6623500C"/>
    <w:rsid w:val="6DA15366"/>
    <w:rsid w:val="72666E46"/>
    <w:rsid w:val="768216BE"/>
    <w:rsid w:val="7B847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Calibri" w:hAnsi="Calibri" w:eastAsia="宋体" w:cs="Times New Roman"/>
      <w:kern w:val="2"/>
      <w:sz w:val="28"/>
      <w:szCs w:val="24"/>
      <w:lang w:val="en-US" w:eastAsia="zh-CN" w:bidi="ar-SA"/>
    </w:rPr>
  </w:style>
  <w:style w:type="paragraph" w:styleId="2">
    <w:name w:val="heading 2"/>
    <w:basedOn w:val="1"/>
    <w:next w:val="1"/>
    <w:qFormat/>
    <w:uiPriority w:val="9"/>
    <w:pPr>
      <w:outlineLvl w:val="1"/>
    </w:pPr>
    <w:rPr>
      <w:rFonts w:ascii="宋体" w:hAnsi="宋体"/>
      <w:b/>
      <w:kern w:val="0"/>
      <w:sz w:val="30"/>
      <w:szCs w:val="36"/>
    </w:rPr>
  </w:style>
  <w:style w:type="paragraph" w:styleId="3">
    <w:name w:val="heading 5"/>
    <w:basedOn w:val="1"/>
    <w:next w:val="1"/>
    <w:semiHidden/>
    <w:unhideWhenUsed/>
    <w:qFormat/>
    <w:uiPriority w:val="0"/>
    <w:pPr>
      <w:keepNext/>
      <w:keepLines/>
      <w:spacing w:before="280" w:after="290"/>
      <w:outlineLvl w:val="4"/>
    </w:pPr>
    <w:rPr>
      <w:b/>
      <w:bCs/>
      <w:sz w:val="24"/>
      <w:szCs w:val="2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0"/>
    <w:rPr>
      <w:rFonts w:ascii="Calibri" w:hAnsi="Calibri" w:eastAsia="宋体" w:cs="Times New Roman"/>
      <w:kern w:val="2"/>
      <w:sz w:val="18"/>
      <w:szCs w:val="18"/>
    </w:rPr>
  </w:style>
  <w:style w:type="character" w:customStyle="1" w:styleId="10">
    <w:name w:val="页脚 Char"/>
    <w:basedOn w:val="8"/>
    <w:link w:val="4"/>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113</Words>
  <Characters>645</Characters>
  <Lines>5</Lines>
  <Paragraphs>1</Paragraphs>
  <TotalTime>1</TotalTime>
  <ScaleCrop>false</ScaleCrop>
  <LinksUpToDate>false</LinksUpToDate>
  <CharactersWithSpaces>757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2023-07-19T15:25:00Z</dcterms:created>
  <dc:creator>NARCOTIC'</dc:creator>
  <cp:lastModifiedBy>ysgz</cp:lastModifiedBy>
  <dcterms:modified xsi:type="dcterms:W3CDTF">2023-07-20T17:15:04Z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B43E5AD40F3642BEBA08ACE5F3A0F3BC_13</vt:lpwstr>
  </property>
</Properties>
</file>