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s="方正仿宋简体"/>
          <w:color w:val="000000"/>
          <w:sz w:val="32"/>
          <w:szCs w:val="32"/>
        </w:rPr>
      </w:pPr>
      <w:r>
        <w:rPr>
          <w:rFonts w:hint="eastAsia" w:eastAsia="方正小标宋简体" w:cs="方正仿宋简体"/>
          <w:color w:val="000000"/>
          <w:sz w:val="32"/>
          <w:szCs w:val="32"/>
        </w:rPr>
        <w:t>贵州省</w:t>
      </w:r>
      <w:r>
        <w:rPr>
          <w:rFonts w:eastAsia="方正小标宋简体" w:cs="方正仿宋简体"/>
          <w:color w:val="000000"/>
          <w:sz w:val="32"/>
          <w:szCs w:val="32"/>
        </w:rPr>
        <w:t>电线电缆产品质量监督抽查实施细则</w:t>
      </w:r>
    </w:p>
    <w:p>
      <w:pPr>
        <w:adjustRightInd w:val="0"/>
        <w:snapToGrid w:val="0"/>
        <w:spacing w:line="594" w:lineRule="exact"/>
        <w:jc w:val="center"/>
        <w:rPr>
          <w:rFonts w:hint="eastAsia" w:ascii="楷体_GB2312" w:hAnsi="楷体_GB2312" w:eastAsia="楷体_GB2312" w:cs="楷体_GB2312"/>
          <w:color w:val="000000"/>
          <w:sz w:val="32"/>
          <w:szCs w:val="32"/>
        </w:rPr>
      </w:pPr>
      <w:bookmarkStart w:id="0" w:name="_GoBack"/>
      <w:r>
        <w:rPr>
          <w:rFonts w:hint="eastAsia" w:ascii="楷体_GB2312" w:hAnsi="楷体_GB2312" w:eastAsia="楷体_GB2312" w:cs="楷体_GB2312"/>
          <w:color w:val="000000"/>
          <w:sz w:val="32"/>
          <w:szCs w:val="32"/>
        </w:rPr>
        <w:t>（2023年版）</w:t>
      </w:r>
    </w:p>
    <w:bookmarkEnd w:id="0"/>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rPr>
          <w:color w:val="000000"/>
          <w:szCs w:val="21"/>
        </w:rPr>
      </w:pPr>
      <w:r>
        <w:rPr>
          <w:color w:val="000000"/>
          <w:szCs w:val="21"/>
        </w:rPr>
        <w:t>架空绝缘电缆：每批次产品抽取样品40米，其中20米作为检验样品，20米作为备用样品。</w:t>
      </w:r>
    </w:p>
    <w:p>
      <w:pPr>
        <w:snapToGrid w:val="0"/>
        <w:spacing w:line="440" w:lineRule="exact"/>
        <w:ind w:firstLine="420" w:firstLineChars="200"/>
        <w:rPr>
          <w:color w:val="000000"/>
          <w:szCs w:val="21"/>
        </w:rPr>
      </w:pPr>
      <w:r>
        <w:rPr>
          <w:color w:val="000000"/>
          <w:szCs w:val="21"/>
        </w:rPr>
        <w:t>非阻燃塑料绝缘控制电缆：每批次产品抽取样品40米，其中20米作为检验样品，20米作为备用样品。</w:t>
      </w:r>
    </w:p>
    <w:p>
      <w:pPr>
        <w:snapToGrid w:val="0"/>
        <w:spacing w:line="440" w:lineRule="exact"/>
        <w:ind w:firstLine="420" w:firstLineChars="200"/>
        <w:rPr>
          <w:color w:val="000000"/>
          <w:szCs w:val="21"/>
        </w:rPr>
      </w:pPr>
      <w:r>
        <w:rPr>
          <w:color w:val="000000"/>
          <w:szCs w:val="21"/>
        </w:rPr>
        <w:t>非阻燃挤包绝缘低压电力电缆：每批次产品抽取样品40米，其中20米作为检验样品，20米作为备用样品。</w:t>
      </w:r>
    </w:p>
    <w:p>
      <w:pPr>
        <w:snapToGrid w:val="0"/>
        <w:spacing w:line="440" w:lineRule="exact"/>
        <w:ind w:firstLine="420" w:firstLineChars="200"/>
        <w:rPr>
          <w:color w:val="000000"/>
          <w:szCs w:val="21"/>
        </w:rPr>
      </w:pPr>
      <w:r>
        <w:rPr>
          <w:color w:val="000000"/>
          <w:szCs w:val="21"/>
        </w:rPr>
        <w:t>非阻燃挤包绝缘中压电力电缆：每批次产品抽取样品30米，其中15米作为检验样品，15米作为备用样品。</w:t>
      </w:r>
    </w:p>
    <w:p>
      <w:pPr>
        <w:snapToGrid w:val="0"/>
        <w:spacing w:line="440" w:lineRule="exact"/>
        <w:ind w:firstLine="420" w:firstLineChars="200"/>
        <w:rPr>
          <w:color w:val="000000"/>
          <w:szCs w:val="21"/>
        </w:rPr>
      </w:pPr>
      <w:r>
        <w:rPr>
          <w:color w:val="000000"/>
          <w:szCs w:val="21"/>
        </w:rPr>
        <w:t>非阻燃额定电压450/750V及以下聚氯乙烯绝缘电线电缆：每批次产品抽取样品50米，其中30米作为检验样品，20米作为备用样品。</w:t>
      </w:r>
    </w:p>
    <w:p>
      <w:pPr>
        <w:snapToGrid w:val="0"/>
        <w:spacing w:line="440" w:lineRule="exact"/>
        <w:ind w:firstLine="420" w:firstLineChars="200"/>
        <w:rPr>
          <w:color w:val="000000"/>
          <w:szCs w:val="21"/>
        </w:rPr>
      </w:pPr>
      <w:r>
        <w:rPr>
          <w:color w:val="000000"/>
          <w:szCs w:val="21"/>
        </w:rPr>
        <w:t>阻燃电线电缆：每批次产品抽取样品（非阻燃产品总长度+4X）米，其中（非阻燃检验样品长度+1.5X）米作为检验样品，（非阻燃备用样品长度+2.5X）米作为备用样品。X为成束燃烧试验</w:t>
      </w:r>
      <w:r>
        <w:rPr>
          <w:szCs w:val="21"/>
        </w:rPr>
        <w:t>所需样品长度，计算公式如下：</w:t>
      </w:r>
    </w:p>
    <w:p>
      <w:pPr>
        <w:spacing w:line="360" w:lineRule="auto"/>
        <w:ind w:firstLine="420" w:firstLineChars="200"/>
        <w:rPr>
          <w:szCs w:val="21"/>
        </w:rPr>
      </w:pPr>
      <w:r>
        <w:rPr>
          <w:szCs w:val="21"/>
        </w:rPr>
        <w:t>A类阻燃：X=[7000/(3.14×D</w:t>
      </w:r>
      <w:r>
        <w:rPr>
          <w:szCs w:val="21"/>
          <w:vertAlign w:val="superscript"/>
        </w:rPr>
        <w:t>2</w:t>
      </w:r>
      <w:r>
        <w:rPr>
          <w:szCs w:val="21"/>
        </w:rPr>
        <w:t>/4-S)] 取整×3.5米</w:t>
      </w:r>
    </w:p>
    <w:p>
      <w:pPr>
        <w:spacing w:line="360" w:lineRule="auto"/>
        <w:ind w:firstLine="420" w:firstLineChars="200"/>
        <w:rPr>
          <w:szCs w:val="21"/>
        </w:rPr>
      </w:pPr>
      <w:r>
        <w:rPr>
          <w:szCs w:val="21"/>
        </w:rPr>
        <w:t>B类阻燃：X=[3500/(3.14×D</w:t>
      </w:r>
      <w:r>
        <w:rPr>
          <w:szCs w:val="21"/>
          <w:vertAlign w:val="superscript"/>
        </w:rPr>
        <w:t>2</w:t>
      </w:r>
      <w:r>
        <w:rPr>
          <w:szCs w:val="21"/>
        </w:rPr>
        <w:t>/4-S)] 取整×3.5米</w:t>
      </w:r>
    </w:p>
    <w:p>
      <w:pPr>
        <w:spacing w:line="360" w:lineRule="auto"/>
        <w:ind w:firstLine="420" w:firstLineChars="200"/>
        <w:rPr>
          <w:szCs w:val="21"/>
        </w:rPr>
      </w:pPr>
      <w:r>
        <w:rPr>
          <w:szCs w:val="21"/>
        </w:rPr>
        <w:t>C类阻燃：X=[1500/(3.14×D</w:t>
      </w:r>
      <w:r>
        <w:rPr>
          <w:szCs w:val="21"/>
          <w:vertAlign w:val="superscript"/>
        </w:rPr>
        <w:t>2</w:t>
      </w:r>
      <w:r>
        <w:rPr>
          <w:szCs w:val="21"/>
        </w:rPr>
        <w:t>/4-S)] 取整×3.5米</w:t>
      </w:r>
    </w:p>
    <w:p>
      <w:pPr>
        <w:spacing w:line="360" w:lineRule="auto"/>
        <w:ind w:firstLine="420" w:firstLineChars="200"/>
        <w:rPr>
          <w:szCs w:val="21"/>
        </w:rPr>
      </w:pPr>
      <w:r>
        <w:rPr>
          <w:szCs w:val="21"/>
        </w:rPr>
        <w:t>D类阻燃：X=[500/(3.14×D</w:t>
      </w:r>
      <w:r>
        <w:rPr>
          <w:szCs w:val="21"/>
          <w:vertAlign w:val="superscript"/>
        </w:rPr>
        <w:t>2</w:t>
      </w:r>
      <w:r>
        <w:rPr>
          <w:szCs w:val="21"/>
        </w:rPr>
        <w:t>/4-S)] 取整×3.5米</w:t>
      </w:r>
    </w:p>
    <w:p>
      <w:pPr>
        <w:spacing w:line="360" w:lineRule="auto"/>
        <w:ind w:firstLine="420" w:firstLineChars="200"/>
        <w:rPr>
          <w:szCs w:val="21"/>
        </w:rPr>
      </w:pPr>
      <w:r>
        <w:rPr>
          <w:szCs w:val="21"/>
        </w:rPr>
        <w:t>以上计算公式中，D为电缆成品外径，单位为毫米（mm）；S为所有金属材料的截面积，单位为平方毫米（mm</w:t>
      </w:r>
      <w:r>
        <w:rPr>
          <w:szCs w:val="21"/>
          <w:vertAlign w:val="superscript"/>
        </w:rPr>
        <w:t>2</w:t>
      </w:r>
      <w:r>
        <w:rPr>
          <w:szCs w:val="21"/>
        </w:rPr>
        <w:t>）</w:t>
      </w:r>
    </w:p>
    <w:p>
      <w:pPr>
        <w:snapToGrid w:val="0"/>
        <w:spacing w:line="440" w:lineRule="exact"/>
        <w:rPr>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rPr>
          <w:rFonts w:eastAsia="黑体"/>
          <w:color w:val="000000"/>
          <w:szCs w:val="21"/>
        </w:rPr>
      </w:pPr>
    </w:p>
    <w:tbl>
      <w:tblPr>
        <w:tblStyle w:val="6"/>
        <w:tblW w:w="43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4363"/>
        <w:gridCol w:w="2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46" w:type="pct"/>
            <w:vAlign w:val="center"/>
          </w:tcPr>
          <w:p>
            <w:pPr>
              <w:snapToGrid w:val="0"/>
              <w:jc w:val="center"/>
              <w:rPr>
                <w:color w:val="000000"/>
                <w:szCs w:val="21"/>
              </w:rPr>
            </w:pPr>
            <w:r>
              <w:rPr>
                <w:color w:val="000000"/>
                <w:szCs w:val="21"/>
              </w:rPr>
              <w:t>序号</w:t>
            </w:r>
          </w:p>
        </w:tc>
        <w:tc>
          <w:tcPr>
            <w:tcW w:w="2715" w:type="pct"/>
            <w:vAlign w:val="center"/>
          </w:tcPr>
          <w:p>
            <w:pPr>
              <w:snapToGrid w:val="0"/>
              <w:jc w:val="center"/>
              <w:rPr>
                <w:color w:val="000000"/>
                <w:szCs w:val="21"/>
              </w:rPr>
            </w:pPr>
            <w:r>
              <w:rPr>
                <w:color w:val="000000"/>
                <w:szCs w:val="21"/>
              </w:rPr>
              <w:t>检验项目</w:t>
            </w:r>
          </w:p>
        </w:tc>
        <w:tc>
          <w:tcPr>
            <w:tcW w:w="1739" w:type="pct"/>
            <w:vAlign w:val="center"/>
          </w:tcPr>
          <w:p>
            <w:pPr>
              <w:snapToGrid w:val="0"/>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1</w:t>
            </w:r>
          </w:p>
        </w:tc>
        <w:tc>
          <w:tcPr>
            <w:tcW w:w="2715" w:type="pct"/>
            <w:vAlign w:val="center"/>
          </w:tcPr>
          <w:p>
            <w:pPr>
              <w:jc w:val="center"/>
              <w:rPr>
                <w:bCs/>
                <w:color w:val="000000"/>
                <w:szCs w:val="21"/>
              </w:rPr>
            </w:pPr>
            <w:r>
              <w:rPr>
                <w:bCs/>
                <w:color w:val="000000"/>
                <w:szCs w:val="21"/>
              </w:rPr>
              <w:t>绝缘平均厚度</w:t>
            </w:r>
          </w:p>
        </w:tc>
        <w:tc>
          <w:tcPr>
            <w:tcW w:w="1739" w:type="pct"/>
            <w:vMerge w:val="restart"/>
            <w:vAlign w:val="center"/>
          </w:tcPr>
          <w:p>
            <w:pPr>
              <w:jc w:val="center"/>
              <w:rPr>
                <w:bCs/>
                <w:color w:val="000000"/>
                <w:szCs w:val="21"/>
                <w:lang w:val="de-DE"/>
              </w:rPr>
            </w:pPr>
            <w:r>
              <w:rPr>
                <w:bCs/>
                <w:color w:val="000000"/>
                <w:szCs w:val="21"/>
                <w:lang w:val="de-DE"/>
              </w:rPr>
              <w:t>GB/T 2951.11—2008</w:t>
            </w:r>
          </w:p>
          <w:p>
            <w:pPr>
              <w:jc w:val="center"/>
              <w:rPr>
                <w:bCs/>
                <w:color w:val="000000"/>
                <w:szCs w:val="21"/>
                <w:lang w:val="de-DE"/>
              </w:rPr>
            </w:pPr>
            <w:r>
              <w:rPr>
                <w:bCs/>
                <w:color w:val="000000"/>
                <w:szCs w:val="21"/>
                <w:lang w:val="de-DE"/>
              </w:rPr>
              <w:t>GB/T 5023.2—2008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2</w:t>
            </w:r>
          </w:p>
        </w:tc>
        <w:tc>
          <w:tcPr>
            <w:tcW w:w="2715" w:type="pct"/>
            <w:vAlign w:val="center"/>
          </w:tcPr>
          <w:p>
            <w:pPr>
              <w:jc w:val="center"/>
              <w:rPr>
                <w:bCs/>
                <w:color w:val="000000"/>
                <w:szCs w:val="21"/>
              </w:rPr>
            </w:pPr>
            <w:r>
              <w:rPr>
                <w:bCs/>
                <w:color w:val="000000"/>
                <w:szCs w:val="21"/>
              </w:rPr>
              <w:t>绝缘最薄处厚度</w:t>
            </w:r>
          </w:p>
        </w:tc>
        <w:tc>
          <w:tcPr>
            <w:tcW w:w="1739" w:type="pct"/>
            <w:vMerge w:val="continue"/>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3</w:t>
            </w:r>
          </w:p>
        </w:tc>
        <w:tc>
          <w:tcPr>
            <w:tcW w:w="2715" w:type="pct"/>
            <w:vAlign w:val="center"/>
          </w:tcPr>
          <w:p>
            <w:pPr>
              <w:jc w:val="center"/>
              <w:rPr>
                <w:bCs/>
                <w:color w:val="000000"/>
                <w:szCs w:val="21"/>
              </w:rPr>
            </w:pPr>
            <w:r>
              <w:rPr>
                <w:bCs/>
                <w:color w:val="000000"/>
                <w:szCs w:val="21"/>
              </w:rPr>
              <w:t>护套平均厚度</w:t>
            </w:r>
          </w:p>
        </w:tc>
        <w:tc>
          <w:tcPr>
            <w:tcW w:w="1739" w:type="pct"/>
            <w:vMerge w:val="continue"/>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4</w:t>
            </w:r>
          </w:p>
        </w:tc>
        <w:tc>
          <w:tcPr>
            <w:tcW w:w="2715" w:type="pct"/>
            <w:vAlign w:val="center"/>
          </w:tcPr>
          <w:p>
            <w:pPr>
              <w:jc w:val="center"/>
              <w:rPr>
                <w:bCs/>
                <w:color w:val="000000"/>
                <w:szCs w:val="21"/>
              </w:rPr>
            </w:pPr>
            <w:r>
              <w:rPr>
                <w:bCs/>
                <w:color w:val="000000"/>
                <w:szCs w:val="21"/>
              </w:rPr>
              <w:t>护套最薄处厚度</w:t>
            </w:r>
          </w:p>
        </w:tc>
        <w:tc>
          <w:tcPr>
            <w:tcW w:w="1739" w:type="pct"/>
            <w:vMerge w:val="continue"/>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5</w:t>
            </w:r>
          </w:p>
        </w:tc>
        <w:tc>
          <w:tcPr>
            <w:tcW w:w="2715" w:type="pct"/>
            <w:vAlign w:val="center"/>
          </w:tcPr>
          <w:p>
            <w:pPr>
              <w:jc w:val="center"/>
              <w:rPr>
                <w:bCs/>
                <w:color w:val="000000"/>
                <w:szCs w:val="21"/>
              </w:rPr>
            </w:pPr>
            <w:r>
              <w:rPr>
                <w:bCs/>
                <w:color w:val="000000"/>
                <w:szCs w:val="21"/>
              </w:rPr>
              <w:t>绝缘偏心度</w:t>
            </w:r>
          </w:p>
        </w:tc>
        <w:tc>
          <w:tcPr>
            <w:tcW w:w="1739" w:type="pct"/>
            <w:vAlign w:val="center"/>
          </w:tcPr>
          <w:p>
            <w:pPr>
              <w:jc w:val="center"/>
              <w:rPr>
                <w:bCs/>
                <w:color w:val="000000"/>
                <w:szCs w:val="21"/>
                <w:lang w:val="de-DE"/>
              </w:rPr>
            </w:pPr>
            <w:r>
              <w:rPr>
                <w:bCs/>
                <w:color w:val="000000"/>
                <w:szCs w:val="21"/>
                <w:lang w:val="de-DE"/>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6</w:t>
            </w:r>
          </w:p>
        </w:tc>
        <w:tc>
          <w:tcPr>
            <w:tcW w:w="2715" w:type="pct"/>
            <w:vAlign w:val="center"/>
          </w:tcPr>
          <w:p>
            <w:pPr>
              <w:jc w:val="center"/>
              <w:rPr>
                <w:bCs/>
                <w:color w:val="000000"/>
                <w:szCs w:val="21"/>
              </w:rPr>
            </w:pPr>
            <w:r>
              <w:rPr>
                <w:bCs/>
                <w:color w:val="000000"/>
                <w:szCs w:val="21"/>
              </w:rPr>
              <w:t>导体电阻</w:t>
            </w:r>
          </w:p>
        </w:tc>
        <w:tc>
          <w:tcPr>
            <w:tcW w:w="1739" w:type="pct"/>
            <w:vAlign w:val="center"/>
          </w:tcPr>
          <w:p>
            <w:pPr>
              <w:jc w:val="center"/>
              <w:rPr>
                <w:bCs/>
                <w:color w:val="000000"/>
                <w:szCs w:val="21"/>
                <w:lang w:val="de-DE"/>
              </w:rPr>
            </w:pPr>
            <w:r>
              <w:rPr>
                <w:bCs/>
                <w:color w:val="000000"/>
                <w:szCs w:val="21"/>
                <w:lang w:val="de-DE"/>
              </w:rPr>
              <w:t>GB/T 3048.4—2007</w:t>
            </w:r>
          </w:p>
          <w:p>
            <w:pPr>
              <w:jc w:val="center"/>
              <w:rPr>
                <w:bCs/>
                <w:color w:val="000000"/>
                <w:szCs w:val="21"/>
                <w:lang w:val="de-DE"/>
              </w:rPr>
            </w:pPr>
            <w:r>
              <w:rPr>
                <w:bCs/>
                <w:color w:val="000000"/>
                <w:szCs w:val="21"/>
                <w:lang w:val="de-DE"/>
              </w:rPr>
              <w:t>GB/T 5023.2—2008</w:t>
            </w:r>
          </w:p>
          <w:p>
            <w:pPr>
              <w:jc w:val="center"/>
              <w:rPr>
                <w:bCs/>
                <w:color w:val="000000"/>
                <w:szCs w:val="21"/>
                <w:lang w:val="de-DE"/>
              </w:rPr>
            </w:pPr>
            <w:r>
              <w:rPr>
                <w:bCs/>
                <w:color w:val="000000"/>
                <w:szCs w:val="21"/>
                <w:lang w:val="de-DE"/>
              </w:rPr>
              <w:t>GB/T 3956—2008</w:t>
            </w:r>
          </w:p>
          <w:p>
            <w:pPr>
              <w:jc w:val="center"/>
              <w:rPr>
                <w:bCs/>
                <w:color w:val="000000"/>
                <w:szCs w:val="21"/>
                <w:lang w:val="de-DE"/>
              </w:rPr>
            </w:pPr>
            <w:r>
              <w:rPr>
                <w:bCs/>
                <w:color w:val="000000"/>
                <w:szCs w:val="21"/>
                <w:lang w:val="de-DE"/>
              </w:rPr>
              <w:t>GB/T 12706.1—2020</w:t>
            </w:r>
          </w:p>
          <w:p>
            <w:pPr>
              <w:jc w:val="center"/>
              <w:rPr>
                <w:bCs/>
                <w:color w:val="000000"/>
                <w:szCs w:val="21"/>
                <w:lang w:val="de-DE"/>
              </w:rPr>
            </w:pPr>
            <w:r>
              <w:rPr>
                <w:bCs/>
                <w:color w:val="000000"/>
                <w:szCs w:val="21"/>
                <w:lang w:val="de-DE"/>
              </w:rPr>
              <w:t>GB/T 12706.2—2020</w:t>
            </w:r>
          </w:p>
          <w:p>
            <w:pPr>
              <w:jc w:val="center"/>
              <w:rPr>
                <w:bCs/>
                <w:color w:val="000000"/>
                <w:szCs w:val="21"/>
                <w:lang w:val="de-DE"/>
              </w:rPr>
            </w:pPr>
            <w:r>
              <w:rPr>
                <w:bCs/>
                <w:color w:val="000000"/>
                <w:szCs w:val="21"/>
                <w:lang w:val="de-DE"/>
              </w:rPr>
              <w:t>GB/T 12706.3—2020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7</w:t>
            </w:r>
          </w:p>
        </w:tc>
        <w:tc>
          <w:tcPr>
            <w:tcW w:w="2715" w:type="pct"/>
            <w:vAlign w:val="center"/>
          </w:tcPr>
          <w:p>
            <w:pPr>
              <w:jc w:val="center"/>
              <w:rPr>
                <w:bCs/>
                <w:color w:val="000000"/>
                <w:szCs w:val="21"/>
              </w:rPr>
            </w:pPr>
            <w:r>
              <w:rPr>
                <w:bCs/>
                <w:color w:val="000000"/>
                <w:szCs w:val="21"/>
              </w:rPr>
              <w:t>绝缘老化前抗张强度</w:t>
            </w:r>
          </w:p>
        </w:tc>
        <w:tc>
          <w:tcPr>
            <w:tcW w:w="1739" w:type="pct"/>
            <w:vMerge w:val="restart"/>
            <w:vAlign w:val="center"/>
          </w:tcPr>
          <w:p>
            <w:pPr>
              <w:jc w:val="center"/>
              <w:rPr>
                <w:bCs/>
                <w:color w:val="000000"/>
                <w:szCs w:val="21"/>
              </w:rPr>
            </w:pPr>
            <w:r>
              <w:rPr>
                <w:bCs/>
                <w:color w:val="000000"/>
                <w:szCs w:val="21"/>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8</w:t>
            </w:r>
          </w:p>
        </w:tc>
        <w:tc>
          <w:tcPr>
            <w:tcW w:w="2715" w:type="pct"/>
            <w:vAlign w:val="center"/>
          </w:tcPr>
          <w:p>
            <w:pPr>
              <w:jc w:val="center"/>
              <w:rPr>
                <w:bCs/>
                <w:color w:val="000000"/>
                <w:szCs w:val="21"/>
              </w:rPr>
            </w:pPr>
            <w:r>
              <w:rPr>
                <w:bCs/>
                <w:color w:val="000000"/>
                <w:szCs w:val="21"/>
              </w:rPr>
              <w:t>绝缘老化前断裂伸长率</w:t>
            </w:r>
          </w:p>
        </w:tc>
        <w:tc>
          <w:tcPr>
            <w:tcW w:w="1739" w:type="pct"/>
            <w:vMerge w:val="continue"/>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9</w:t>
            </w:r>
          </w:p>
        </w:tc>
        <w:tc>
          <w:tcPr>
            <w:tcW w:w="2715" w:type="pct"/>
            <w:vAlign w:val="center"/>
          </w:tcPr>
          <w:p>
            <w:pPr>
              <w:jc w:val="center"/>
              <w:rPr>
                <w:bCs/>
                <w:color w:val="000000"/>
                <w:szCs w:val="21"/>
              </w:rPr>
            </w:pPr>
            <w:r>
              <w:rPr>
                <w:bCs/>
                <w:color w:val="000000"/>
                <w:szCs w:val="21"/>
              </w:rPr>
              <w:t>绝缘老化后抗张强度</w:t>
            </w:r>
          </w:p>
        </w:tc>
        <w:tc>
          <w:tcPr>
            <w:tcW w:w="1739" w:type="pct"/>
            <w:vMerge w:val="restart"/>
            <w:vAlign w:val="center"/>
          </w:tcPr>
          <w:p>
            <w:pPr>
              <w:jc w:val="center"/>
              <w:rPr>
                <w:bCs/>
                <w:color w:val="000000"/>
                <w:szCs w:val="21"/>
              </w:rPr>
            </w:pPr>
            <w:r>
              <w:rPr>
                <w:bCs/>
                <w:color w:val="000000"/>
                <w:szCs w:val="21"/>
              </w:rPr>
              <w:t>GB/T 2951.11—2008</w:t>
            </w:r>
          </w:p>
          <w:p>
            <w:pPr>
              <w:jc w:val="center"/>
              <w:rPr>
                <w:bCs/>
                <w:color w:val="000000"/>
                <w:szCs w:val="21"/>
              </w:rPr>
            </w:pPr>
            <w:r>
              <w:rPr>
                <w:bCs/>
                <w:color w:val="000000"/>
                <w:szCs w:val="21"/>
              </w:rPr>
              <w:t>GB/T 2951.12—2008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10</w:t>
            </w:r>
          </w:p>
        </w:tc>
        <w:tc>
          <w:tcPr>
            <w:tcW w:w="2715" w:type="pct"/>
            <w:vAlign w:val="center"/>
          </w:tcPr>
          <w:p>
            <w:pPr>
              <w:jc w:val="center"/>
              <w:rPr>
                <w:bCs/>
                <w:color w:val="000000"/>
                <w:szCs w:val="21"/>
              </w:rPr>
            </w:pPr>
            <w:r>
              <w:rPr>
                <w:bCs/>
                <w:color w:val="000000"/>
                <w:szCs w:val="21"/>
              </w:rPr>
              <w:t>绝缘老化前后抗张强度变化率</w:t>
            </w:r>
          </w:p>
        </w:tc>
        <w:tc>
          <w:tcPr>
            <w:tcW w:w="1739" w:type="pct"/>
            <w:vMerge w:val="continue"/>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11</w:t>
            </w:r>
          </w:p>
        </w:tc>
        <w:tc>
          <w:tcPr>
            <w:tcW w:w="2715" w:type="pct"/>
            <w:vAlign w:val="center"/>
          </w:tcPr>
          <w:p>
            <w:pPr>
              <w:jc w:val="center"/>
              <w:rPr>
                <w:bCs/>
                <w:color w:val="000000"/>
                <w:szCs w:val="21"/>
              </w:rPr>
            </w:pPr>
            <w:r>
              <w:rPr>
                <w:bCs/>
                <w:color w:val="000000"/>
                <w:szCs w:val="21"/>
              </w:rPr>
              <w:t>绝缘老化后断裂伸长率</w:t>
            </w:r>
          </w:p>
        </w:tc>
        <w:tc>
          <w:tcPr>
            <w:tcW w:w="1739" w:type="pct"/>
            <w:vMerge w:val="continue"/>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12</w:t>
            </w:r>
          </w:p>
        </w:tc>
        <w:tc>
          <w:tcPr>
            <w:tcW w:w="2715" w:type="pct"/>
            <w:vAlign w:val="center"/>
          </w:tcPr>
          <w:p>
            <w:pPr>
              <w:jc w:val="center"/>
              <w:rPr>
                <w:bCs/>
                <w:color w:val="000000"/>
                <w:szCs w:val="21"/>
              </w:rPr>
            </w:pPr>
            <w:r>
              <w:rPr>
                <w:bCs/>
                <w:color w:val="000000"/>
                <w:szCs w:val="21"/>
              </w:rPr>
              <w:t>绝缘老化前后断裂伸长率变化率</w:t>
            </w:r>
          </w:p>
        </w:tc>
        <w:tc>
          <w:tcPr>
            <w:tcW w:w="1739" w:type="pct"/>
            <w:vMerge w:val="continue"/>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1</w:t>
            </w:r>
            <w:r>
              <w:rPr>
                <w:rFonts w:hint="eastAsia"/>
                <w:bCs/>
                <w:color w:val="000000"/>
                <w:szCs w:val="21"/>
              </w:rPr>
              <w:t>3</w:t>
            </w:r>
          </w:p>
        </w:tc>
        <w:tc>
          <w:tcPr>
            <w:tcW w:w="2715" w:type="pct"/>
            <w:vAlign w:val="center"/>
          </w:tcPr>
          <w:p>
            <w:pPr>
              <w:jc w:val="center"/>
              <w:rPr>
                <w:bCs/>
                <w:color w:val="000000"/>
                <w:szCs w:val="21"/>
              </w:rPr>
            </w:pPr>
            <w:r>
              <w:rPr>
                <w:bCs/>
                <w:color w:val="000000"/>
                <w:szCs w:val="21"/>
              </w:rPr>
              <w:t>绝缘热收缩</w:t>
            </w:r>
          </w:p>
        </w:tc>
        <w:tc>
          <w:tcPr>
            <w:tcW w:w="1739" w:type="pct"/>
            <w:vAlign w:val="center"/>
          </w:tcPr>
          <w:p>
            <w:pPr>
              <w:jc w:val="center"/>
              <w:rPr>
                <w:bCs/>
                <w:color w:val="000000"/>
                <w:szCs w:val="21"/>
              </w:rPr>
            </w:pPr>
            <w:r>
              <w:rPr>
                <w:bCs/>
                <w:color w:val="000000"/>
                <w:szCs w:val="21"/>
              </w:rPr>
              <w:t>GB/T 2951.13—2008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1</w:t>
            </w:r>
            <w:r>
              <w:rPr>
                <w:rFonts w:hint="eastAsia"/>
                <w:bCs/>
                <w:color w:val="000000"/>
                <w:szCs w:val="21"/>
              </w:rPr>
              <w:t>4</w:t>
            </w:r>
          </w:p>
        </w:tc>
        <w:tc>
          <w:tcPr>
            <w:tcW w:w="2715" w:type="pct"/>
            <w:vAlign w:val="center"/>
          </w:tcPr>
          <w:p>
            <w:pPr>
              <w:jc w:val="center"/>
              <w:rPr>
                <w:bCs/>
                <w:color w:val="000000"/>
                <w:szCs w:val="21"/>
              </w:rPr>
            </w:pPr>
            <w:r>
              <w:rPr>
                <w:bCs/>
                <w:color w:val="000000"/>
                <w:szCs w:val="21"/>
              </w:rPr>
              <w:t>绝缘热延伸</w:t>
            </w:r>
          </w:p>
        </w:tc>
        <w:tc>
          <w:tcPr>
            <w:tcW w:w="1739" w:type="pct"/>
            <w:vAlign w:val="center"/>
          </w:tcPr>
          <w:p>
            <w:pPr>
              <w:jc w:val="center"/>
              <w:rPr>
                <w:bCs/>
                <w:color w:val="000000"/>
                <w:szCs w:val="21"/>
              </w:rPr>
            </w:pPr>
            <w:r>
              <w:rPr>
                <w:bCs/>
                <w:color w:val="000000"/>
                <w:szCs w:val="21"/>
              </w:rPr>
              <w:t>GB/T 2951.21—2008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1</w:t>
            </w:r>
            <w:r>
              <w:rPr>
                <w:rFonts w:hint="eastAsia"/>
                <w:bCs/>
                <w:color w:val="000000"/>
                <w:szCs w:val="21"/>
              </w:rPr>
              <w:t>5</w:t>
            </w:r>
          </w:p>
        </w:tc>
        <w:tc>
          <w:tcPr>
            <w:tcW w:w="2715" w:type="pct"/>
            <w:vAlign w:val="center"/>
          </w:tcPr>
          <w:p>
            <w:pPr>
              <w:jc w:val="center"/>
              <w:rPr>
                <w:bCs/>
                <w:color w:val="000000"/>
                <w:szCs w:val="21"/>
              </w:rPr>
            </w:pPr>
            <w:r>
              <w:rPr>
                <w:bCs/>
                <w:color w:val="000000"/>
                <w:szCs w:val="21"/>
              </w:rPr>
              <w:t>护套老化前抗张强度</w:t>
            </w:r>
          </w:p>
        </w:tc>
        <w:tc>
          <w:tcPr>
            <w:tcW w:w="1739" w:type="pct"/>
            <w:vMerge w:val="restart"/>
            <w:vAlign w:val="center"/>
          </w:tcPr>
          <w:p>
            <w:pPr>
              <w:jc w:val="center"/>
              <w:rPr>
                <w:bCs/>
                <w:color w:val="000000"/>
                <w:szCs w:val="21"/>
              </w:rPr>
            </w:pPr>
            <w:r>
              <w:rPr>
                <w:bCs/>
                <w:color w:val="000000"/>
                <w:szCs w:val="21"/>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1</w:t>
            </w:r>
            <w:r>
              <w:rPr>
                <w:rFonts w:hint="eastAsia"/>
                <w:bCs/>
                <w:color w:val="000000"/>
                <w:szCs w:val="21"/>
              </w:rPr>
              <w:t>6</w:t>
            </w:r>
          </w:p>
        </w:tc>
        <w:tc>
          <w:tcPr>
            <w:tcW w:w="2715" w:type="pct"/>
            <w:vAlign w:val="center"/>
          </w:tcPr>
          <w:p>
            <w:pPr>
              <w:jc w:val="center"/>
              <w:rPr>
                <w:bCs/>
                <w:color w:val="000000"/>
                <w:szCs w:val="21"/>
              </w:rPr>
            </w:pPr>
            <w:r>
              <w:rPr>
                <w:bCs/>
                <w:color w:val="000000"/>
                <w:szCs w:val="21"/>
              </w:rPr>
              <w:t>护套老化前断裂伸长率</w:t>
            </w:r>
          </w:p>
        </w:tc>
        <w:tc>
          <w:tcPr>
            <w:tcW w:w="1739" w:type="pct"/>
            <w:vMerge w:val="continue"/>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rFonts w:hint="eastAsia"/>
                <w:bCs/>
                <w:color w:val="000000"/>
                <w:szCs w:val="21"/>
              </w:rPr>
              <w:t>17</w:t>
            </w:r>
          </w:p>
        </w:tc>
        <w:tc>
          <w:tcPr>
            <w:tcW w:w="2715" w:type="pct"/>
            <w:vAlign w:val="center"/>
          </w:tcPr>
          <w:p>
            <w:pPr>
              <w:jc w:val="center"/>
              <w:rPr>
                <w:bCs/>
                <w:color w:val="000000"/>
                <w:szCs w:val="21"/>
              </w:rPr>
            </w:pPr>
            <w:r>
              <w:rPr>
                <w:bCs/>
                <w:color w:val="000000"/>
                <w:szCs w:val="21"/>
              </w:rPr>
              <w:t>护套老化后抗张强度</w:t>
            </w:r>
          </w:p>
        </w:tc>
        <w:tc>
          <w:tcPr>
            <w:tcW w:w="1739" w:type="pct"/>
            <w:vMerge w:val="restart"/>
            <w:vAlign w:val="center"/>
          </w:tcPr>
          <w:p>
            <w:pPr>
              <w:jc w:val="center"/>
              <w:rPr>
                <w:bCs/>
                <w:color w:val="000000"/>
                <w:szCs w:val="21"/>
              </w:rPr>
            </w:pPr>
            <w:r>
              <w:rPr>
                <w:bCs/>
                <w:color w:val="000000"/>
                <w:szCs w:val="21"/>
              </w:rPr>
              <w:t>GB/T 2951.11—2008</w:t>
            </w:r>
          </w:p>
          <w:p>
            <w:pPr>
              <w:jc w:val="center"/>
              <w:rPr>
                <w:bCs/>
                <w:color w:val="000000"/>
                <w:szCs w:val="21"/>
              </w:rPr>
            </w:pPr>
            <w:r>
              <w:rPr>
                <w:bCs/>
                <w:color w:val="000000"/>
                <w:szCs w:val="21"/>
              </w:rPr>
              <w:t>GB/T 2951.12—2008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rFonts w:hint="eastAsia"/>
                <w:bCs/>
                <w:color w:val="000000"/>
                <w:szCs w:val="21"/>
              </w:rPr>
              <w:t>18</w:t>
            </w:r>
          </w:p>
        </w:tc>
        <w:tc>
          <w:tcPr>
            <w:tcW w:w="2715" w:type="pct"/>
            <w:vAlign w:val="center"/>
          </w:tcPr>
          <w:p>
            <w:pPr>
              <w:jc w:val="center"/>
              <w:rPr>
                <w:bCs/>
                <w:color w:val="000000"/>
                <w:szCs w:val="21"/>
              </w:rPr>
            </w:pPr>
            <w:r>
              <w:rPr>
                <w:bCs/>
                <w:color w:val="000000"/>
                <w:szCs w:val="21"/>
              </w:rPr>
              <w:t>护套老化前后抗张强度变化率</w:t>
            </w:r>
          </w:p>
        </w:tc>
        <w:tc>
          <w:tcPr>
            <w:tcW w:w="1739" w:type="pct"/>
            <w:vMerge w:val="continue"/>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rFonts w:hint="eastAsia"/>
                <w:bCs/>
                <w:color w:val="000000"/>
                <w:szCs w:val="21"/>
              </w:rPr>
              <w:t>19</w:t>
            </w:r>
          </w:p>
        </w:tc>
        <w:tc>
          <w:tcPr>
            <w:tcW w:w="2715" w:type="pct"/>
            <w:vAlign w:val="center"/>
          </w:tcPr>
          <w:p>
            <w:pPr>
              <w:jc w:val="center"/>
              <w:rPr>
                <w:bCs/>
                <w:color w:val="000000"/>
                <w:szCs w:val="21"/>
              </w:rPr>
            </w:pPr>
            <w:r>
              <w:rPr>
                <w:bCs/>
                <w:color w:val="000000"/>
                <w:szCs w:val="21"/>
              </w:rPr>
              <w:t>护套老化后断裂伸长率</w:t>
            </w:r>
          </w:p>
        </w:tc>
        <w:tc>
          <w:tcPr>
            <w:tcW w:w="1739" w:type="pct"/>
            <w:vMerge w:val="continue"/>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2</w:t>
            </w:r>
            <w:r>
              <w:rPr>
                <w:rFonts w:hint="eastAsia"/>
                <w:bCs/>
                <w:color w:val="000000"/>
                <w:szCs w:val="21"/>
              </w:rPr>
              <w:t>0</w:t>
            </w:r>
          </w:p>
        </w:tc>
        <w:tc>
          <w:tcPr>
            <w:tcW w:w="2715" w:type="pct"/>
            <w:vAlign w:val="center"/>
          </w:tcPr>
          <w:p>
            <w:pPr>
              <w:jc w:val="center"/>
              <w:rPr>
                <w:bCs/>
                <w:color w:val="000000"/>
                <w:szCs w:val="21"/>
              </w:rPr>
            </w:pPr>
            <w:r>
              <w:rPr>
                <w:bCs/>
                <w:color w:val="000000"/>
                <w:szCs w:val="21"/>
              </w:rPr>
              <w:t>护套老化前后断裂伸长率变化率</w:t>
            </w:r>
          </w:p>
        </w:tc>
        <w:tc>
          <w:tcPr>
            <w:tcW w:w="1739" w:type="pct"/>
            <w:vMerge w:val="continue"/>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2</w:t>
            </w:r>
            <w:r>
              <w:rPr>
                <w:rFonts w:hint="eastAsia"/>
                <w:bCs/>
                <w:color w:val="000000"/>
                <w:szCs w:val="21"/>
              </w:rPr>
              <w:t>1</w:t>
            </w:r>
          </w:p>
        </w:tc>
        <w:tc>
          <w:tcPr>
            <w:tcW w:w="2715" w:type="pct"/>
            <w:vAlign w:val="center"/>
          </w:tcPr>
          <w:p>
            <w:pPr>
              <w:jc w:val="center"/>
              <w:rPr>
                <w:bCs/>
                <w:color w:val="000000"/>
                <w:szCs w:val="21"/>
              </w:rPr>
            </w:pPr>
            <w:r>
              <w:rPr>
                <w:bCs/>
                <w:color w:val="000000"/>
                <w:szCs w:val="21"/>
              </w:rPr>
              <w:t>护套热失重试验</w:t>
            </w:r>
          </w:p>
        </w:tc>
        <w:tc>
          <w:tcPr>
            <w:tcW w:w="1739" w:type="pct"/>
            <w:vAlign w:val="center"/>
          </w:tcPr>
          <w:p>
            <w:pPr>
              <w:jc w:val="center"/>
              <w:rPr>
                <w:bCs/>
                <w:color w:val="000000"/>
                <w:szCs w:val="21"/>
              </w:rPr>
            </w:pPr>
            <w:r>
              <w:rPr>
                <w:bCs/>
                <w:color w:val="000000"/>
                <w:szCs w:val="21"/>
              </w:rPr>
              <w:t>GB/T 2951.32—2008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2</w:t>
            </w:r>
            <w:r>
              <w:rPr>
                <w:rFonts w:hint="eastAsia"/>
                <w:bCs/>
                <w:color w:val="000000"/>
                <w:szCs w:val="21"/>
              </w:rPr>
              <w:t>2</w:t>
            </w:r>
          </w:p>
        </w:tc>
        <w:tc>
          <w:tcPr>
            <w:tcW w:w="2715" w:type="pct"/>
            <w:vAlign w:val="center"/>
          </w:tcPr>
          <w:p>
            <w:pPr>
              <w:jc w:val="center"/>
              <w:rPr>
                <w:bCs/>
                <w:color w:val="000000"/>
                <w:szCs w:val="21"/>
              </w:rPr>
            </w:pPr>
            <w:r>
              <w:rPr>
                <w:bCs/>
                <w:color w:val="000000"/>
                <w:szCs w:val="21"/>
              </w:rPr>
              <w:t>曲挠试验</w:t>
            </w:r>
          </w:p>
        </w:tc>
        <w:tc>
          <w:tcPr>
            <w:tcW w:w="1739" w:type="pct"/>
            <w:vAlign w:val="center"/>
          </w:tcPr>
          <w:p>
            <w:pPr>
              <w:jc w:val="center"/>
              <w:rPr>
                <w:bCs/>
                <w:color w:val="000000"/>
                <w:szCs w:val="21"/>
              </w:rPr>
            </w:pPr>
            <w:r>
              <w:rPr>
                <w:bCs/>
                <w:color w:val="000000"/>
                <w:szCs w:val="21"/>
              </w:rPr>
              <w:t>GB/T 5023.2—2008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2</w:t>
            </w:r>
            <w:r>
              <w:rPr>
                <w:rFonts w:hint="eastAsia"/>
                <w:bCs/>
                <w:color w:val="000000"/>
                <w:szCs w:val="21"/>
              </w:rPr>
              <w:t>3</w:t>
            </w:r>
          </w:p>
        </w:tc>
        <w:tc>
          <w:tcPr>
            <w:tcW w:w="2715" w:type="pct"/>
            <w:vAlign w:val="center"/>
          </w:tcPr>
          <w:p>
            <w:pPr>
              <w:jc w:val="center"/>
              <w:rPr>
                <w:bCs/>
                <w:color w:val="000000"/>
                <w:szCs w:val="21"/>
              </w:rPr>
            </w:pPr>
            <w:r>
              <w:rPr>
                <w:bCs/>
                <w:color w:val="000000"/>
                <w:szCs w:val="21"/>
              </w:rPr>
              <w:t>单根垂直燃烧试验</w:t>
            </w:r>
          </w:p>
        </w:tc>
        <w:tc>
          <w:tcPr>
            <w:tcW w:w="1739" w:type="pct"/>
            <w:vAlign w:val="center"/>
          </w:tcPr>
          <w:p>
            <w:pPr>
              <w:jc w:val="center"/>
              <w:rPr>
                <w:bCs/>
                <w:color w:val="000000"/>
                <w:szCs w:val="21"/>
              </w:rPr>
            </w:pPr>
            <w:r>
              <w:rPr>
                <w:bCs/>
                <w:color w:val="000000"/>
                <w:szCs w:val="21"/>
              </w:rPr>
              <w:t>GB/T 18380.12—2008</w:t>
            </w:r>
          </w:p>
          <w:p>
            <w:pPr>
              <w:jc w:val="center"/>
              <w:rPr>
                <w:bCs/>
                <w:color w:val="000000"/>
                <w:szCs w:val="21"/>
              </w:rPr>
            </w:pPr>
            <w:r>
              <w:rPr>
                <w:bCs/>
                <w:color w:val="000000"/>
                <w:szCs w:val="21"/>
              </w:rPr>
              <w:t>GB/T 18380.12—20</w:t>
            </w:r>
            <w:r>
              <w:rPr>
                <w:rFonts w:hint="eastAsia"/>
                <w:bCs/>
                <w:color w:val="000000"/>
                <w:szCs w:val="21"/>
              </w:rPr>
              <w:t>22</w:t>
            </w:r>
          </w:p>
          <w:p>
            <w:pPr>
              <w:jc w:val="center"/>
              <w:rPr>
                <w:bCs/>
                <w:color w:val="000000"/>
                <w:szCs w:val="21"/>
              </w:rPr>
            </w:pPr>
            <w:r>
              <w:rPr>
                <w:bCs/>
                <w:color w:val="000000"/>
                <w:szCs w:val="21"/>
              </w:rPr>
              <w:t>GB/T 18380.13—20</w:t>
            </w:r>
            <w:r>
              <w:rPr>
                <w:rFonts w:hint="eastAsia"/>
                <w:bCs/>
                <w:color w:val="000000"/>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6" w:type="pct"/>
            <w:vAlign w:val="center"/>
          </w:tcPr>
          <w:p>
            <w:pPr>
              <w:jc w:val="center"/>
              <w:rPr>
                <w:bCs/>
                <w:color w:val="000000"/>
                <w:szCs w:val="21"/>
              </w:rPr>
            </w:pPr>
            <w:r>
              <w:rPr>
                <w:bCs/>
                <w:color w:val="000000"/>
                <w:szCs w:val="21"/>
              </w:rPr>
              <w:t>2</w:t>
            </w:r>
            <w:r>
              <w:rPr>
                <w:rFonts w:hint="eastAsia"/>
                <w:bCs/>
                <w:color w:val="000000"/>
                <w:szCs w:val="21"/>
              </w:rPr>
              <w:t>4</w:t>
            </w:r>
          </w:p>
        </w:tc>
        <w:tc>
          <w:tcPr>
            <w:tcW w:w="2715" w:type="pct"/>
            <w:vAlign w:val="center"/>
          </w:tcPr>
          <w:p>
            <w:pPr>
              <w:jc w:val="center"/>
              <w:rPr>
                <w:bCs/>
                <w:color w:val="000000"/>
                <w:szCs w:val="21"/>
              </w:rPr>
            </w:pPr>
            <w:r>
              <w:rPr>
                <w:bCs/>
                <w:color w:val="000000"/>
                <w:szCs w:val="21"/>
              </w:rPr>
              <w:t>成束阻燃性能</w:t>
            </w:r>
          </w:p>
        </w:tc>
        <w:tc>
          <w:tcPr>
            <w:tcW w:w="1739" w:type="pct"/>
            <w:vAlign w:val="center"/>
          </w:tcPr>
          <w:p>
            <w:pPr>
              <w:jc w:val="center"/>
              <w:rPr>
                <w:bCs/>
                <w:color w:val="000000"/>
                <w:szCs w:val="21"/>
              </w:rPr>
            </w:pPr>
            <w:r>
              <w:rPr>
                <w:bCs/>
                <w:color w:val="000000"/>
                <w:szCs w:val="21"/>
                <w:lang w:val="de-DE"/>
              </w:rPr>
              <w:t>GB/T 18380.33—20</w:t>
            </w:r>
            <w:r>
              <w:rPr>
                <w:rFonts w:hint="eastAsia"/>
                <w:bCs/>
                <w:color w:val="000000"/>
                <w:szCs w:val="21"/>
              </w:rPr>
              <w:t>22</w:t>
            </w:r>
          </w:p>
          <w:p>
            <w:pPr>
              <w:jc w:val="center"/>
              <w:rPr>
                <w:bCs/>
                <w:color w:val="000000"/>
                <w:szCs w:val="21"/>
              </w:rPr>
            </w:pPr>
            <w:r>
              <w:rPr>
                <w:bCs/>
                <w:color w:val="000000"/>
                <w:szCs w:val="21"/>
                <w:lang w:val="de-DE"/>
              </w:rPr>
              <w:t>GB/T 18380.34—20</w:t>
            </w:r>
            <w:r>
              <w:rPr>
                <w:rFonts w:hint="eastAsia"/>
                <w:bCs/>
                <w:color w:val="000000"/>
                <w:szCs w:val="21"/>
              </w:rPr>
              <w:t>22</w:t>
            </w:r>
          </w:p>
          <w:p>
            <w:pPr>
              <w:jc w:val="center"/>
              <w:rPr>
                <w:bCs/>
                <w:color w:val="000000"/>
                <w:szCs w:val="21"/>
              </w:rPr>
            </w:pPr>
            <w:r>
              <w:rPr>
                <w:bCs/>
                <w:color w:val="000000"/>
                <w:szCs w:val="21"/>
                <w:lang w:val="de-DE"/>
              </w:rPr>
              <w:t>GB/T 18380.35—20</w:t>
            </w:r>
            <w:r>
              <w:rPr>
                <w:rFonts w:hint="eastAsia"/>
                <w:bCs/>
                <w:color w:val="000000"/>
                <w:szCs w:val="21"/>
              </w:rPr>
              <w:t>22</w:t>
            </w:r>
          </w:p>
          <w:p>
            <w:pPr>
              <w:jc w:val="center"/>
              <w:rPr>
                <w:bCs/>
                <w:color w:val="000000"/>
                <w:szCs w:val="21"/>
              </w:rPr>
            </w:pPr>
            <w:r>
              <w:rPr>
                <w:bCs/>
                <w:color w:val="000000"/>
                <w:szCs w:val="21"/>
              </w:rPr>
              <w:t>GB/T 18380.36—20</w:t>
            </w:r>
            <w:r>
              <w:rPr>
                <w:rFonts w:hint="eastAsia"/>
                <w:bCs/>
                <w:color w:val="000000"/>
                <w:szCs w:val="21"/>
              </w:rPr>
              <w:t>22</w:t>
            </w:r>
          </w:p>
        </w:tc>
      </w:tr>
    </w:tbl>
    <w:p>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pPr>
        <w:spacing w:line="440" w:lineRule="exact"/>
        <w:ind w:firstLine="420" w:firstLineChars="200"/>
        <w:rPr>
          <w:rFonts w:eastAsia="黑体"/>
          <w:color w:val="000000"/>
          <w:szCs w:val="21"/>
        </w:rPr>
      </w:pPr>
      <w:r>
        <w:rPr>
          <w:rFonts w:hint="eastAsia" w:ascii="宋体" w:hAnsi="宋体"/>
          <w:color w:val="000000"/>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color w:val="000000"/>
          <w:szCs w:val="21"/>
        </w:rPr>
      </w:pPr>
    </w:p>
    <w:p>
      <w:pPr>
        <w:spacing w:line="440" w:lineRule="exact"/>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pacing w:line="440" w:lineRule="exact"/>
        <w:ind w:firstLine="420" w:firstLineChars="200"/>
        <w:rPr>
          <w:szCs w:val="21"/>
        </w:rPr>
      </w:pPr>
      <w:r>
        <w:rPr>
          <w:szCs w:val="21"/>
        </w:rPr>
        <w:t>GB/T 5023.3—2008 额定电压450/750V及以下聚氯乙烯绝缘电缆 第3部分：固定布线用无护套电缆</w:t>
      </w:r>
    </w:p>
    <w:p>
      <w:pPr>
        <w:spacing w:line="440" w:lineRule="exact"/>
        <w:ind w:firstLine="420" w:firstLineChars="200"/>
        <w:rPr>
          <w:szCs w:val="21"/>
        </w:rPr>
      </w:pPr>
      <w:r>
        <w:rPr>
          <w:szCs w:val="21"/>
        </w:rPr>
        <w:t>GB/T 5023.5—2008 额定电压450/750V及以下聚氯乙烯绝缘电缆 第5部分：软电缆（软线）</w:t>
      </w:r>
    </w:p>
    <w:p>
      <w:pPr>
        <w:spacing w:line="440" w:lineRule="exact"/>
        <w:ind w:firstLine="420" w:firstLineChars="200"/>
        <w:rPr>
          <w:szCs w:val="21"/>
        </w:rPr>
      </w:pPr>
      <w:r>
        <w:rPr>
          <w:szCs w:val="21"/>
        </w:rPr>
        <w:t>JB/T 8734.2—2016 额定电压450/750V及以下聚氯乙烯绝缘电缆电线和软线 第2部分：固定布线用电缆电线</w:t>
      </w:r>
    </w:p>
    <w:p>
      <w:pPr>
        <w:spacing w:line="440" w:lineRule="exact"/>
        <w:ind w:firstLine="420" w:firstLineChars="200"/>
        <w:rPr>
          <w:szCs w:val="21"/>
        </w:rPr>
      </w:pPr>
      <w:r>
        <w:rPr>
          <w:szCs w:val="21"/>
        </w:rPr>
        <w:t>JB/T 8734.3—2016 额定电压450/750V及以下聚氯乙烯绝缘电缆电线和软线 第3部分：连接用软电线和软电缆</w:t>
      </w:r>
    </w:p>
    <w:p>
      <w:pPr>
        <w:spacing w:line="440" w:lineRule="exact"/>
        <w:ind w:firstLine="420" w:firstLineChars="200"/>
        <w:rPr>
          <w:color w:val="000000"/>
          <w:szCs w:val="21"/>
        </w:rPr>
      </w:pPr>
      <w:r>
        <w:rPr>
          <w:color w:val="000000"/>
          <w:szCs w:val="21"/>
        </w:rPr>
        <w:t>GB/T 9330—2020 塑料绝缘控制电缆</w:t>
      </w:r>
    </w:p>
    <w:p>
      <w:pPr>
        <w:spacing w:line="440" w:lineRule="exact"/>
        <w:ind w:firstLine="420" w:firstLineChars="200"/>
        <w:rPr>
          <w:color w:val="000000"/>
          <w:szCs w:val="21"/>
        </w:rPr>
      </w:pPr>
      <w:r>
        <w:rPr>
          <w:color w:val="000000"/>
          <w:szCs w:val="21"/>
        </w:rPr>
        <w:t>GB/T 12706.1—2020 额定电压1 kV（Um=1.2 kV）到35 kV（Um=40.5 kV）挤包绝缘电力电缆及附件第1部分：额定电压1 kV（Um=1.2 kV）和3 kV（Um=3.6 kV）电缆</w:t>
      </w:r>
    </w:p>
    <w:p>
      <w:pPr>
        <w:spacing w:line="440" w:lineRule="exact"/>
        <w:ind w:firstLine="420" w:firstLineChars="200"/>
        <w:rPr>
          <w:color w:val="000000"/>
          <w:szCs w:val="21"/>
        </w:rPr>
      </w:pPr>
      <w:r>
        <w:rPr>
          <w:color w:val="000000"/>
          <w:szCs w:val="21"/>
        </w:rPr>
        <w:t>GB/T 12706.2—2020 额定电压1 kV（Um=1.2 kV）到35 kV（Um=40.5 kV）挤包绝缘电力电缆及附件第2部分：额定电压6kV（Um=7.2 kV）到30 kV（Um=36 kV）电缆</w:t>
      </w:r>
    </w:p>
    <w:p>
      <w:pPr>
        <w:spacing w:line="440" w:lineRule="exact"/>
        <w:ind w:firstLine="420" w:firstLineChars="200"/>
        <w:rPr>
          <w:color w:val="000000"/>
          <w:szCs w:val="21"/>
        </w:rPr>
      </w:pPr>
      <w:r>
        <w:rPr>
          <w:color w:val="000000"/>
          <w:szCs w:val="21"/>
        </w:rPr>
        <w:t>GB/T 12706.3—2020 额定电压1 kV（Um=1.2 kV）到35 kV（Um=40.5 kV）挤包绝缘电力电缆及附件第3部分：额定电压35 kV（Um=40.5 kV）电缆</w:t>
      </w:r>
    </w:p>
    <w:p>
      <w:pPr>
        <w:spacing w:line="440" w:lineRule="exact"/>
        <w:ind w:firstLine="420" w:firstLineChars="200"/>
        <w:rPr>
          <w:color w:val="000000"/>
          <w:szCs w:val="21"/>
        </w:rPr>
      </w:pPr>
      <w:r>
        <w:rPr>
          <w:color w:val="000000"/>
          <w:szCs w:val="21"/>
        </w:rPr>
        <w:t>GB/T 12527—2008 额定电压1kV及以下架空绝缘电缆</w:t>
      </w:r>
    </w:p>
    <w:p>
      <w:pPr>
        <w:spacing w:line="440" w:lineRule="exact"/>
        <w:ind w:firstLine="420" w:firstLineChars="200"/>
        <w:rPr>
          <w:szCs w:val="21"/>
        </w:rPr>
      </w:pPr>
      <w:r>
        <w:rPr>
          <w:color w:val="000000"/>
          <w:szCs w:val="21"/>
        </w:rPr>
        <w:t>GB/T 14049—2008 额定电压10kV架空绝缘电缆</w:t>
      </w:r>
    </w:p>
    <w:p>
      <w:pPr>
        <w:spacing w:line="440" w:lineRule="exact"/>
        <w:ind w:firstLine="420" w:firstLineChars="200"/>
        <w:rPr>
          <w:szCs w:val="21"/>
        </w:rPr>
      </w:pPr>
      <w:r>
        <w:rPr>
          <w:szCs w:val="21"/>
        </w:rPr>
        <w:t>GB/T 19666—2019 阻燃和耐火电线电缆或光缆通则</w:t>
      </w:r>
    </w:p>
    <w:p>
      <w:pPr>
        <w:snapToGrid w:val="0"/>
        <w:spacing w:line="440" w:lineRule="exact"/>
        <w:ind w:firstLine="359" w:firstLineChars="171"/>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pacing w:line="440" w:lineRule="exact"/>
        <w:rPr>
          <w:color w:val="FF0000"/>
          <w:szCs w:val="21"/>
        </w:rPr>
      </w:pPr>
    </w:p>
    <w:p>
      <w:pPr>
        <w:spacing w:line="440" w:lineRule="exact"/>
        <w:rPr>
          <w:rFonts w:eastAsia="黑体"/>
          <w:color w:val="000000"/>
          <w:szCs w:val="21"/>
        </w:rPr>
      </w:pPr>
      <w:r>
        <w:rPr>
          <w:rFonts w:eastAsia="黑体"/>
          <w:color w:val="000000"/>
          <w:szCs w:val="21"/>
        </w:rPr>
        <w:t>4 附则</w:t>
      </w:r>
    </w:p>
    <w:p>
      <w:pPr>
        <w:snapToGrid w:val="0"/>
        <w:spacing w:line="440" w:lineRule="exact"/>
        <w:ind w:firstLine="420" w:firstLineChars="200"/>
        <w:rPr>
          <w:color w:val="FF0000"/>
          <w:szCs w:val="21"/>
        </w:rPr>
      </w:pPr>
      <w:r>
        <w:t>本细则代替《贵州省市场监管局关于发布2022年版贵州省产品质量监督抽查实施细则（第一批）的公告》（黔市监公告〔2022〕46号）中的《贵州省</w:t>
      </w:r>
      <w:r>
        <w:rPr>
          <w:rFonts w:hint="eastAsia"/>
        </w:rPr>
        <w:t>电线</w:t>
      </w:r>
      <w:r>
        <w:t>电缆产品质量监督抽查实施细则（2022</w:t>
      </w:r>
      <w:r>
        <w:rPr>
          <w:rFonts w:hint="eastAsia"/>
        </w:rPr>
        <w:t>年</w:t>
      </w:r>
      <w:r>
        <w:t>版）》。</w:t>
      </w: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E5NmE0OTNiMjE1ZTg2OGJjZjliNTIxNzYzZmVhNmEifQ=="/>
  </w:docVars>
  <w:rsids>
    <w:rsidRoot w:val="7F9C16DC"/>
    <w:rsid w:val="000C30E8"/>
    <w:rsid w:val="0025434E"/>
    <w:rsid w:val="002F2F1A"/>
    <w:rsid w:val="0033358D"/>
    <w:rsid w:val="00374366"/>
    <w:rsid w:val="00426C9D"/>
    <w:rsid w:val="00497289"/>
    <w:rsid w:val="004F0935"/>
    <w:rsid w:val="005354AA"/>
    <w:rsid w:val="0057003F"/>
    <w:rsid w:val="006C6943"/>
    <w:rsid w:val="006F4D3A"/>
    <w:rsid w:val="0084166F"/>
    <w:rsid w:val="00A27CC2"/>
    <w:rsid w:val="00B77409"/>
    <w:rsid w:val="00C16C55"/>
    <w:rsid w:val="00C578D1"/>
    <w:rsid w:val="00F1270F"/>
    <w:rsid w:val="05883C21"/>
    <w:rsid w:val="7F9C16DC"/>
    <w:rsid w:val="FCEFE1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link w:val="9"/>
    <w:qFormat/>
    <w:uiPriority w:val="9"/>
    <w:pPr>
      <w:widowControl/>
      <w:spacing w:before="100" w:beforeAutospacing="1" w:after="100" w:afterAutospacing="1"/>
      <w:jc w:val="left"/>
      <w:outlineLvl w:val="3"/>
    </w:pPr>
    <w:rPr>
      <w:rFonts w:ascii="宋体" w:hAnsi="宋体" w:cs="宋体"/>
      <w:b/>
      <w:bCs/>
      <w:kern w:val="0"/>
      <w:sz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spacing w:before="100" w:beforeAutospacing="1" w:after="100" w:afterAutospacing="1"/>
      <w:jc w:val="left"/>
    </w:pPr>
    <w:rPr>
      <w:rFonts w:ascii="Calibri" w:hAnsi="Calibri"/>
      <w:kern w:val="0"/>
      <w:sz w:val="24"/>
      <w:szCs w:val="22"/>
    </w:rPr>
  </w:style>
  <w:style w:type="character" w:styleId="8">
    <w:name w:val="page number"/>
    <w:qFormat/>
    <w:uiPriority w:val="0"/>
  </w:style>
  <w:style w:type="character" w:customStyle="1" w:styleId="9">
    <w:name w:val="标题 4 Char"/>
    <w:basedOn w:val="7"/>
    <w:link w:val="2"/>
    <w:qFormat/>
    <w:uiPriority w:val="9"/>
    <w:rPr>
      <w:rFonts w:ascii="宋体" w:hAnsi="宋体" w:eastAsia="宋体" w:cs="宋体"/>
      <w:b/>
      <w:bCs/>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1686</Words>
  <Characters>990</Characters>
  <Lines>8</Lines>
  <Paragraphs>5</Paragraphs>
  <TotalTime>135</TotalTime>
  <ScaleCrop>false</ScaleCrop>
  <LinksUpToDate>false</LinksUpToDate>
  <CharactersWithSpaces>2671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2023-07-06T13:12:00Z</dcterms:created>
  <dc:creator>YCH</dc:creator>
  <cp:lastModifiedBy>ysgz</cp:lastModifiedBy>
  <dcterms:modified xsi:type="dcterms:W3CDTF">2023-07-20T16:27:35Z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6FB5AE0D9E80410D9270FCDCA1F1B471</vt:lpwstr>
  </property>
</Properties>
</file>