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贵州省防盗安全门</w:t>
      </w:r>
      <w:r>
        <w:rPr>
          <w:rFonts w:hint="eastAsia" w:ascii="方正小标宋_GBK" w:hAnsi="方正小标宋_GBK" w:eastAsia="方正小标宋_GBK" w:cs="方正小标宋_GBK"/>
          <w:color w:val="000000"/>
          <w:sz w:val="32"/>
          <w:szCs w:val="32"/>
        </w:rPr>
        <w:t>产品质量监督抽查实施细则</w:t>
      </w:r>
    </w:p>
    <w:p>
      <w:pPr>
        <w:adjustRightInd w:val="0"/>
        <w:snapToGrid w:val="0"/>
        <w:spacing w:line="594" w:lineRule="exact"/>
        <w:jc w:val="center"/>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（2023年版）</w:t>
      </w:r>
    </w:p>
    <w:p>
      <w:pPr>
        <w:snapToGrid w:val="0"/>
        <w:spacing w:before="156" w:beforeLines="50" w:after="156" w:afterLines="50"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每批次产品抽取样品2件，其中1件作为检验样品，另1件作为备用样品。</w:t>
      </w:r>
    </w:p>
    <w:p>
      <w:pPr>
        <w:adjustRightInd w:val="0"/>
        <w:snapToGrid w:val="0"/>
        <w:spacing w:line="440" w:lineRule="exact"/>
        <w:ind w:firstLine="420" w:firstLineChars="200"/>
        <w:rPr>
          <w:rFonts w:hint="default" w:ascii="Times New Roman" w:hAnsi="Times New Roman" w:cs="Times New Roman"/>
          <w:szCs w:val="21"/>
        </w:rPr>
      </w:pPr>
    </w:p>
    <w:p>
      <w:pPr>
        <w:snapToGrid w:val="0"/>
        <w:spacing w:before="156" w:beforeLines="50" w:after="156" w:afterLines="50"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tbl>
      <w:tblPr>
        <w:tblStyle w:val="10"/>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2025"/>
        <w:gridCol w:w="3333"/>
        <w:gridCol w:w="2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blHeader/>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序号</w:t>
            </w:r>
          </w:p>
        </w:tc>
        <w:tc>
          <w:tcPr>
            <w:tcW w:w="5358"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2591"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1</w:t>
            </w:r>
          </w:p>
        </w:tc>
        <w:tc>
          <w:tcPr>
            <w:tcW w:w="5358"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永久性标记</w:t>
            </w:r>
          </w:p>
        </w:tc>
        <w:tc>
          <w:tcPr>
            <w:tcW w:w="2591" w:type="dxa"/>
            <w:vAlign w:val="center"/>
          </w:tcPr>
          <w:p>
            <w:pPr>
              <w:jc w:val="center"/>
              <w:rPr>
                <w:rFonts w:hint="default" w:ascii="Times New Roman" w:hAnsi="Times New Roman" w:cs="Times New Roman"/>
              </w:rPr>
            </w:pPr>
            <w:r>
              <w:rPr>
                <w:rFonts w:hint="default" w:ascii="Times New Roman" w:hAnsi="Times New Roman" w:cs="Times New Roman"/>
                <w:szCs w:val="21"/>
              </w:rPr>
              <w:t>GB 17565-2007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2</w:t>
            </w:r>
          </w:p>
        </w:tc>
        <w:tc>
          <w:tcPr>
            <w:tcW w:w="5358"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门扇钢板厚度</w:t>
            </w:r>
          </w:p>
        </w:tc>
        <w:tc>
          <w:tcPr>
            <w:tcW w:w="2591" w:type="dxa"/>
            <w:vAlign w:val="center"/>
          </w:tcPr>
          <w:p>
            <w:pPr>
              <w:jc w:val="center"/>
              <w:rPr>
                <w:rFonts w:hint="default" w:ascii="Times New Roman" w:hAnsi="Times New Roman" w:cs="Times New Roman"/>
              </w:rPr>
            </w:pPr>
            <w:r>
              <w:rPr>
                <w:rFonts w:hint="default" w:ascii="Times New Roman" w:hAnsi="Times New Roman" w:cs="Times New Roman"/>
                <w:szCs w:val="21"/>
              </w:rPr>
              <w:t>GB 17565-2007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3</w:t>
            </w:r>
          </w:p>
        </w:tc>
        <w:tc>
          <w:tcPr>
            <w:tcW w:w="5358"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防破坏时间</w:t>
            </w:r>
          </w:p>
        </w:tc>
        <w:tc>
          <w:tcPr>
            <w:tcW w:w="2591"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 17565-2007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4</w:t>
            </w:r>
          </w:p>
        </w:tc>
        <w:tc>
          <w:tcPr>
            <w:tcW w:w="2025" w:type="dxa"/>
            <w:vMerge w:val="restart"/>
            <w:vAlign w:val="center"/>
          </w:tcPr>
          <w:p>
            <w:pPr>
              <w:jc w:val="center"/>
              <w:rPr>
                <w:rFonts w:hint="default" w:ascii="Times New Roman" w:hAnsi="Times New Roman" w:cs="Times New Roman"/>
                <w:color w:val="000000"/>
                <w:szCs w:val="21"/>
              </w:rPr>
            </w:pPr>
            <w:r>
              <w:rPr>
                <w:rFonts w:hint="default" w:ascii="Times New Roman" w:hAnsi="Times New Roman" w:cs="Times New Roman"/>
                <w:szCs w:val="21"/>
              </w:rPr>
              <w:t>防破坏性能</w:t>
            </w:r>
          </w:p>
        </w:tc>
        <w:tc>
          <w:tcPr>
            <w:tcW w:w="3333"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szCs w:val="21"/>
              </w:rPr>
              <w:t>门扇</w:t>
            </w:r>
          </w:p>
        </w:tc>
        <w:tc>
          <w:tcPr>
            <w:tcW w:w="2591"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 17565-2007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5</w:t>
            </w:r>
          </w:p>
        </w:tc>
        <w:tc>
          <w:tcPr>
            <w:tcW w:w="2025" w:type="dxa"/>
            <w:vMerge w:val="continue"/>
            <w:vAlign w:val="center"/>
          </w:tcPr>
          <w:p>
            <w:pPr>
              <w:snapToGrid w:val="0"/>
              <w:jc w:val="center"/>
              <w:rPr>
                <w:rFonts w:hint="default" w:ascii="Times New Roman" w:hAnsi="Times New Roman" w:cs="Times New Roman"/>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锁具</w:t>
            </w:r>
          </w:p>
        </w:tc>
        <w:tc>
          <w:tcPr>
            <w:tcW w:w="2591"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 17565-2007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6</w:t>
            </w:r>
          </w:p>
        </w:tc>
        <w:tc>
          <w:tcPr>
            <w:tcW w:w="2025" w:type="dxa"/>
            <w:vMerge w:val="continue"/>
            <w:vAlign w:val="center"/>
          </w:tcPr>
          <w:p>
            <w:pPr>
              <w:snapToGrid w:val="0"/>
              <w:jc w:val="center"/>
              <w:rPr>
                <w:rFonts w:hint="default" w:ascii="Times New Roman" w:hAnsi="Times New Roman" w:cs="Times New Roman"/>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铰链</w:t>
            </w:r>
          </w:p>
        </w:tc>
        <w:tc>
          <w:tcPr>
            <w:tcW w:w="2591"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 17565-2007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7</w:t>
            </w:r>
          </w:p>
        </w:tc>
        <w:tc>
          <w:tcPr>
            <w:tcW w:w="5358"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防闯入性能</w:t>
            </w:r>
          </w:p>
        </w:tc>
        <w:tc>
          <w:tcPr>
            <w:tcW w:w="2591"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 17565-2007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8</w:t>
            </w:r>
          </w:p>
        </w:tc>
        <w:tc>
          <w:tcPr>
            <w:tcW w:w="5358"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软冲击性能</w:t>
            </w:r>
          </w:p>
        </w:tc>
        <w:tc>
          <w:tcPr>
            <w:tcW w:w="2591"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 17565-2007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9</w:t>
            </w:r>
          </w:p>
        </w:tc>
        <w:tc>
          <w:tcPr>
            <w:tcW w:w="5358"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悬挂吊重性能</w:t>
            </w:r>
          </w:p>
        </w:tc>
        <w:tc>
          <w:tcPr>
            <w:tcW w:w="2591"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 17565-2007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10</w:t>
            </w:r>
          </w:p>
        </w:tc>
        <w:tc>
          <w:tcPr>
            <w:tcW w:w="5358"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撞击障碍物性能</w:t>
            </w:r>
          </w:p>
        </w:tc>
        <w:tc>
          <w:tcPr>
            <w:tcW w:w="2591"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 17565-2007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11</w:t>
            </w:r>
          </w:p>
        </w:tc>
        <w:tc>
          <w:tcPr>
            <w:tcW w:w="5358"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铰链转动性能</w:t>
            </w:r>
          </w:p>
        </w:tc>
        <w:tc>
          <w:tcPr>
            <w:tcW w:w="2591"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 17565-2007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12</w:t>
            </w:r>
          </w:p>
        </w:tc>
        <w:tc>
          <w:tcPr>
            <w:tcW w:w="5358"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锁具要求(5.10.1、5.10.4、5.10.5)</w:t>
            </w:r>
          </w:p>
        </w:tc>
        <w:tc>
          <w:tcPr>
            <w:tcW w:w="2591"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 17565-2007</w:t>
            </w:r>
          </w:p>
        </w:tc>
      </w:tr>
    </w:tbl>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rFonts w:hint="default" w:ascii="Times New Roman" w:hAnsi="Times New Roman" w:cs="Times New Roman"/>
          <w:color w:val="000000"/>
          <w:szCs w:val="21"/>
        </w:rPr>
      </w:pPr>
    </w:p>
    <w:p>
      <w:pPr>
        <w:snapToGrid w:val="0"/>
        <w:spacing w:before="156" w:beforeLines="50" w:after="156" w:afterLines="50"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snapToGrid w:val="0"/>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szCs w:val="21"/>
        </w:rPr>
        <w:t>GB 17565-2007</w:t>
      </w:r>
      <w:r>
        <w:rPr>
          <w:rFonts w:hint="default" w:ascii="Times New Roman" w:hAnsi="Times New Roman" w:cs="Times New Roman"/>
          <w:color w:val="000000"/>
          <w:szCs w:val="21"/>
        </w:rPr>
        <w:t xml:space="preserve"> 《防盗安全门通用技术条件》</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snapToGrid w:val="0"/>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snapToGrid w:val="0"/>
        <w:spacing w:line="384" w:lineRule="auto"/>
        <w:ind w:firstLine="420" w:firstLineChars="200"/>
        <w:rPr>
          <w:rFonts w:hint="default" w:ascii="Times New Roman" w:hAnsi="Times New Roman" w:cs="Times New Roman"/>
          <w:color w:val="000000"/>
          <w:szCs w:val="21"/>
        </w:rPr>
      </w:pPr>
    </w:p>
    <w:p>
      <w:pPr>
        <w:spacing w:before="156" w:beforeLines="50" w:after="156" w:afterLines="50" w:line="360" w:lineRule="auto"/>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4 附则</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本细则代替《贵州省市场监管局关于发布2022年版贵州省产品质量监督抽查实施细则（第一批）的公告》（黔市监公告〔2022〕46</w:t>
      </w:r>
      <w:bookmarkStart w:id="0" w:name="_GoBack"/>
      <w:bookmarkEnd w:id="0"/>
      <w:r>
        <w:rPr>
          <w:rFonts w:hint="default" w:ascii="Times New Roman" w:hAnsi="Times New Roman" w:cs="Times New Roman"/>
          <w:color w:val="000000"/>
          <w:szCs w:val="21"/>
        </w:rPr>
        <w:t>号）中的《贵州省防盗安全门产品质量监督抽查实施细则（2022年版）》。</w:t>
      </w:r>
    </w:p>
    <w:p>
      <w:pPr>
        <w:snapToGrid w:val="0"/>
        <w:spacing w:line="384" w:lineRule="auto"/>
        <w:ind w:firstLine="420" w:firstLineChars="200"/>
        <w:rPr>
          <w:rFonts w:hint="default" w:ascii="Times New Roman" w:hAnsi="Times New Roman" w:cs="Times New Roman"/>
          <w:color w:val="000000"/>
          <w:szCs w:val="21"/>
        </w:rPr>
      </w:pPr>
    </w:p>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611BA"/>
    <w:rsid w:val="00001CE7"/>
    <w:rsid w:val="00014997"/>
    <w:rsid w:val="00052D0A"/>
    <w:rsid w:val="0006741A"/>
    <w:rsid w:val="00080190"/>
    <w:rsid w:val="000A0C0F"/>
    <w:rsid w:val="000A1F68"/>
    <w:rsid w:val="000B7B2B"/>
    <w:rsid w:val="0010045C"/>
    <w:rsid w:val="001134E2"/>
    <w:rsid w:val="0013450E"/>
    <w:rsid w:val="00135D58"/>
    <w:rsid w:val="0014671B"/>
    <w:rsid w:val="001479E1"/>
    <w:rsid w:val="00156592"/>
    <w:rsid w:val="00175325"/>
    <w:rsid w:val="0017701D"/>
    <w:rsid w:val="001836A6"/>
    <w:rsid w:val="001960E8"/>
    <w:rsid w:val="00197FAE"/>
    <w:rsid w:val="001B1ECE"/>
    <w:rsid w:val="001B3557"/>
    <w:rsid w:val="001D3021"/>
    <w:rsid w:val="001E7E75"/>
    <w:rsid w:val="001F4D89"/>
    <w:rsid w:val="002642D1"/>
    <w:rsid w:val="0026615D"/>
    <w:rsid w:val="00271670"/>
    <w:rsid w:val="00280D69"/>
    <w:rsid w:val="00283526"/>
    <w:rsid w:val="00287CFB"/>
    <w:rsid w:val="00293D3C"/>
    <w:rsid w:val="002A1067"/>
    <w:rsid w:val="002B2D19"/>
    <w:rsid w:val="002C75FA"/>
    <w:rsid w:val="002F3260"/>
    <w:rsid w:val="003001F1"/>
    <w:rsid w:val="00301FD0"/>
    <w:rsid w:val="00341366"/>
    <w:rsid w:val="00342341"/>
    <w:rsid w:val="00354255"/>
    <w:rsid w:val="00355360"/>
    <w:rsid w:val="003611BA"/>
    <w:rsid w:val="003701D3"/>
    <w:rsid w:val="003C4925"/>
    <w:rsid w:val="003D6EDD"/>
    <w:rsid w:val="004358CF"/>
    <w:rsid w:val="004565AD"/>
    <w:rsid w:val="004A4DFC"/>
    <w:rsid w:val="004B599D"/>
    <w:rsid w:val="004C10D8"/>
    <w:rsid w:val="004C6EAB"/>
    <w:rsid w:val="004C79DF"/>
    <w:rsid w:val="004D05AF"/>
    <w:rsid w:val="00507AE0"/>
    <w:rsid w:val="0051512A"/>
    <w:rsid w:val="00560FE5"/>
    <w:rsid w:val="006035E4"/>
    <w:rsid w:val="00624DD6"/>
    <w:rsid w:val="006350F9"/>
    <w:rsid w:val="00652075"/>
    <w:rsid w:val="00652B40"/>
    <w:rsid w:val="0066041C"/>
    <w:rsid w:val="00660FFF"/>
    <w:rsid w:val="0067449B"/>
    <w:rsid w:val="00675807"/>
    <w:rsid w:val="006C75F5"/>
    <w:rsid w:val="006F3686"/>
    <w:rsid w:val="006F6818"/>
    <w:rsid w:val="00700705"/>
    <w:rsid w:val="007032EA"/>
    <w:rsid w:val="00712FE6"/>
    <w:rsid w:val="00721DBD"/>
    <w:rsid w:val="00766407"/>
    <w:rsid w:val="00772A62"/>
    <w:rsid w:val="007C5B37"/>
    <w:rsid w:val="007E7B78"/>
    <w:rsid w:val="00801099"/>
    <w:rsid w:val="0081765C"/>
    <w:rsid w:val="00843615"/>
    <w:rsid w:val="00846C31"/>
    <w:rsid w:val="008536DB"/>
    <w:rsid w:val="00863267"/>
    <w:rsid w:val="00863F48"/>
    <w:rsid w:val="00870548"/>
    <w:rsid w:val="00872CC4"/>
    <w:rsid w:val="008737DB"/>
    <w:rsid w:val="008744B5"/>
    <w:rsid w:val="00897986"/>
    <w:rsid w:val="008E4C32"/>
    <w:rsid w:val="008F131B"/>
    <w:rsid w:val="00911043"/>
    <w:rsid w:val="00933214"/>
    <w:rsid w:val="0095491D"/>
    <w:rsid w:val="00963128"/>
    <w:rsid w:val="00987B95"/>
    <w:rsid w:val="009A6925"/>
    <w:rsid w:val="009B3AF3"/>
    <w:rsid w:val="009B48C4"/>
    <w:rsid w:val="009C1C38"/>
    <w:rsid w:val="009D059B"/>
    <w:rsid w:val="009D2CD9"/>
    <w:rsid w:val="009D2E2A"/>
    <w:rsid w:val="009E6086"/>
    <w:rsid w:val="009F189F"/>
    <w:rsid w:val="00A055B0"/>
    <w:rsid w:val="00A0674B"/>
    <w:rsid w:val="00A24E3E"/>
    <w:rsid w:val="00A43275"/>
    <w:rsid w:val="00A45213"/>
    <w:rsid w:val="00A5157E"/>
    <w:rsid w:val="00A66A3D"/>
    <w:rsid w:val="00A7543F"/>
    <w:rsid w:val="00A77E8A"/>
    <w:rsid w:val="00A91616"/>
    <w:rsid w:val="00A916BA"/>
    <w:rsid w:val="00AB04BC"/>
    <w:rsid w:val="00AB2350"/>
    <w:rsid w:val="00AB462B"/>
    <w:rsid w:val="00AE1821"/>
    <w:rsid w:val="00AE471A"/>
    <w:rsid w:val="00AE5734"/>
    <w:rsid w:val="00AF5572"/>
    <w:rsid w:val="00B51584"/>
    <w:rsid w:val="00B54E2B"/>
    <w:rsid w:val="00B55224"/>
    <w:rsid w:val="00B80476"/>
    <w:rsid w:val="00B873E5"/>
    <w:rsid w:val="00B908E9"/>
    <w:rsid w:val="00B97F97"/>
    <w:rsid w:val="00BA3BB2"/>
    <w:rsid w:val="00BD2490"/>
    <w:rsid w:val="00C17712"/>
    <w:rsid w:val="00C17F20"/>
    <w:rsid w:val="00C207B1"/>
    <w:rsid w:val="00C21785"/>
    <w:rsid w:val="00C345BB"/>
    <w:rsid w:val="00C3647B"/>
    <w:rsid w:val="00C421DF"/>
    <w:rsid w:val="00C46A22"/>
    <w:rsid w:val="00C55DA1"/>
    <w:rsid w:val="00C57739"/>
    <w:rsid w:val="00C87AB5"/>
    <w:rsid w:val="00C9467F"/>
    <w:rsid w:val="00CB316D"/>
    <w:rsid w:val="00CC17D2"/>
    <w:rsid w:val="00CD3877"/>
    <w:rsid w:val="00CF5F1B"/>
    <w:rsid w:val="00D1325F"/>
    <w:rsid w:val="00D31DB4"/>
    <w:rsid w:val="00D6657B"/>
    <w:rsid w:val="00D732ED"/>
    <w:rsid w:val="00D744FD"/>
    <w:rsid w:val="00D85C2A"/>
    <w:rsid w:val="00D879A0"/>
    <w:rsid w:val="00D9506C"/>
    <w:rsid w:val="00DC0140"/>
    <w:rsid w:val="00DC2584"/>
    <w:rsid w:val="00DD7E3B"/>
    <w:rsid w:val="00E13168"/>
    <w:rsid w:val="00E1489E"/>
    <w:rsid w:val="00E24FC8"/>
    <w:rsid w:val="00E648F6"/>
    <w:rsid w:val="00E96130"/>
    <w:rsid w:val="00EA38DE"/>
    <w:rsid w:val="00EC2127"/>
    <w:rsid w:val="00ED03C4"/>
    <w:rsid w:val="00EE3E98"/>
    <w:rsid w:val="00EF0AC2"/>
    <w:rsid w:val="00F245D1"/>
    <w:rsid w:val="00F42B7C"/>
    <w:rsid w:val="00F54BA6"/>
    <w:rsid w:val="00F835CE"/>
    <w:rsid w:val="00FA2884"/>
    <w:rsid w:val="00FA45C8"/>
    <w:rsid w:val="00FA59DC"/>
    <w:rsid w:val="00FC0C80"/>
    <w:rsid w:val="00FD5380"/>
    <w:rsid w:val="00FE1549"/>
    <w:rsid w:val="00FE5810"/>
    <w:rsid w:val="00FF1D7E"/>
    <w:rsid w:val="01757279"/>
    <w:rsid w:val="02394E6E"/>
    <w:rsid w:val="071C39DD"/>
    <w:rsid w:val="0C3020D5"/>
    <w:rsid w:val="14707C4A"/>
    <w:rsid w:val="14A748C1"/>
    <w:rsid w:val="29817179"/>
    <w:rsid w:val="2C062286"/>
    <w:rsid w:val="4A1D0919"/>
    <w:rsid w:val="55CC633D"/>
    <w:rsid w:val="60D566FD"/>
    <w:rsid w:val="61D054C2"/>
    <w:rsid w:val="61F5033B"/>
    <w:rsid w:val="652F585C"/>
    <w:rsid w:val="723415EF"/>
    <w:rsid w:val="7AEDFF05"/>
    <w:rsid w:val="7EF6F7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Indent"/>
    <w:basedOn w:val="1"/>
    <w:link w:val="16"/>
    <w:qFormat/>
    <w:uiPriority w:val="0"/>
    <w:pPr>
      <w:ind w:firstLine="600" w:firstLineChars="200"/>
    </w:pPr>
    <w:rPr>
      <w:rFonts w:ascii="Times New Roman" w:hAnsi="Times New Roman" w:eastAsia="仿宋_GB2312"/>
      <w:sz w:val="30"/>
      <w:szCs w:val="24"/>
    </w:rPr>
  </w:style>
  <w:style w:type="paragraph" w:styleId="5">
    <w:name w:val="Plain Text"/>
    <w:basedOn w:val="1"/>
    <w:link w:val="17"/>
    <w:unhideWhenUsed/>
    <w:qFormat/>
    <w:uiPriority w:val="99"/>
    <w:rPr>
      <w:rFonts w:ascii="宋体" w:hAnsi="Courier New"/>
      <w:kern w:val="0"/>
      <w:sz w:val="20"/>
      <w:szCs w:val="20"/>
    </w:rPr>
  </w:style>
  <w:style w:type="paragraph" w:styleId="6">
    <w:name w:val="Balloon Text"/>
    <w:basedOn w:val="1"/>
    <w:link w:val="18"/>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annotation reference"/>
    <w:basedOn w:val="12"/>
    <w:semiHidden/>
    <w:unhideWhenUsed/>
    <w:qFormat/>
    <w:uiPriority w:val="99"/>
    <w:rPr>
      <w:sz w:val="21"/>
      <w:szCs w:val="21"/>
    </w:rPr>
  </w:style>
  <w:style w:type="character" w:customStyle="1" w:styleId="15">
    <w:name w:val="标题 1 字符"/>
    <w:basedOn w:val="12"/>
    <w:link w:val="2"/>
    <w:qFormat/>
    <w:uiPriority w:val="9"/>
    <w:rPr>
      <w:rFonts w:ascii="Calibri" w:hAnsi="Calibri" w:eastAsia="宋体" w:cs="Times New Roman"/>
      <w:b/>
      <w:bCs/>
      <w:kern w:val="44"/>
      <w:sz w:val="44"/>
      <w:szCs w:val="44"/>
    </w:rPr>
  </w:style>
  <w:style w:type="character" w:customStyle="1" w:styleId="16">
    <w:name w:val="正文文本缩进 字符"/>
    <w:basedOn w:val="12"/>
    <w:link w:val="4"/>
    <w:qFormat/>
    <w:uiPriority w:val="0"/>
    <w:rPr>
      <w:rFonts w:ascii="Times New Roman" w:hAnsi="Times New Roman" w:eastAsia="仿宋_GB2312" w:cs="Times New Roman"/>
      <w:sz w:val="30"/>
      <w:szCs w:val="24"/>
    </w:rPr>
  </w:style>
  <w:style w:type="character" w:customStyle="1" w:styleId="17">
    <w:name w:val="纯文本 字符"/>
    <w:basedOn w:val="12"/>
    <w:link w:val="5"/>
    <w:qFormat/>
    <w:uiPriority w:val="99"/>
    <w:rPr>
      <w:rFonts w:ascii="宋体" w:hAnsi="Courier New" w:eastAsia="宋体" w:cs="Times New Roman"/>
      <w:kern w:val="0"/>
      <w:sz w:val="20"/>
      <w:szCs w:val="20"/>
    </w:rPr>
  </w:style>
  <w:style w:type="character" w:customStyle="1" w:styleId="18">
    <w:name w:val="批注框文本 字符"/>
    <w:basedOn w:val="12"/>
    <w:link w:val="6"/>
    <w:qFormat/>
    <w:uiPriority w:val="99"/>
    <w:rPr>
      <w:rFonts w:ascii="Calibri" w:hAnsi="Calibri" w:eastAsia="宋体" w:cs="Times New Roman"/>
      <w:sz w:val="18"/>
      <w:szCs w:val="18"/>
    </w:rPr>
  </w:style>
  <w:style w:type="character" w:customStyle="1" w:styleId="19">
    <w:name w:val="页脚 字符"/>
    <w:basedOn w:val="12"/>
    <w:link w:val="7"/>
    <w:qFormat/>
    <w:uiPriority w:val="99"/>
    <w:rPr>
      <w:rFonts w:ascii="Calibri" w:hAnsi="Calibri" w:eastAsia="宋体" w:cs="Times New Roman"/>
      <w:sz w:val="18"/>
      <w:szCs w:val="18"/>
    </w:rPr>
  </w:style>
  <w:style w:type="character" w:customStyle="1" w:styleId="20">
    <w:name w:val="页眉 字符1"/>
    <w:basedOn w:val="12"/>
    <w:link w:val="8"/>
    <w:qFormat/>
    <w:uiPriority w:val="0"/>
    <w:rPr>
      <w:rFonts w:ascii="Calibri" w:hAnsi="Calibri" w:eastAsia="宋体" w:cs="Times New Roman"/>
      <w:sz w:val="18"/>
      <w:szCs w:val="18"/>
    </w:rPr>
  </w:style>
  <w:style w:type="character" w:customStyle="1" w:styleId="21">
    <w:name w:val="正文文本缩进 3 字符"/>
    <w:basedOn w:val="12"/>
    <w:link w:val="9"/>
    <w:qFormat/>
    <w:uiPriority w:val="0"/>
    <w:rPr>
      <w:rFonts w:ascii="仿宋_GB2312" w:hAnsi="Times New Roman" w:eastAsia="仿宋_GB2312" w:cs="Times New Roman"/>
      <w:kern w:val="0"/>
      <w:sz w:val="32"/>
      <w:szCs w:val="20"/>
    </w:rPr>
  </w:style>
  <w:style w:type="character" w:customStyle="1" w:styleId="22">
    <w:name w:val="页眉 字符"/>
    <w:qFormat/>
    <w:uiPriority w:val="0"/>
    <w:rPr>
      <w:kern w:val="2"/>
      <w:sz w:val="18"/>
      <w:szCs w:val="18"/>
    </w:rPr>
  </w:style>
  <w:style w:type="paragraph" w:customStyle="1" w:styleId="23">
    <w:name w:val="Char11"/>
    <w:basedOn w:val="1"/>
    <w:qFormat/>
    <w:uiPriority w:val="0"/>
    <w:pPr>
      <w:jc w:val="center"/>
    </w:pPr>
    <w:rPr>
      <w:rFonts w:ascii="Times New Roman" w:hAnsi="Times New Roman"/>
      <w:szCs w:val="21"/>
    </w:rPr>
  </w:style>
  <w:style w:type="paragraph" w:customStyle="1" w:styleId="24">
    <w:name w:val="Char Char"/>
    <w:basedOn w:val="1"/>
    <w:semiHidden/>
    <w:qFormat/>
    <w:uiPriority w:val="0"/>
    <w:rPr>
      <w:rFonts w:ascii="Times New Roman" w:hAnsi="Times New Roman"/>
      <w:szCs w:val="20"/>
    </w:rPr>
  </w:style>
  <w:style w:type="paragraph" w:customStyle="1" w:styleId="25">
    <w:name w:val="列出段落1"/>
    <w:basedOn w:val="1"/>
    <w:qFormat/>
    <w:uiPriority w:val="34"/>
    <w:pPr>
      <w:ind w:firstLine="420" w:firstLineChars="200"/>
    </w:pPr>
  </w:style>
  <w:style w:type="paragraph" w:customStyle="1" w:styleId="26">
    <w:name w:val="列出段落2"/>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8">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29">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0">
    <w:name w:val="List Paragraph"/>
    <w:basedOn w:val="1"/>
    <w:qFormat/>
    <w:uiPriority w:val="34"/>
    <w:pPr>
      <w:ind w:firstLine="420" w:firstLineChars="200"/>
    </w:pPr>
  </w:style>
  <w:style w:type="character" w:customStyle="1" w:styleId="31">
    <w:name w:val="段 Char"/>
    <w:link w:val="29"/>
    <w:qFormat/>
    <w:uiPriority w:val="0"/>
    <w:rPr>
      <w:rFonts w:ascii="宋体" w:hAnsi="Times New Roman" w:eastAsia="宋体" w:cs="Times New Roman"/>
      <w:kern w:val="0"/>
      <w:szCs w:val="20"/>
    </w:rPr>
  </w:style>
  <w:style w:type="character" w:customStyle="1" w:styleId="32">
    <w:name w:val="ask-title"/>
    <w:basedOn w:val="12"/>
    <w:qFormat/>
    <w:uiPriority w:val="0"/>
  </w:style>
  <w:style w:type="character" w:customStyle="1" w:styleId="33">
    <w:name w:val="纯文本 Char1"/>
    <w:qFormat/>
    <w:uiPriority w:val="99"/>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154</Words>
  <Characters>879</Characters>
  <Lines>7</Lines>
  <Paragraphs>2</Paragraphs>
  <TotalTime>8</TotalTime>
  <ScaleCrop>false</ScaleCrop>
  <LinksUpToDate>false</LinksUpToDate>
  <CharactersWithSpaces>1031</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2020-06-08T07:12:00Z</dcterms:created>
  <dc:creator>lenovo</dc:creator>
  <cp:lastModifiedBy>ysgz</cp:lastModifiedBy>
  <cp:lastPrinted>2023-06-01T15:44:00Z</cp:lastPrinted>
  <dcterms:modified xsi:type="dcterms:W3CDTF">2023-07-21T09:46:54Z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