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w:t>
      </w:r>
      <w:r>
        <w:rPr>
          <w:rFonts w:hint="eastAsia" w:ascii="方正小标宋_GBK" w:hAnsi="方正小标宋_GBK" w:eastAsia="方正小标宋_GBK" w:cs="方正小标宋_GBK"/>
          <w:color w:val="000000"/>
          <w:sz w:val="32"/>
          <w:szCs w:val="32"/>
        </w:rPr>
        <w:t>竹制家具产品质量监督抽查实施细则</w:t>
      </w:r>
    </w:p>
    <w:p>
      <w:pPr>
        <w:adjustRightInd w:val="0"/>
        <w:snapToGrid w:val="0"/>
        <w:spacing w:line="440" w:lineRule="exact"/>
        <w:jc w:val="center"/>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（2023年版）</w:t>
      </w:r>
    </w:p>
    <w:p>
      <w:pPr>
        <w:adjustRightInd w:val="0"/>
        <w:snapToGrid w:val="0"/>
        <w:spacing w:line="594" w:lineRule="exact"/>
        <w:jc w:val="center"/>
        <w:rPr>
          <w:rFonts w:ascii="Times New Roman" w:hAnsi="Times New Roman" w:eastAsia="方正小标宋简体" w:cs="方正仿宋简体"/>
          <w:color w:val="000000"/>
          <w:sz w:val="32"/>
          <w:szCs w:val="32"/>
        </w:rPr>
      </w:pP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ascii="Times New Roman" w:hAnsi="Times New Roman"/>
          <w:color w:val="000000"/>
          <w:szCs w:val="21"/>
        </w:rPr>
        <w:t>随机数一般可</w:t>
      </w:r>
      <w:bookmarkStart w:id="0" w:name="_GoBack"/>
      <w:r>
        <w:rPr>
          <w:rFonts w:hint="default" w:ascii="Times New Roman" w:hAnsi="Times New Roman" w:cs="Times New Roman"/>
          <w:color w:val="000000"/>
          <w:szCs w:val="21"/>
        </w:rPr>
        <w:t>使用随机数表等方法产生。</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每批次产品抽取样品2件，其中1件作为检验样品，1件作为备用样品；当1件样品不足检测量需求时，每批次产品可抽取样品4件，其中2件作为检验样品，2件作为备用样品。</w:t>
      </w:r>
    </w:p>
    <w:p>
      <w:pPr>
        <w:adjustRightInd w:val="0"/>
        <w:snapToGrid w:val="0"/>
        <w:spacing w:line="440" w:lineRule="exact"/>
        <w:ind w:firstLine="420" w:firstLineChars="200"/>
        <w:rPr>
          <w:rFonts w:hint="default" w:ascii="Times New Roman" w:hAnsi="Times New Roman" w:cs="Times New Roman"/>
          <w:szCs w:val="21"/>
        </w:rPr>
      </w:pPr>
    </w:p>
    <w:p>
      <w:pPr>
        <w:snapToGrid w:val="0"/>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tbl>
      <w:tblPr>
        <w:tblStyle w:val="11"/>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2916"/>
        <w:gridCol w:w="81"/>
        <w:gridCol w:w="2344"/>
        <w:gridCol w:w="2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blHeader/>
          <w:jc w:val="center"/>
        </w:trPr>
        <w:tc>
          <w:tcPr>
            <w:tcW w:w="684" w:type="dxa"/>
            <w:vAlign w:val="center"/>
          </w:tcPr>
          <w:p>
            <w:pPr>
              <w:spacing w:line="440" w:lineRule="exact"/>
              <w:jc w:val="center"/>
              <w:textAlignment w:val="center"/>
              <w:rPr>
                <w:rFonts w:hint="default" w:ascii="Times New Roman" w:hAnsi="Times New Roman" w:cs="Times New Roman"/>
                <w:szCs w:val="21"/>
              </w:rPr>
            </w:pPr>
            <w:r>
              <w:rPr>
                <w:rFonts w:hint="default" w:ascii="Times New Roman" w:hAnsi="Times New Roman" w:cs="Times New Roman"/>
              </w:rPr>
              <w:t>序号</w:t>
            </w:r>
          </w:p>
        </w:tc>
        <w:tc>
          <w:tcPr>
            <w:tcW w:w="5341" w:type="dxa"/>
            <w:gridSpan w:val="3"/>
            <w:vAlign w:val="center"/>
          </w:tcPr>
          <w:p>
            <w:pPr>
              <w:spacing w:line="440" w:lineRule="exact"/>
              <w:jc w:val="center"/>
              <w:textAlignment w:val="center"/>
              <w:rPr>
                <w:rFonts w:hint="default" w:ascii="Times New Roman" w:hAnsi="Times New Roman" w:cs="Times New Roman"/>
                <w:szCs w:val="21"/>
              </w:rPr>
            </w:pPr>
            <w:r>
              <w:rPr>
                <w:rFonts w:hint="default" w:ascii="Times New Roman" w:hAnsi="Times New Roman" w:cs="Times New Roman"/>
              </w:rPr>
              <w:t>检验项目</w:t>
            </w:r>
          </w:p>
        </w:tc>
        <w:tc>
          <w:tcPr>
            <w:tcW w:w="2923" w:type="dxa"/>
            <w:vAlign w:val="center"/>
          </w:tcPr>
          <w:p>
            <w:pPr>
              <w:spacing w:line="440" w:lineRule="exact"/>
              <w:jc w:val="center"/>
              <w:textAlignment w:val="center"/>
              <w:rPr>
                <w:rFonts w:hint="default" w:ascii="Times New Roman" w:hAnsi="Times New Roman" w:cs="Times New Roman"/>
                <w:szCs w:val="21"/>
              </w:rPr>
            </w:pPr>
            <w:r>
              <w:rPr>
                <w:rFonts w:hint="default" w:ascii="Times New Roman" w:hAnsi="Times New Roman" w:cs="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2916"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表面理化性能（漆膜）</w:t>
            </w: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耐液性</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耐湿热</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32444-2015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耐干热</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4</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附着力</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5</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耐磨性</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6</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抗冲击</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7</w:t>
            </w:r>
          </w:p>
        </w:tc>
        <w:tc>
          <w:tcPr>
            <w:tcW w:w="2916"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表面理化性能（软、硬质覆面）</w:t>
            </w: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耐冷热循环</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8</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耐干热</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9</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耐液性</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10</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表面耐磨性</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11</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抗冲击</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4893.9-2013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12</w:t>
            </w:r>
          </w:p>
        </w:tc>
        <w:tc>
          <w:tcPr>
            <w:tcW w:w="2916"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力学性能（柜类强度）</w:t>
            </w: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结构和底架强度试验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10357.5—2011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13</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推拉构件结构强度试验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10357.5—2011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14</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推拉构件强度试验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10357.5—2011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15</w:t>
            </w:r>
          </w:p>
        </w:tc>
        <w:tc>
          <w:tcPr>
            <w:tcW w:w="5341" w:type="dxa"/>
            <w:gridSpan w:val="3"/>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力学性能（柜类稳定性）</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10357.4—2013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16</w:t>
            </w:r>
          </w:p>
        </w:tc>
        <w:tc>
          <w:tcPr>
            <w:tcW w:w="2916"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力学性能（桌类强度）</w:t>
            </w: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桌面垂直静载荷试验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10357.1—2013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17</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水平静载荷试验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10357.1—2013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18</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桌面垂直冲击试验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10357.1—2013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19</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桌腿跌落试验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10357.1—2013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20</w:t>
            </w:r>
          </w:p>
        </w:tc>
        <w:tc>
          <w:tcPr>
            <w:tcW w:w="5341" w:type="dxa"/>
            <w:gridSpan w:val="3"/>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力学性能（桌类稳定性）</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10357.7—2013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21</w:t>
            </w:r>
          </w:p>
        </w:tc>
        <w:tc>
          <w:tcPr>
            <w:tcW w:w="2916"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力学性能（椅凳类强度）</w:t>
            </w: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座面和椅背静载荷试验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10357.3—2013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22</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椅腿前向静载荷试验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10357.3—2013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23</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椅腿侧向静载荷试验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 xml:space="preserve">GB/T 10357.3—2013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24</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座面冲击试验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10357.3—2013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25</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跌落试验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10357.3—2013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26</w:t>
            </w:r>
          </w:p>
        </w:tc>
        <w:tc>
          <w:tcPr>
            <w:tcW w:w="5341" w:type="dxa"/>
            <w:gridSpan w:val="3"/>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力学性能（椅凳类稳定性）</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10357.2—2013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27</w:t>
            </w:r>
          </w:p>
        </w:tc>
        <w:tc>
          <w:tcPr>
            <w:tcW w:w="2916" w:type="dxa"/>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力学性能（单层床强度）</w:t>
            </w: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床铺面集中静载荷试验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10357.6—2013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28</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床长边静载荷试验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10357.6—2013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29</w:t>
            </w:r>
          </w:p>
        </w:tc>
        <w:tc>
          <w:tcPr>
            <w:tcW w:w="2916" w:type="dxa"/>
            <w:vMerge w:val="continue"/>
            <w:vAlign w:val="center"/>
          </w:tcPr>
          <w:p>
            <w:pPr>
              <w:snapToGrid w:val="0"/>
              <w:jc w:val="center"/>
              <w:rPr>
                <w:rFonts w:hint="default" w:ascii="Times New Roman" w:hAnsi="Times New Roman" w:cs="Times New Roman"/>
                <w:color w:val="000000"/>
                <w:szCs w:val="21"/>
              </w:rPr>
            </w:pPr>
          </w:p>
        </w:tc>
        <w:tc>
          <w:tcPr>
            <w:tcW w:w="2425" w:type="dxa"/>
            <w:gridSpan w:val="2"/>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床铺面冲击载荷试验</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10357.6—2013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30</w:t>
            </w:r>
          </w:p>
        </w:tc>
        <w:tc>
          <w:tcPr>
            <w:tcW w:w="5341" w:type="dxa"/>
            <w:gridSpan w:val="3"/>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甲醛释放量</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t>GB 18584</w:t>
            </w:r>
            <w:r>
              <w:rPr>
                <w:rFonts w:hint="default" w:ascii="Times New Roman" w:hAnsi="Times New Roman" w:cs="Times New Roman"/>
                <w:color w:val="000000"/>
                <w:szCs w:val="21"/>
              </w:rPr>
              <w:t>—</w:t>
            </w:r>
            <w:r>
              <w:rPr>
                <w:rFonts w:hint="default" w:ascii="Times New Roman" w:hAnsi="Times New Roman" w:cs="Times New Roman"/>
                <w:szCs w:val="21"/>
              </w:rPr>
              <w:t xml:space="preserve">2001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31</w:t>
            </w:r>
          </w:p>
        </w:tc>
        <w:tc>
          <w:tcPr>
            <w:tcW w:w="2997" w:type="dxa"/>
            <w:gridSpan w:val="2"/>
            <w:vMerge w:val="restart"/>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重金属含量（限色漆）</w:t>
            </w:r>
          </w:p>
        </w:tc>
        <w:tc>
          <w:tcPr>
            <w:tcW w:w="234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可溶性铅</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t>GB 18584</w:t>
            </w:r>
            <w:r>
              <w:rPr>
                <w:rFonts w:hint="default" w:ascii="Times New Roman" w:hAnsi="Times New Roman" w:cs="Times New Roman"/>
                <w:color w:val="000000"/>
                <w:szCs w:val="21"/>
              </w:rPr>
              <w:t>—</w:t>
            </w:r>
            <w:r>
              <w:rPr>
                <w:rFonts w:hint="default" w:ascii="Times New Roman" w:hAnsi="Times New Roman" w:cs="Times New Roman"/>
                <w:szCs w:val="21"/>
              </w:rPr>
              <w:t xml:space="preserve">2001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32</w:t>
            </w:r>
          </w:p>
        </w:tc>
        <w:tc>
          <w:tcPr>
            <w:tcW w:w="2997" w:type="dxa"/>
            <w:gridSpan w:val="2"/>
            <w:vMerge w:val="continue"/>
            <w:vAlign w:val="center"/>
          </w:tcPr>
          <w:p>
            <w:pPr>
              <w:snapToGrid w:val="0"/>
              <w:jc w:val="center"/>
              <w:rPr>
                <w:rFonts w:hint="default" w:ascii="Times New Roman" w:hAnsi="Times New Roman" w:cs="Times New Roman"/>
                <w:color w:val="000000"/>
                <w:szCs w:val="21"/>
              </w:rPr>
            </w:pPr>
          </w:p>
        </w:tc>
        <w:tc>
          <w:tcPr>
            <w:tcW w:w="234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可溶性镉</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t>GB 18584</w:t>
            </w:r>
            <w:r>
              <w:rPr>
                <w:rFonts w:hint="default" w:ascii="Times New Roman" w:hAnsi="Times New Roman" w:cs="Times New Roman"/>
                <w:color w:val="000000"/>
                <w:szCs w:val="21"/>
              </w:rPr>
              <w:t>—</w:t>
            </w:r>
            <w:r>
              <w:rPr>
                <w:rFonts w:hint="default" w:ascii="Times New Roman" w:hAnsi="Times New Roman" w:cs="Times New Roman"/>
                <w:szCs w:val="21"/>
              </w:rPr>
              <w:t xml:space="preserve">2001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33</w:t>
            </w:r>
          </w:p>
        </w:tc>
        <w:tc>
          <w:tcPr>
            <w:tcW w:w="2997" w:type="dxa"/>
            <w:gridSpan w:val="2"/>
            <w:vMerge w:val="continue"/>
            <w:vAlign w:val="center"/>
          </w:tcPr>
          <w:p>
            <w:pPr>
              <w:snapToGrid w:val="0"/>
              <w:jc w:val="center"/>
              <w:rPr>
                <w:rFonts w:hint="default" w:ascii="Times New Roman" w:hAnsi="Times New Roman" w:cs="Times New Roman"/>
                <w:color w:val="000000"/>
                <w:szCs w:val="21"/>
              </w:rPr>
            </w:pPr>
          </w:p>
        </w:tc>
        <w:tc>
          <w:tcPr>
            <w:tcW w:w="234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可溶性铬</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t>GB 18584</w:t>
            </w:r>
            <w:r>
              <w:rPr>
                <w:rFonts w:hint="default" w:ascii="Times New Roman" w:hAnsi="Times New Roman" w:cs="Times New Roman"/>
                <w:color w:val="000000"/>
                <w:szCs w:val="21"/>
              </w:rPr>
              <w:t>—</w:t>
            </w:r>
            <w:r>
              <w:rPr>
                <w:rFonts w:hint="default" w:ascii="Times New Roman" w:hAnsi="Times New Roman" w:cs="Times New Roman"/>
                <w:szCs w:val="21"/>
              </w:rPr>
              <w:t xml:space="preserve">2001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8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34</w:t>
            </w:r>
          </w:p>
        </w:tc>
        <w:tc>
          <w:tcPr>
            <w:tcW w:w="2997" w:type="dxa"/>
            <w:gridSpan w:val="2"/>
            <w:vMerge w:val="continue"/>
            <w:vAlign w:val="center"/>
          </w:tcPr>
          <w:p>
            <w:pPr>
              <w:snapToGrid w:val="0"/>
              <w:jc w:val="center"/>
              <w:rPr>
                <w:rFonts w:hint="default" w:ascii="Times New Roman" w:hAnsi="Times New Roman" w:cs="Times New Roman"/>
                <w:color w:val="000000"/>
                <w:szCs w:val="21"/>
              </w:rPr>
            </w:pPr>
          </w:p>
        </w:tc>
        <w:tc>
          <w:tcPr>
            <w:tcW w:w="2344"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可溶性汞</w:t>
            </w:r>
          </w:p>
        </w:tc>
        <w:tc>
          <w:tcPr>
            <w:tcW w:w="2923" w:type="dxa"/>
            <w:vAlign w:val="center"/>
          </w:tcPr>
          <w:p>
            <w:pPr>
              <w:snapToGrid w:val="0"/>
              <w:jc w:val="center"/>
              <w:rPr>
                <w:rFonts w:hint="default" w:ascii="Times New Roman" w:hAnsi="Times New Roman" w:cs="Times New Roman"/>
                <w:color w:val="000000"/>
                <w:szCs w:val="21"/>
              </w:rPr>
            </w:pPr>
            <w:r>
              <w:rPr>
                <w:rFonts w:hint="default" w:ascii="Times New Roman" w:hAnsi="Times New Roman" w:cs="Times New Roman"/>
                <w:szCs w:val="21"/>
              </w:rPr>
              <w:t>GB 18584</w:t>
            </w:r>
            <w:r>
              <w:rPr>
                <w:rFonts w:hint="default" w:ascii="Times New Roman" w:hAnsi="Times New Roman" w:cs="Times New Roman"/>
                <w:color w:val="000000"/>
                <w:szCs w:val="21"/>
              </w:rPr>
              <w:t>—</w:t>
            </w:r>
            <w:r>
              <w:rPr>
                <w:rFonts w:hint="default" w:ascii="Times New Roman" w:hAnsi="Times New Roman" w:cs="Times New Roman"/>
                <w:szCs w:val="21"/>
              </w:rPr>
              <w:t xml:space="preserve">2001 </w:t>
            </w:r>
          </w:p>
        </w:tc>
      </w:tr>
    </w:tbl>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hint="default" w:ascii="Times New Roman" w:hAnsi="Times New Roman" w:cs="Times New Roman"/>
          <w:color w:val="000000"/>
          <w:szCs w:val="21"/>
        </w:rPr>
      </w:pPr>
    </w:p>
    <w:p>
      <w:pPr>
        <w:spacing w:line="360" w:lineRule="auto"/>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snapToGrid w:val="0"/>
        <w:spacing w:line="360"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32444-2015 竹制家具通用技术条件</w:t>
      </w:r>
    </w:p>
    <w:p>
      <w:pPr>
        <w:snapToGrid w:val="0"/>
        <w:spacing w:line="360"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18584—2001 室内装饰装修材料 木家具中有害物质限量</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napToGrid w:val="0"/>
        <w:spacing w:line="384" w:lineRule="auto"/>
        <w:ind w:firstLine="420" w:firstLineChars="200"/>
        <w:rPr>
          <w:rFonts w:hint="default" w:ascii="Times New Roman" w:hAnsi="Times New Roman" w:cs="Times New Roman"/>
          <w:color w:val="000000"/>
          <w:szCs w:val="21"/>
        </w:rPr>
      </w:pPr>
    </w:p>
    <w:p>
      <w:pPr>
        <w:spacing w:line="360" w:lineRule="auto"/>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4 附则</w:t>
      </w:r>
    </w:p>
    <w:p>
      <w:pPr>
        <w:snapToGrid w:val="0"/>
        <w:spacing w:line="384"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本细则代替《贵州省市场监管局关于发布2022年版贵州省产品质量监督抽查实施细则（第二批）的公告》中的《贵州省竹制家具产品质量监督抽查实施细则（2022年版）》。</w:t>
      </w:r>
    </w:p>
    <w:p>
      <w:pPr>
        <w:snapToGrid w:val="0"/>
        <w:spacing w:line="384" w:lineRule="auto"/>
        <w:ind w:firstLine="420" w:firstLineChars="200"/>
        <w:rPr>
          <w:rFonts w:hint="default" w:ascii="Times New Roman" w:hAnsi="Times New Roman" w:cs="Times New Roman"/>
          <w:color w:val="000000"/>
          <w:szCs w:val="21"/>
        </w:rPr>
      </w:pPr>
    </w:p>
    <w:bookmarkEnd w:id="0"/>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611BA"/>
    <w:rsid w:val="00014997"/>
    <w:rsid w:val="00052D0A"/>
    <w:rsid w:val="0006741A"/>
    <w:rsid w:val="00080190"/>
    <w:rsid w:val="000A0C0F"/>
    <w:rsid w:val="000A1F68"/>
    <w:rsid w:val="000D135B"/>
    <w:rsid w:val="0010045C"/>
    <w:rsid w:val="001022E6"/>
    <w:rsid w:val="001134E2"/>
    <w:rsid w:val="0013450E"/>
    <w:rsid w:val="00135D58"/>
    <w:rsid w:val="001479E1"/>
    <w:rsid w:val="00175325"/>
    <w:rsid w:val="001960E8"/>
    <w:rsid w:val="00197FAE"/>
    <w:rsid w:val="001B1ECE"/>
    <w:rsid w:val="001B3557"/>
    <w:rsid w:val="001B3E6E"/>
    <w:rsid w:val="001D3021"/>
    <w:rsid w:val="001E7E75"/>
    <w:rsid w:val="001F4D89"/>
    <w:rsid w:val="002642D1"/>
    <w:rsid w:val="00283526"/>
    <w:rsid w:val="00287CFB"/>
    <w:rsid w:val="002A1067"/>
    <w:rsid w:val="002B6418"/>
    <w:rsid w:val="002C75FA"/>
    <w:rsid w:val="002F3260"/>
    <w:rsid w:val="00301FD0"/>
    <w:rsid w:val="00342341"/>
    <w:rsid w:val="00354255"/>
    <w:rsid w:val="00355360"/>
    <w:rsid w:val="003611BA"/>
    <w:rsid w:val="003701D3"/>
    <w:rsid w:val="003A45A8"/>
    <w:rsid w:val="003C4925"/>
    <w:rsid w:val="003F71F9"/>
    <w:rsid w:val="004565AD"/>
    <w:rsid w:val="004A4DFC"/>
    <w:rsid w:val="004B58D8"/>
    <w:rsid w:val="004B599D"/>
    <w:rsid w:val="004C6EAB"/>
    <w:rsid w:val="004C79DF"/>
    <w:rsid w:val="004D05AF"/>
    <w:rsid w:val="00507AE0"/>
    <w:rsid w:val="0051512A"/>
    <w:rsid w:val="00560FE5"/>
    <w:rsid w:val="005B7DE1"/>
    <w:rsid w:val="00624DD6"/>
    <w:rsid w:val="0063411E"/>
    <w:rsid w:val="006350F9"/>
    <w:rsid w:val="00652075"/>
    <w:rsid w:val="00652B40"/>
    <w:rsid w:val="00660FFF"/>
    <w:rsid w:val="0067449B"/>
    <w:rsid w:val="00675807"/>
    <w:rsid w:val="006B333A"/>
    <w:rsid w:val="006C75F5"/>
    <w:rsid w:val="006F3686"/>
    <w:rsid w:val="006F6818"/>
    <w:rsid w:val="00700705"/>
    <w:rsid w:val="007032EA"/>
    <w:rsid w:val="00704BD3"/>
    <w:rsid w:val="00712FE6"/>
    <w:rsid w:val="00721DBD"/>
    <w:rsid w:val="00766407"/>
    <w:rsid w:val="007C5B37"/>
    <w:rsid w:val="007E7B78"/>
    <w:rsid w:val="00801099"/>
    <w:rsid w:val="0081765C"/>
    <w:rsid w:val="008536DB"/>
    <w:rsid w:val="00863267"/>
    <w:rsid w:val="00863F48"/>
    <w:rsid w:val="00872CC4"/>
    <w:rsid w:val="008737DB"/>
    <w:rsid w:val="008B262B"/>
    <w:rsid w:val="008E4C32"/>
    <w:rsid w:val="008F131B"/>
    <w:rsid w:val="00911043"/>
    <w:rsid w:val="0092206A"/>
    <w:rsid w:val="00933214"/>
    <w:rsid w:val="00963128"/>
    <w:rsid w:val="009A6925"/>
    <w:rsid w:val="009B3AF3"/>
    <w:rsid w:val="009B48C4"/>
    <w:rsid w:val="009C120B"/>
    <w:rsid w:val="009C1C38"/>
    <w:rsid w:val="009D2CD9"/>
    <w:rsid w:val="009D2E2A"/>
    <w:rsid w:val="009D6D05"/>
    <w:rsid w:val="009E6086"/>
    <w:rsid w:val="009F189F"/>
    <w:rsid w:val="00A055B0"/>
    <w:rsid w:val="00A0674B"/>
    <w:rsid w:val="00A256FA"/>
    <w:rsid w:val="00A5157E"/>
    <w:rsid w:val="00A66A3D"/>
    <w:rsid w:val="00A7543F"/>
    <w:rsid w:val="00A77E8A"/>
    <w:rsid w:val="00A916BA"/>
    <w:rsid w:val="00AB2350"/>
    <w:rsid w:val="00AB462B"/>
    <w:rsid w:val="00AC3102"/>
    <w:rsid w:val="00AE1821"/>
    <w:rsid w:val="00AE471A"/>
    <w:rsid w:val="00AE5734"/>
    <w:rsid w:val="00AF5572"/>
    <w:rsid w:val="00B51584"/>
    <w:rsid w:val="00B54E2B"/>
    <w:rsid w:val="00B55224"/>
    <w:rsid w:val="00B80476"/>
    <w:rsid w:val="00B97F97"/>
    <w:rsid w:val="00BD2490"/>
    <w:rsid w:val="00C17712"/>
    <w:rsid w:val="00C17F20"/>
    <w:rsid w:val="00C207B1"/>
    <w:rsid w:val="00C21785"/>
    <w:rsid w:val="00C23A26"/>
    <w:rsid w:val="00C31483"/>
    <w:rsid w:val="00C345BB"/>
    <w:rsid w:val="00C46A22"/>
    <w:rsid w:val="00C57739"/>
    <w:rsid w:val="00C9467F"/>
    <w:rsid w:val="00CD3877"/>
    <w:rsid w:val="00CD7EE7"/>
    <w:rsid w:val="00CE5FB5"/>
    <w:rsid w:val="00CF5F1B"/>
    <w:rsid w:val="00D1325F"/>
    <w:rsid w:val="00D31DB4"/>
    <w:rsid w:val="00D6657B"/>
    <w:rsid w:val="00D732ED"/>
    <w:rsid w:val="00D85C2A"/>
    <w:rsid w:val="00D879A0"/>
    <w:rsid w:val="00D9506C"/>
    <w:rsid w:val="00DC0140"/>
    <w:rsid w:val="00DD7E3B"/>
    <w:rsid w:val="00DE5112"/>
    <w:rsid w:val="00E1489E"/>
    <w:rsid w:val="00E24FC8"/>
    <w:rsid w:val="00E66BAB"/>
    <w:rsid w:val="00E96130"/>
    <w:rsid w:val="00EF0AC2"/>
    <w:rsid w:val="00F24C84"/>
    <w:rsid w:val="00F34DCD"/>
    <w:rsid w:val="00F45C7A"/>
    <w:rsid w:val="00F5323C"/>
    <w:rsid w:val="00F61623"/>
    <w:rsid w:val="00F64554"/>
    <w:rsid w:val="00F85EBB"/>
    <w:rsid w:val="00FA2884"/>
    <w:rsid w:val="00FA45C8"/>
    <w:rsid w:val="00FA59DC"/>
    <w:rsid w:val="00FC0C80"/>
    <w:rsid w:val="00FE1549"/>
    <w:rsid w:val="01757279"/>
    <w:rsid w:val="02394E6E"/>
    <w:rsid w:val="071C39DD"/>
    <w:rsid w:val="0C3020D5"/>
    <w:rsid w:val="0D184869"/>
    <w:rsid w:val="14707C4A"/>
    <w:rsid w:val="14A748C1"/>
    <w:rsid w:val="29817179"/>
    <w:rsid w:val="2C062286"/>
    <w:rsid w:val="3CDCAA07"/>
    <w:rsid w:val="4A1D0919"/>
    <w:rsid w:val="55CC633D"/>
    <w:rsid w:val="60D566FD"/>
    <w:rsid w:val="61D054C2"/>
    <w:rsid w:val="61F5033B"/>
    <w:rsid w:val="652F585C"/>
    <w:rsid w:val="723415EF"/>
    <w:rsid w:val="73B7C4B7"/>
    <w:rsid w:val="97E8B2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字符"/>
    <w:basedOn w:val="12"/>
    <w:link w:val="2"/>
    <w:qFormat/>
    <w:uiPriority w:val="9"/>
    <w:rPr>
      <w:rFonts w:ascii="Calibri" w:hAnsi="Calibri" w:eastAsia="宋体" w:cs="Times New Roman"/>
      <w:b/>
      <w:bCs/>
      <w:kern w:val="44"/>
      <w:sz w:val="44"/>
      <w:szCs w:val="44"/>
    </w:rPr>
  </w:style>
  <w:style w:type="character" w:customStyle="1" w:styleId="16">
    <w:name w:val="正文文本缩进 字符"/>
    <w:basedOn w:val="12"/>
    <w:link w:val="4"/>
    <w:qFormat/>
    <w:uiPriority w:val="0"/>
    <w:rPr>
      <w:rFonts w:ascii="Times New Roman" w:hAnsi="Times New Roman" w:eastAsia="仿宋_GB2312" w:cs="Times New Roman"/>
      <w:sz w:val="30"/>
      <w:szCs w:val="24"/>
    </w:rPr>
  </w:style>
  <w:style w:type="character" w:customStyle="1" w:styleId="17">
    <w:name w:val="纯文本 字符"/>
    <w:basedOn w:val="12"/>
    <w:link w:val="5"/>
    <w:qFormat/>
    <w:uiPriority w:val="99"/>
    <w:rPr>
      <w:rFonts w:ascii="宋体" w:hAnsi="Courier New" w:eastAsia="宋体" w:cs="Times New Roman"/>
      <w:kern w:val="0"/>
      <w:sz w:val="20"/>
      <w:szCs w:val="20"/>
    </w:rPr>
  </w:style>
  <w:style w:type="character" w:customStyle="1" w:styleId="18">
    <w:name w:val="批注框文本 字符"/>
    <w:basedOn w:val="12"/>
    <w:link w:val="6"/>
    <w:qFormat/>
    <w:uiPriority w:val="99"/>
    <w:rPr>
      <w:rFonts w:ascii="Calibri" w:hAnsi="Calibri" w:eastAsia="宋体" w:cs="Times New Roman"/>
      <w:sz w:val="18"/>
      <w:szCs w:val="18"/>
    </w:rPr>
  </w:style>
  <w:style w:type="character" w:customStyle="1" w:styleId="19">
    <w:name w:val="页脚 字符"/>
    <w:basedOn w:val="12"/>
    <w:link w:val="7"/>
    <w:qFormat/>
    <w:uiPriority w:val="99"/>
    <w:rPr>
      <w:rFonts w:ascii="Calibri" w:hAnsi="Calibri" w:eastAsia="宋体" w:cs="Times New Roman"/>
      <w:sz w:val="18"/>
      <w:szCs w:val="18"/>
    </w:rPr>
  </w:style>
  <w:style w:type="character" w:customStyle="1" w:styleId="20">
    <w:name w:val="页眉 字符1"/>
    <w:basedOn w:val="12"/>
    <w:link w:val="8"/>
    <w:qFormat/>
    <w:uiPriority w:val="0"/>
    <w:rPr>
      <w:rFonts w:ascii="Calibri" w:hAnsi="Calibri" w:eastAsia="宋体" w:cs="Times New Roman"/>
      <w:sz w:val="18"/>
      <w:szCs w:val="18"/>
    </w:rPr>
  </w:style>
  <w:style w:type="character" w:customStyle="1" w:styleId="21">
    <w:name w:val="正文文本缩进 3 字符"/>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276</Words>
  <Characters>1575</Characters>
  <Lines>13</Lines>
  <Paragraphs>3</Paragraphs>
  <TotalTime>24</TotalTime>
  <ScaleCrop>false</ScaleCrop>
  <LinksUpToDate>false</LinksUpToDate>
  <CharactersWithSpaces>1848</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2019-12-10T02:31:00Z</dcterms:created>
  <dc:creator>lenovo</dc:creator>
  <cp:lastModifiedBy>ysgz</cp:lastModifiedBy>
  <dcterms:modified xsi:type="dcterms:W3CDTF">2023-07-20T17:54:39Z</dcterms:modified>
  <cp:revision>141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KSOSaveFontToCloudKey">
    <vt:lpwstr>333935165_cloud</vt:lpwstr>
  </property>
  <property fmtid="{D5CDD505-2E9C-101B-9397-08002B2CF9AE}" pid="4" name="ICV">
    <vt:lpwstr>E6143228EC144789B85BBDDAA55DF99B</vt:lpwstr>
  </property>
</Properties>
</file>