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贵州省安抚奶嘴产品质量监督抽查实施细则</w:t>
      </w:r>
    </w:p>
    <w:p>
      <w:pPr>
        <w:spacing w:line="440" w:lineRule="exact"/>
        <w:jc w:val="center"/>
        <w:rPr>
          <w:rFonts w:hint="eastAsia" w:ascii="楷体_GB2312" w:hAnsi="楷体_GB2312" w:eastAsia="楷体_GB2312" w:cs="楷体_GB2312"/>
          <w:color w:val="000000"/>
          <w:sz w:val="32"/>
          <w:szCs w:val="32"/>
        </w:rPr>
      </w:pPr>
      <w:bookmarkStart w:id="0" w:name="_GoBack"/>
      <w:r>
        <w:rPr>
          <w:rFonts w:hint="eastAsia" w:ascii="楷体_GB2312" w:hAnsi="楷体_GB2312" w:eastAsia="楷体_GB2312" w:cs="楷体_GB2312"/>
          <w:color w:val="000000"/>
          <w:sz w:val="32"/>
          <w:szCs w:val="32"/>
        </w:rPr>
        <w:t>（2023年版）</w:t>
      </w:r>
    </w:p>
    <w:bookmarkEnd w:id="0"/>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rPr>
        <w:t>每批次产品抽取样品</w:t>
      </w:r>
      <w:r>
        <w:t>22</w:t>
      </w:r>
      <w:r>
        <w:rPr>
          <w:rFonts w:hint="eastAsia"/>
        </w:rPr>
        <w:t>个，其中</w:t>
      </w:r>
      <w:r>
        <w:t>18</w:t>
      </w:r>
      <w:r>
        <w:rPr>
          <w:rFonts w:hint="eastAsia"/>
        </w:rPr>
        <w:t>个作为检验样品，</w:t>
      </w:r>
      <w:r>
        <w:t>4</w:t>
      </w:r>
      <w:r>
        <w:rPr>
          <w:rFonts w:hint="eastAsia"/>
        </w:rPr>
        <w:t>个作为备用样品。可根据样品状态调整抽样数量，但不得超过检验、复检的合理需要。</w:t>
      </w: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adjustRightInd w:val="0"/>
        <w:snapToGrid w:val="0"/>
        <w:spacing w:line="440" w:lineRule="exact"/>
        <w:rPr>
          <w:rFonts w:ascii="Times New Roman" w:hAnsi="Times New Roman" w:eastAsia="黑体"/>
          <w:color w:val="000000"/>
          <w:szCs w:val="21"/>
        </w:rPr>
      </w:pPr>
    </w:p>
    <w:tbl>
      <w:tblPr>
        <w:tblStyle w:val="8"/>
        <w:tblW w:w="91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5" w:type="dxa"/>
          <w:left w:w="15" w:type="dxa"/>
          <w:bottom w:w="15" w:type="dxa"/>
          <w:right w:w="15" w:type="dxa"/>
        </w:tblCellMar>
      </w:tblPr>
      <w:tblGrid>
        <w:gridCol w:w="843"/>
        <w:gridCol w:w="1587"/>
        <w:gridCol w:w="2333"/>
        <w:gridCol w:w="443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rPr>
                <w:sz w:val="21"/>
                <w:szCs w:val="21"/>
              </w:rPr>
            </w:pPr>
            <w:r>
              <w:rPr>
                <w:sz w:val="21"/>
                <w:szCs w:val="21"/>
              </w:rPr>
              <w:t>序号</w:t>
            </w:r>
          </w:p>
        </w:tc>
        <w:tc>
          <w:tcPr>
            <w:tcW w:w="3920" w:type="dxa"/>
            <w:gridSpan w:val="2"/>
            <w:tcBorders>
              <w:tl2br w:val="nil"/>
              <w:tr2bl w:val="nil"/>
            </w:tcBorders>
            <w:tcMar>
              <w:top w:w="75" w:type="dxa"/>
              <w:left w:w="150" w:type="dxa"/>
              <w:bottom w:w="75" w:type="dxa"/>
              <w:right w:w="150" w:type="dxa"/>
            </w:tcMar>
            <w:vAlign w:val="center"/>
          </w:tcPr>
          <w:p>
            <w:pPr>
              <w:pStyle w:val="6"/>
              <w:widowControl/>
              <w:jc w:val="center"/>
            </w:pPr>
            <w:r>
              <w:rPr>
                <w:sz w:val="21"/>
                <w:szCs w:val="21"/>
              </w:rPr>
              <w:t>检验项目</w:t>
            </w:r>
          </w:p>
        </w:tc>
        <w:tc>
          <w:tcPr>
            <w:tcW w:w="4432" w:type="dxa"/>
            <w:tcBorders>
              <w:tl2br w:val="nil"/>
              <w:tr2bl w:val="nil"/>
            </w:tcBorders>
            <w:tcMar>
              <w:top w:w="75" w:type="dxa"/>
              <w:left w:w="150" w:type="dxa"/>
              <w:bottom w:w="75" w:type="dxa"/>
              <w:right w:w="150" w:type="dxa"/>
            </w:tcMar>
            <w:vAlign w:val="center"/>
          </w:tcPr>
          <w:p>
            <w:pPr>
              <w:pStyle w:val="6"/>
              <w:widowControl/>
              <w:jc w:val="center"/>
            </w:pPr>
            <w:r>
              <w:rPr>
                <w:sz w:val="21"/>
                <w:szCs w:val="21"/>
              </w:rPr>
              <w:t>检验方法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sz w:val="21"/>
                <w:szCs w:val="21"/>
              </w:rPr>
              <w:t>1</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挥发性化合物含量</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sz w:val="21"/>
                <w:szCs w:val="21"/>
              </w:rPr>
              <w:t>2</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特定元素的迁移</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sz w:val="21"/>
                <w:szCs w:val="21"/>
              </w:rPr>
              <w:t>3</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2-巯基苯并噻唑（MBT）释放量和抗氧化剂释放量</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4</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邻苯二甲酸酯</w:t>
            </w:r>
          </w:p>
        </w:tc>
        <w:tc>
          <w:tcPr>
            <w:tcW w:w="4432" w:type="dxa"/>
            <w:tcBorders>
              <w:tl2br w:val="nil"/>
              <w:tr2bl w:val="nil"/>
            </w:tcBorders>
            <w:tcMar>
              <w:top w:w="75" w:type="dxa"/>
              <w:left w:w="150" w:type="dxa"/>
              <w:bottom w:w="75" w:type="dxa"/>
              <w:right w:w="150" w:type="dxa"/>
            </w:tcMar>
            <w:vAlign w:val="center"/>
          </w:tcPr>
          <w:p>
            <w:pPr>
              <w:snapToGrid w:val="0"/>
              <w:jc w:val="center"/>
            </w:pPr>
            <w:r>
              <w:t>GB/T 22048-2015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sz w:val="21"/>
                <w:szCs w:val="21"/>
              </w:rPr>
              <w:t>5</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N-亚硝胺释放量</w:t>
            </w:r>
          </w:p>
        </w:tc>
        <w:tc>
          <w:tcPr>
            <w:tcW w:w="4432" w:type="dxa"/>
            <w:tcBorders>
              <w:tl2br w:val="nil"/>
              <w:tr2bl w:val="nil"/>
            </w:tcBorders>
            <w:tcMar>
              <w:top w:w="75" w:type="dxa"/>
              <w:left w:w="150" w:type="dxa"/>
              <w:bottom w:w="75" w:type="dxa"/>
              <w:right w:w="150" w:type="dxa"/>
            </w:tcMar>
            <w:vAlign w:val="center"/>
          </w:tcPr>
          <w:p>
            <w:pPr>
              <w:snapToGrid w:val="0"/>
              <w:jc w:val="center"/>
            </w:pPr>
            <w:r>
              <w:rPr>
                <w:rFonts w:hint="eastAsia"/>
              </w:rP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sz w:val="21"/>
                <w:szCs w:val="21"/>
              </w:rPr>
              <w:t>6</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N-亚硝基物质释放量</w:t>
            </w:r>
          </w:p>
        </w:tc>
        <w:tc>
          <w:tcPr>
            <w:tcW w:w="4432" w:type="dxa"/>
            <w:tcBorders>
              <w:tl2br w:val="nil"/>
              <w:tr2bl w:val="nil"/>
            </w:tcBorders>
            <w:tcMar>
              <w:top w:w="75" w:type="dxa"/>
              <w:left w:w="150" w:type="dxa"/>
              <w:bottom w:w="75" w:type="dxa"/>
              <w:right w:w="150" w:type="dxa"/>
            </w:tcMar>
            <w:vAlign w:val="center"/>
          </w:tcPr>
          <w:p>
            <w:pPr>
              <w:snapToGrid w:val="0"/>
              <w:jc w:val="center"/>
            </w:pPr>
            <w:r>
              <w:rPr>
                <w:rFonts w:hint="eastAsia"/>
              </w:rP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sz w:val="21"/>
                <w:szCs w:val="21"/>
              </w:rPr>
              <w:t>7</w:t>
            </w:r>
          </w:p>
        </w:tc>
        <w:tc>
          <w:tcPr>
            <w:tcW w:w="1587" w:type="dxa"/>
            <w:vMerge w:val="restart"/>
            <w:tcBorders>
              <w:righ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一般安全要求</w:t>
            </w: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材料</w:t>
            </w:r>
          </w:p>
        </w:tc>
        <w:tc>
          <w:tcPr>
            <w:tcW w:w="4432" w:type="dxa"/>
            <w:tcBorders>
              <w:tl2br w:val="nil"/>
              <w:tr2bl w:val="nil"/>
            </w:tcBorders>
            <w:tcMar>
              <w:top w:w="75" w:type="dxa"/>
              <w:left w:w="150" w:type="dxa"/>
              <w:bottom w:w="75" w:type="dxa"/>
              <w:right w:w="150" w:type="dxa"/>
            </w:tcMar>
            <w:vAlign w:val="center"/>
          </w:tcPr>
          <w:p>
            <w:pPr>
              <w:snapToGrid w:val="0"/>
              <w:jc w:val="center"/>
            </w:pPr>
            <w:r>
              <w:rPr>
                <w:rFonts w:hint="eastAsia"/>
              </w:rP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sz w:val="21"/>
                <w:szCs w:val="21"/>
              </w:rPr>
              <w:t>8</w:t>
            </w:r>
          </w:p>
        </w:tc>
        <w:tc>
          <w:tcPr>
            <w:tcW w:w="1587" w:type="dxa"/>
            <w:vMerge w:val="continue"/>
            <w:tcBorders>
              <w:right w:val="single" w:color="auto" w:sz="4" w:space="0"/>
              <w:tl2br w:val="nil"/>
              <w:tr2bl w:val="nil"/>
            </w:tcBorders>
            <w:tcMar>
              <w:top w:w="75" w:type="dxa"/>
              <w:left w:w="150" w:type="dxa"/>
              <w:bottom w:w="75" w:type="dxa"/>
              <w:right w:w="150" w:type="dxa"/>
            </w:tcMar>
            <w:vAlign w:val="center"/>
          </w:tcPr>
          <w:p>
            <w:pPr>
              <w:snapToGrid w:val="0"/>
              <w:jc w:val="center"/>
            </w:pP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结构</w:t>
            </w:r>
          </w:p>
        </w:tc>
        <w:tc>
          <w:tcPr>
            <w:tcW w:w="4432" w:type="dxa"/>
            <w:tcBorders>
              <w:tl2br w:val="nil"/>
              <w:tr2bl w:val="nil"/>
            </w:tcBorders>
            <w:tcMar>
              <w:top w:w="75" w:type="dxa"/>
              <w:left w:w="150" w:type="dxa"/>
              <w:bottom w:w="75" w:type="dxa"/>
              <w:right w:w="150" w:type="dxa"/>
            </w:tcMar>
            <w:vAlign w:val="center"/>
          </w:tcPr>
          <w:p>
            <w:pPr>
              <w:snapToGrid w:val="0"/>
              <w:jc w:val="center"/>
            </w:pPr>
            <w:r>
              <w:rPr>
                <w:rFonts w:hint="eastAsia"/>
              </w:rP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9</w:t>
            </w:r>
          </w:p>
        </w:tc>
        <w:tc>
          <w:tcPr>
            <w:tcW w:w="1587" w:type="dxa"/>
            <w:vMerge w:val="restart"/>
            <w:tcBorders>
              <w:righ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机械性能要求</w:t>
            </w: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抗冲击性能</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w:t>
            </w:r>
            <w:r>
              <w:rPr>
                <w:sz w:val="21"/>
                <w:szCs w:val="21"/>
              </w:rPr>
              <w:t>0</w:t>
            </w:r>
          </w:p>
        </w:tc>
        <w:tc>
          <w:tcPr>
            <w:tcW w:w="1587" w:type="dxa"/>
            <w:vMerge w:val="continue"/>
            <w:tcBorders>
              <w:right w:val="single" w:color="auto" w:sz="4" w:space="0"/>
              <w:tl2br w:val="nil"/>
              <w:tr2bl w:val="nil"/>
            </w:tcBorders>
            <w:tcMar>
              <w:top w:w="75" w:type="dxa"/>
              <w:left w:w="150" w:type="dxa"/>
              <w:bottom w:w="75" w:type="dxa"/>
              <w:right w:w="150" w:type="dxa"/>
            </w:tcMar>
            <w:vAlign w:val="center"/>
          </w:tcPr>
          <w:p>
            <w:pPr>
              <w:snapToGrid w:val="0"/>
              <w:jc w:val="center"/>
            </w:pP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抗刺穿性能</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11</w:t>
            </w:r>
          </w:p>
        </w:tc>
        <w:tc>
          <w:tcPr>
            <w:tcW w:w="1587" w:type="dxa"/>
            <w:vMerge w:val="continue"/>
            <w:tcBorders>
              <w:right w:val="single" w:color="auto" w:sz="4" w:space="0"/>
              <w:tl2br w:val="nil"/>
              <w:tr2bl w:val="nil"/>
            </w:tcBorders>
            <w:tcMar>
              <w:top w:w="75" w:type="dxa"/>
              <w:left w:w="150" w:type="dxa"/>
              <w:bottom w:w="75" w:type="dxa"/>
              <w:right w:w="150" w:type="dxa"/>
            </w:tcMar>
            <w:vAlign w:val="center"/>
          </w:tcPr>
          <w:p>
            <w:pPr>
              <w:snapToGrid w:val="0"/>
              <w:jc w:val="center"/>
            </w:pP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抗扯性能</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12</w:t>
            </w:r>
          </w:p>
        </w:tc>
        <w:tc>
          <w:tcPr>
            <w:tcW w:w="1587" w:type="dxa"/>
            <w:vMerge w:val="continue"/>
            <w:tcBorders>
              <w:right w:val="single" w:color="auto" w:sz="4" w:space="0"/>
              <w:tl2br w:val="nil"/>
              <w:tr2bl w:val="nil"/>
            </w:tcBorders>
            <w:tcMar>
              <w:top w:w="75" w:type="dxa"/>
              <w:left w:w="150" w:type="dxa"/>
              <w:bottom w:w="75" w:type="dxa"/>
              <w:right w:w="150" w:type="dxa"/>
            </w:tcMar>
            <w:vAlign w:val="center"/>
          </w:tcPr>
          <w:p>
            <w:pPr>
              <w:snapToGrid w:val="0"/>
              <w:jc w:val="center"/>
            </w:pP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把手、塞子和/或盖的保持力</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13</w:t>
            </w:r>
          </w:p>
        </w:tc>
        <w:tc>
          <w:tcPr>
            <w:tcW w:w="1587" w:type="dxa"/>
            <w:vMerge w:val="continue"/>
            <w:tcBorders>
              <w:right w:val="single" w:color="auto" w:sz="4" w:space="0"/>
              <w:tl2br w:val="nil"/>
              <w:tr2bl w:val="nil"/>
            </w:tcBorders>
            <w:tcMar>
              <w:top w:w="75" w:type="dxa"/>
              <w:left w:w="150" w:type="dxa"/>
              <w:bottom w:w="75" w:type="dxa"/>
              <w:right w:w="150" w:type="dxa"/>
            </w:tcMar>
            <w:vAlign w:val="center"/>
          </w:tcPr>
          <w:p>
            <w:pPr>
              <w:snapToGrid w:val="0"/>
              <w:jc w:val="center"/>
            </w:pP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咬扯耐久性能</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14</w:t>
            </w:r>
          </w:p>
        </w:tc>
        <w:tc>
          <w:tcPr>
            <w:tcW w:w="1587" w:type="dxa"/>
            <w:vMerge w:val="continue"/>
            <w:tcBorders>
              <w:right w:val="single" w:color="auto" w:sz="4" w:space="0"/>
              <w:tl2br w:val="nil"/>
              <w:tr2bl w:val="nil"/>
            </w:tcBorders>
            <w:tcMar>
              <w:top w:w="75" w:type="dxa"/>
              <w:left w:w="150" w:type="dxa"/>
              <w:bottom w:w="75" w:type="dxa"/>
              <w:right w:w="150" w:type="dxa"/>
            </w:tcMar>
            <w:vAlign w:val="center"/>
          </w:tcPr>
          <w:p>
            <w:pPr>
              <w:snapToGrid w:val="0"/>
              <w:jc w:val="center"/>
            </w:pP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旋转耐久性</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15</w:t>
            </w:r>
          </w:p>
        </w:tc>
        <w:tc>
          <w:tcPr>
            <w:tcW w:w="1587" w:type="dxa"/>
            <w:vMerge w:val="continue"/>
            <w:tcBorders>
              <w:right w:val="single" w:color="auto" w:sz="4" w:space="0"/>
              <w:tl2br w:val="nil"/>
              <w:tr2bl w:val="nil"/>
            </w:tcBorders>
            <w:tcMar>
              <w:top w:w="75" w:type="dxa"/>
              <w:left w:w="150" w:type="dxa"/>
              <w:bottom w:w="75" w:type="dxa"/>
              <w:right w:w="150" w:type="dxa"/>
            </w:tcMar>
            <w:vAlign w:val="center"/>
          </w:tcPr>
          <w:p>
            <w:pPr>
              <w:snapToGrid w:val="0"/>
              <w:jc w:val="center"/>
            </w:pPr>
          </w:p>
        </w:tc>
        <w:tc>
          <w:tcPr>
            <w:tcW w:w="2333" w:type="dxa"/>
            <w:tcBorders>
              <w:left w:val="single" w:color="auto" w:sz="4" w:space="0"/>
              <w:tl2br w:val="nil"/>
              <w:tr2bl w:val="nil"/>
            </w:tcBorders>
            <w:tcMar>
              <w:top w:w="75" w:type="dxa"/>
              <w:left w:w="150" w:type="dxa"/>
              <w:bottom w:w="75" w:type="dxa"/>
              <w:right w:w="150" w:type="dxa"/>
            </w:tcMar>
            <w:vAlign w:val="center"/>
          </w:tcPr>
          <w:p>
            <w:pPr>
              <w:snapToGrid w:val="0"/>
              <w:jc w:val="center"/>
            </w:pPr>
            <w:r>
              <w:rPr>
                <w:rFonts w:hint="eastAsia"/>
              </w:rPr>
              <w:t>完整性</w:t>
            </w:r>
          </w:p>
        </w:tc>
        <w:tc>
          <w:tcPr>
            <w:tcW w:w="4432" w:type="dxa"/>
            <w:tcBorders>
              <w:tl2br w:val="nil"/>
              <w:tr2bl w:val="nil"/>
            </w:tcBorders>
            <w:tcMar>
              <w:top w:w="75" w:type="dxa"/>
              <w:left w:w="150" w:type="dxa"/>
              <w:bottom w:w="75" w:type="dxa"/>
              <w:right w:w="150" w:type="dxa"/>
            </w:tcMar>
            <w:vAlign w:val="center"/>
          </w:tcPr>
          <w:p>
            <w:pPr>
              <w:snapToGrid w:val="0"/>
              <w:jc w:val="center"/>
            </w:pPr>
            <w: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16</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消费品包装</w:t>
            </w:r>
          </w:p>
        </w:tc>
        <w:tc>
          <w:tcPr>
            <w:tcW w:w="4432" w:type="dxa"/>
            <w:tcBorders>
              <w:tl2br w:val="nil"/>
              <w:tr2bl w:val="nil"/>
            </w:tcBorders>
            <w:tcMar>
              <w:top w:w="75" w:type="dxa"/>
              <w:left w:w="150" w:type="dxa"/>
              <w:bottom w:w="75" w:type="dxa"/>
              <w:right w:w="150" w:type="dxa"/>
            </w:tcMar>
            <w:vAlign w:val="center"/>
          </w:tcPr>
          <w:p>
            <w:pPr>
              <w:snapToGrid w:val="0"/>
              <w:jc w:val="center"/>
            </w:pPr>
            <w:r>
              <w:rPr>
                <w:rFonts w:hint="eastAsia"/>
              </w:rPr>
              <w:t>GB 28482-2012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PrEx>
        <w:trPr>
          <w:cantSplit/>
          <w:trHeight w:val="397" w:hRule="atLeast"/>
          <w:jc w:val="center"/>
        </w:trPr>
        <w:tc>
          <w:tcPr>
            <w:tcW w:w="843" w:type="dxa"/>
            <w:tcBorders>
              <w:tl2br w:val="nil"/>
              <w:tr2bl w:val="nil"/>
            </w:tcBorders>
            <w:tcMar>
              <w:top w:w="75" w:type="dxa"/>
              <w:left w:w="150" w:type="dxa"/>
              <w:bottom w:w="75" w:type="dxa"/>
              <w:right w:w="150" w:type="dxa"/>
            </w:tcMar>
            <w:vAlign w:val="center"/>
          </w:tcPr>
          <w:p>
            <w:pPr>
              <w:pStyle w:val="6"/>
              <w:widowControl/>
              <w:jc w:val="center"/>
              <w:rPr>
                <w:sz w:val="21"/>
                <w:szCs w:val="21"/>
              </w:rPr>
            </w:pPr>
            <w:r>
              <w:rPr>
                <w:rFonts w:hint="eastAsia"/>
                <w:sz w:val="21"/>
                <w:szCs w:val="21"/>
              </w:rPr>
              <w:t>17</w:t>
            </w:r>
          </w:p>
        </w:tc>
        <w:tc>
          <w:tcPr>
            <w:tcW w:w="3920" w:type="dxa"/>
            <w:gridSpan w:val="2"/>
            <w:tcBorders>
              <w:tl2br w:val="nil"/>
              <w:tr2bl w:val="nil"/>
            </w:tcBorders>
            <w:tcMar>
              <w:top w:w="75" w:type="dxa"/>
              <w:left w:w="150" w:type="dxa"/>
              <w:bottom w:w="75" w:type="dxa"/>
              <w:right w:w="150" w:type="dxa"/>
            </w:tcMar>
            <w:vAlign w:val="center"/>
          </w:tcPr>
          <w:p>
            <w:pPr>
              <w:snapToGrid w:val="0"/>
              <w:jc w:val="center"/>
            </w:pPr>
            <w:r>
              <w:rPr>
                <w:rFonts w:hint="eastAsia"/>
              </w:rPr>
              <w:t>产品信息</w:t>
            </w:r>
          </w:p>
        </w:tc>
        <w:tc>
          <w:tcPr>
            <w:tcW w:w="4432" w:type="dxa"/>
            <w:tcBorders>
              <w:tl2br w:val="nil"/>
              <w:tr2bl w:val="nil"/>
            </w:tcBorders>
            <w:tcMar>
              <w:top w:w="75" w:type="dxa"/>
              <w:left w:w="150" w:type="dxa"/>
              <w:bottom w:w="75" w:type="dxa"/>
              <w:right w:w="150" w:type="dxa"/>
            </w:tcMar>
            <w:vAlign w:val="center"/>
          </w:tcPr>
          <w:p>
            <w:pPr>
              <w:snapToGrid w:val="0"/>
              <w:jc w:val="center"/>
            </w:pPr>
            <w:r>
              <w:rPr>
                <w:rFonts w:hint="eastAsia"/>
              </w:rPr>
              <w:t>GB 28482-2012</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left="439" w:leftChars="209"/>
        <w:rPr>
          <w:rFonts w:ascii="Times New Roman" w:hAnsi="Times New Roman" w:cs="宋体"/>
          <w:color w:val="000000"/>
          <w:szCs w:val="21"/>
        </w:rPr>
      </w:pPr>
      <w:r>
        <w:rPr>
          <w:rFonts w:hint="eastAsia" w:ascii="Times New Roman" w:hAnsi="Times New Roman"/>
          <w:szCs w:val="21"/>
        </w:rPr>
        <w:t>GB 28482-2012 婴幼儿安抚奶嘴安全要求</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ascii="Times New Roman" w:hAnsi="Times New Roman"/>
          <w:color w:val="FF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4 附则</w:t>
      </w:r>
    </w:p>
    <w:p>
      <w:pPr>
        <w:spacing w:line="440" w:lineRule="exact"/>
        <w:ind w:firstLine="420" w:firstLineChars="200"/>
        <w:rPr>
          <w:color w:val="000000"/>
          <w:szCs w:val="21"/>
        </w:rPr>
      </w:pPr>
      <w:r>
        <w:rPr>
          <w:rFonts w:hint="eastAsia" w:ascii="Times New Roman" w:hAnsi="Times New Roman"/>
          <w:color w:val="000000"/>
          <w:szCs w:val="21"/>
        </w:rPr>
        <w:t>本细则首次发布。</w:t>
      </w: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wZTI4Mjk5NDdlMjQwMDhkMTMwOGY5MDA3NzE0MGYifQ=="/>
  </w:docVars>
  <w:rsids>
    <w:rsidRoot w:val="00172A27"/>
    <w:rsid w:val="000078BF"/>
    <w:rsid w:val="000411F6"/>
    <w:rsid w:val="00051A44"/>
    <w:rsid w:val="00057215"/>
    <w:rsid w:val="0006546B"/>
    <w:rsid w:val="000724E0"/>
    <w:rsid w:val="00081CBD"/>
    <w:rsid w:val="000976DE"/>
    <w:rsid w:val="000D3DC3"/>
    <w:rsid w:val="000D4520"/>
    <w:rsid w:val="0011126F"/>
    <w:rsid w:val="00121AD2"/>
    <w:rsid w:val="0012589F"/>
    <w:rsid w:val="00172A27"/>
    <w:rsid w:val="0017462B"/>
    <w:rsid w:val="001752B3"/>
    <w:rsid w:val="001809DD"/>
    <w:rsid w:val="001B1B80"/>
    <w:rsid w:val="001C5B9E"/>
    <w:rsid w:val="001E2A58"/>
    <w:rsid w:val="001E5FDD"/>
    <w:rsid w:val="00200F7E"/>
    <w:rsid w:val="00204381"/>
    <w:rsid w:val="002218A6"/>
    <w:rsid w:val="00226457"/>
    <w:rsid w:val="00232530"/>
    <w:rsid w:val="00253624"/>
    <w:rsid w:val="00271173"/>
    <w:rsid w:val="002A0EB6"/>
    <w:rsid w:val="002D7664"/>
    <w:rsid w:val="002D7F8A"/>
    <w:rsid w:val="002E0D1D"/>
    <w:rsid w:val="002E31EC"/>
    <w:rsid w:val="002E54BA"/>
    <w:rsid w:val="003124B0"/>
    <w:rsid w:val="00312963"/>
    <w:rsid w:val="00315F5D"/>
    <w:rsid w:val="003203A3"/>
    <w:rsid w:val="003243DA"/>
    <w:rsid w:val="00365CBE"/>
    <w:rsid w:val="00370478"/>
    <w:rsid w:val="00387342"/>
    <w:rsid w:val="003A7D30"/>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E1396"/>
    <w:rsid w:val="004F6A1B"/>
    <w:rsid w:val="005059B8"/>
    <w:rsid w:val="005246DF"/>
    <w:rsid w:val="00524F83"/>
    <w:rsid w:val="00532C7D"/>
    <w:rsid w:val="005547B9"/>
    <w:rsid w:val="00563592"/>
    <w:rsid w:val="00563EBC"/>
    <w:rsid w:val="00567612"/>
    <w:rsid w:val="005944BB"/>
    <w:rsid w:val="005B2B74"/>
    <w:rsid w:val="005F410D"/>
    <w:rsid w:val="0061401E"/>
    <w:rsid w:val="00653ACE"/>
    <w:rsid w:val="0068383D"/>
    <w:rsid w:val="00683D59"/>
    <w:rsid w:val="00686C1D"/>
    <w:rsid w:val="00696872"/>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F7401"/>
    <w:rsid w:val="00847CA2"/>
    <w:rsid w:val="00854A39"/>
    <w:rsid w:val="00856856"/>
    <w:rsid w:val="00895BEA"/>
    <w:rsid w:val="00897938"/>
    <w:rsid w:val="008A3497"/>
    <w:rsid w:val="008A784B"/>
    <w:rsid w:val="008C2891"/>
    <w:rsid w:val="009162E3"/>
    <w:rsid w:val="00917A54"/>
    <w:rsid w:val="00920531"/>
    <w:rsid w:val="00947017"/>
    <w:rsid w:val="009508C0"/>
    <w:rsid w:val="009672B3"/>
    <w:rsid w:val="00983208"/>
    <w:rsid w:val="00986DAA"/>
    <w:rsid w:val="009E1DB3"/>
    <w:rsid w:val="009F79F0"/>
    <w:rsid w:val="00A01D94"/>
    <w:rsid w:val="00A12535"/>
    <w:rsid w:val="00A14555"/>
    <w:rsid w:val="00A43553"/>
    <w:rsid w:val="00A47A81"/>
    <w:rsid w:val="00A53F64"/>
    <w:rsid w:val="00A82E3B"/>
    <w:rsid w:val="00A85372"/>
    <w:rsid w:val="00AA32FA"/>
    <w:rsid w:val="00AB331F"/>
    <w:rsid w:val="00AB58F6"/>
    <w:rsid w:val="00AB7EC8"/>
    <w:rsid w:val="00AC5391"/>
    <w:rsid w:val="00AD1F30"/>
    <w:rsid w:val="00AD4B7A"/>
    <w:rsid w:val="00AE1D84"/>
    <w:rsid w:val="00AF3D2A"/>
    <w:rsid w:val="00B023F6"/>
    <w:rsid w:val="00B22E26"/>
    <w:rsid w:val="00B23213"/>
    <w:rsid w:val="00B23618"/>
    <w:rsid w:val="00B44C01"/>
    <w:rsid w:val="00B4598B"/>
    <w:rsid w:val="00B8665C"/>
    <w:rsid w:val="00B86DEB"/>
    <w:rsid w:val="00B92E75"/>
    <w:rsid w:val="00BA4A01"/>
    <w:rsid w:val="00BB6DAB"/>
    <w:rsid w:val="00BC692E"/>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285"/>
    <w:rsid w:val="00E02A7F"/>
    <w:rsid w:val="00E07880"/>
    <w:rsid w:val="00E12C14"/>
    <w:rsid w:val="00E23D31"/>
    <w:rsid w:val="00E32408"/>
    <w:rsid w:val="00E57DD6"/>
    <w:rsid w:val="00E62061"/>
    <w:rsid w:val="00E65655"/>
    <w:rsid w:val="00E710E0"/>
    <w:rsid w:val="00E7616F"/>
    <w:rsid w:val="00E7720E"/>
    <w:rsid w:val="00E82621"/>
    <w:rsid w:val="00E94B8D"/>
    <w:rsid w:val="00EB05D5"/>
    <w:rsid w:val="00EC5582"/>
    <w:rsid w:val="00EE701C"/>
    <w:rsid w:val="00EF127A"/>
    <w:rsid w:val="00EF4681"/>
    <w:rsid w:val="00EF7D98"/>
    <w:rsid w:val="00F02CFF"/>
    <w:rsid w:val="00F041CC"/>
    <w:rsid w:val="00F047B9"/>
    <w:rsid w:val="00F13300"/>
    <w:rsid w:val="00F137FF"/>
    <w:rsid w:val="00F16E3A"/>
    <w:rsid w:val="00F24D81"/>
    <w:rsid w:val="00F37FFC"/>
    <w:rsid w:val="00F427D1"/>
    <w:rsid w:val="00F474A0"/>
    <w:rsid w:val="00F55BB7"/>
    <w:rsid w:val="00F77C9A"/>
    <w:rsid w:val="00FB576C"/>
    <w:rsid w:val="00FC4DB1"/>
    <w:rsid w:val="00FD2AA6"/>
    <w:rsid w:val="00FD6D81"/>
    <w:rsid w:val="00FE7E8A"/>
    <w:rsid w:val="00FF5126"/>
    <w:rsid w:val="0385268A"/>
    <w:rsid w:val="055C2609"/>
    <w:rsid w:val="06AC3180"/>
    <w:rsid w:val="0EAF2A3C"/>
    <w:rsid w:val="123767B7"/>
    <w:rsid w:val="15213D69"/>
    <w:rsid w:val="1A58096A"/>
    <w:rsid w:val="1C0C4212"/>
    <w:rsid w:val="227F6C37"/>
    <w:rsid w:val="28C25756"/>
    <w:rsid w:val="2B0013F2"/>
    <w:rsid w:val="2EC2549B"/>
    <w:rsid w:val="30F44350"/>
    <w:rsid w:val="34376C30"/>
    <w:rsid w:val="373175D4"/>
    <w:rsid w:val="384E7E68"/>
    <w:rsid w:val="3F241496"/>
    <w:rsid w:val="45397ECA"/>
    <w:rsid w:val="4B16063C"/>
    <w:rsid w:val="4CEC5FD7"/>
    <w:rsid w:val="54786C3F"/>
    <w:rsid w:val="58C63DB1"/>
    <w:rsid w:val="65282E3C"/>
    <w:rsid w:val="66877835"/>
    <w:rsid w:val="67302690"/>
    <w:rsid w:val="6AFF3292"/>
    <w:rsid w:val="707E5095"/>
    <w:rsid w:val="70FE4E7D"/>
    <w:rsid w:val="75662232"/>
    <w:rsid w:val="7FFB380A"/>
    <w:rsid w:val="FDCF8E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paragraph" w:styleId="7">
    <w:name w:val="annotation subject"/>
    <w:basedOn w:val="2"/>
    <w:next w:val="2"/>
    <w:link w:val="19"/>
    <w:semiHidden/>
    <w:unhideWhenUsed/>
    <w:qFormat/>
    <w:uiPriority w:val="99"/>
    <w:rPr>
      <w:b/>
      <w:bCs/>
    </w:r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批注框文本 字符"/>
    <w:link w:val="3"/>
    <w:semiHidden/>
    <w:qFormat/>
    <w:uiPriority w:val="99"/>
    <w:rPr>
      <w:kern w:val="2"/>
      <w:sz w:val="18"/>
      <w:szCs w:val="18"/>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字符"/>
    <w:link w:val="5"/>
    <w:semiHidden/>
    <w:qFormat/>
    <w:uiPriority w:val="99"/>
    <w:rPr>
      <w:kern w:val="2"/>
      <w:sz w:val="18"/>
      <w:szCs w:val="18"/>
    </w:rPr>
  </w:style>
  <w:style w:type="character" w:customStyle="1" w:styleId="15">
    <w:name w:val="页脚 字符"/>
    <w:link w:val="4"/>
    <w:qFormat/>
    <w:uiPriority w:val="99"/>
    <w:rPr>
      <w:kern w:val="2"/>
      <w:sz w:val="18"/>
      <w:szCs w:val="18"/>
    </w:rPr>
  </w:style>
  <w:style w:type="paragraph" w:customStyle="1" w:styleId="16">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7">
    <w:name w:val="列出段落1"/>
    <w:basedOn w:val="1"/>
    <w:qFormat/>
    <w:uiPriority w:val="34"/>
    <w:pPr>
      <w:ind w:firstLine="420" w:firstLineChars="200"/>
    </w:pPr>
    <w:rPr>
      <w:szCs w:val="22"/>
    </w:rPr>
  </w:style>
  <w:style w:type="character" w:customStyle="1" w:styleId="18">
    <w:name w:val="批注文字 字符"/>
    <w:basedOn w:val="9"/>
    <w:link w:val="2"/>
    <w:semiHidden/>
    <w:qFormat/>
    <w:uiPriority w:val="99"/>
    <w:rPr>
      <w:kern w:val="2"/>
      <w:sz w:val="21"/>
      <w:szCs w:val="24"/>
    </w:rPr>
  </w:style>
  <w:style w:type="character" w:customStyle="1" w:styleId="19">
    <w:name w:val="批注主题 字符"/>
    <w:basedOn w:val="18"/>
    <w:link w:val="7"/>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167</Words>
  <Characters>954</Characters>
  <Lines>7</Lines>
  <Paragraphs>2</Paragraphs>
  <TotalTime>3</TotalTime>
  <ScaleCrop>false</ScaleCrop>
  <LinksUpToDate>false</LinksUpToDate>
  <CharactersWithSpaces>1119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2023-07-20T10:28:38Z</dcterms:modified>
  <dc:title>××产品质量监督抽查实施细则</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