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贵州省预应力混凝土用钢材产品质量监督抽查实施细则</w:t>
      </w:r>
    </w:p>
    <w:p>
      <w:pPr>
        <w:snapToGrid w:val="0"/>
        <w:spacing w:line="440"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3</w:t>
      </w:r>
      <w:r>
        <w:rPr>
          <w:rFonts w:hint="eastAsia" w:ascii="楷体_GB2312" w:hAnsi="楷体_GB2312" w:eastAsia="楷体_GB2312" w:cs="楷体_GB2312"/>
          <w:color w:val="000000"/>
          <w:sz w:val="32"/>
          <w:szCs w:val="32"/>
        </w:rPr>
        <w:t>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在同一规格、批次产品中随机抽取3根长2000mm的试样，再将该试样截为两段，每段长度 1000mm，分别依次编号，并一一对应（如1-a，1-b）。</w:t>
      </w:r>
      <w:r>
        <w:rPr>
          <w:rFonts w:ascii="Times New Roman" w:hAnsi="Times New Roman" w:eastAsia="宋体" w:cs="Times New Roman"/>
          <w:szCs w:val="21"/>
        </w:rPr>
        <w:t>再</w:t>
      </w:r>
      <w:r>
        <w:rPr>
          <w:rFonts w:hint="eastAsia" w:ascii="Times New Roman" w:hAnsi="Times New Roman" w:eastAsia="宋体" w:cs="Times New Roman"/>
          <w:szCs w:val="21"/>
        </w:rPr>
        <w:t>随机抽取2支3000mm样品（松弛试验用），做出一一对应标识（如1-a，1-b）。所有抽标记 a 的样品为检验样品，标记 b 的样品为备用样品。</w:t>
      </w:r>
    </w:p>
    <w:p>
      <w:pPr>
        <w:spacing w:line="440" w:lineRule="exact"/>
        <w:rPr>
          <w:rFonts w:ascii="Times New Roman" w:hAnsi="Times New Roman" w:eastAsia="宋体" w:cs="Times New Roman"/>
          <w:szCs w:val="21"/>
        </w:rPr>
      </w:pPr>
    </w:p>
    <w:p>
      <w:pPr>
        <w:spacing w:line="440" w:lineRule="exact"/>
        <w:rPr>
          <w:rFonts w:eastAsia="黑体"/>
          <w:color w:val="000000"/>
          <w:szCs w:val="21"/>
        </w:rPr>
      </w:pPr>
      <w:r>
        <w:rPr>
          <w:rFonts w:eastAsia="黑体"/>
          <w:color w:val="000000"/>
          <w:szCs w:val="21"/>
        </w:rPr>
        <w:t>2 检验依据</w:t>
      </w:r>
    </w:p>
    <w:p>
      <w:pPr>
        <w:spacing w:line="500" w:lineRule="exact"/>
        <w:jc w:val="center"/>
        <w:rPr>
          <w:rFonts w:ascii="宋体" w:hAnsi="宋体"/>
          <w:color w:val="auto"/>
          <w:szCs w:val="21"/>
        </w:rPr>
      </w:pPr>
      <w:r>
        <w:rPr>
          <w:rFonts w:hint="eastAsia" w:ascii="宋体" w:hAnsi="宋体"/>
          <w:color w:val="auto"/>
          <w:szCs w:val="21"/>
        </w:rPr>
        <w:t>表1  预应力混凝土用钢绞线</w:t>
      </w:r>
    </w:p>
    <w:tbl>
      <w:tblPr>
        <w:tblStyle w:val="5"/>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6305"/>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57"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序号</w:t>
            </w:r>
          </w:p>
        </w:tc>
        <w:tc>
          <w:tcPr>
            <w:tcW w:w="6305"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检验项目</w:t>
            </w:r>
          </w:p>
        </w:tc>
        <w:tc>
          <w:tcPr>
            <w:tcW w:w="1906"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57" w:type="dxa"/>
            <w:vMerge w:val="continue"/>
            <w:vAlign w:val="center"/>
          </w:tcPr>
          <w:p>
            <w:pPr>
              <w:snapToGrid w:val="0"/>
              <w:ind w:firstLine="420"/>
              <w:jc w:val="center"/>
              <w:rPr>
                <w:rFonts w:asciiTheme="minorEastAsia" w:hAnsiTheme="minorEastAsia" w:cstheme="minorEastAsia"/>
                <w:color w:val="auto"/>
                <w:sz w:val="18"/>
                <w:szCs w:val="18"/>
              </w:rPr>
            </w:pPr>
          </w:p>
        </w:tc>
        <w:tc>
          <w:tcPr>
            <w:tcW w:w="6305" w:type="dxa"/>
            <w:vMerge w:val="continue"/>
            <w:vAlign w:val="center"/>
          </w:tcPr>
          <w:p>
            <w:pPr>
              <w:snapToGrid w:val="0"/>
              <w:ind w:firstLine="420"/>
              <w:jc w:val="center"/>
              <w:rPr>
                <w:rFonts w:asciiTheme="minorEastAsia" w:hAnsiTheme="minorEastAsia" w:cstheme="minorEastAsia"/>
                <w:color w:val="auto"/>
                <w:sz w:val="18"/>
                <w:szCs w:val="18"/>
              </w:rPr>
            </w:pPr>
          </w:p>
        </w:tc>
        <w:tc>
          <w:tcPr>
            <w:tcW w:w="1906" w:type="dxa"/>
            <w:vMerge w:val="continue"/>
            <w:vAlign w:val="center"/>
          </w:tcPr>
          <w:p>
            <w:pPr>
              <w:snapToGrid w:val="0"/>
              <w:ind w:firstLine="42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7"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1</w:t>
            </w:r>
          </w:p>
        </w:tc>
        <w:tc>
          <w:tcPr>
            <w:tcW w:w="6305"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lang w:val="en-US" w:eastAsia="zh-CN"/>
              </w:rPr>
              <w:t>公称</w:t>
            </w:r>
            <w:r>
              <w:rPr>
                <w:rFonts w:hint="eastAsia" w:asciiTheme="minorEastAsia" w:hAnsiTheme="minorEastAsia" w:cstheme="minorEastAsia"/>
                <w:color w:val="auto"/>
                <w:sz w:val="18"/>
                <w:szCs w:val="18"/>
              </w:rPr>
              <w:t>抗拉强度</w:t>
            </w:r>
          </w:p>
        </w:tc>
        <w:tc>
          <w:tcPr>
            <w:tcW w:w="1906"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7"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2</w:t>
            </w:r>
          </w:p>
        </w:tc>
        <w:tc>
          <w:tcPr>
            <w:tcW w:w="6305"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整根钢绞线最大力</w:t>
            </w:r>
          </w:p>
        </w:tc>
        <w:tc>
          <w:tcPr>
            <w:tcW w:w="1906" w:type="dxa"/>
            <w:vMerge w:val="continue"/>
            <w:vAlign w:val="center"/>
          </w:tcPr>
          <w:p>
            <w:pPr>
              <w:snapToGrid w:val="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7"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3</w:t>
            </w:r>
          </w:p>
        </w:tc>
        <w:tc>
          <w:tcPr>
            <w:tcW w:w="6305" w:type="dxa"/>
            <w:vAlign w:val="center"/>
          </w:tcPr>
          <w:p>
            <w:pPr>
              <w:snapToGrid w:val="0"/>
              <w:jc w:val="center"/>
              <w:rPr>
                <w:rFonts w:hint="default"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0.2%屈服力</w:t>
            </w:r>
          </w:p>
        </w:tc>
        <w:tc>
          <w:tcPr>
            <w:tcW w:w="1906" w:type="dxa"/>
            <w:vMerge w:val="continue"/>
            <w:vAlign w:val="center"/>
          </w:tcPr>
          <w:p>
            <w:pPr>
              <w:snapToGrid w:val="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7"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4</w:t>
            </w:r>
          </w:p>
        </w:tc>
        <w:tc>
          <w:tcPr>
            <w:tcW w:w="6305"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最大力总伸长率</w:t>
            </w:r>
          </w:p>
        </w:tc>
        <w:tc>
          <w:tcPr>
            <w:tcW w:w="1906" w:type="dxa"/>
            <w:vMerge w:val="continue"/>
            <w:vAlign w:val="center"/>
          </w:tcPr>
          <w:p>
            <w:pPr>
              <w:snapToGrid w:val="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7"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5</w:t>
            </w:r>
          </w:p>
        </w:tc>
        <w:tc>
          <w:tcPr>
            <w:tcW w:w="6305"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应力</w:t>
            </w:r>
            <w:r>
              <w:rPr>
                <w:rFonts w:hint="eastAsia" w:asciiTheme="minorEastAsia" w:hAnsiTheme="minorEastAsia" w:cstheme="minorEastAsia"/>
                <w:color w:val="auto"/>
                <w:sz w:val="18"/>
                <w:szCs w:val="18"/>
              </w:rPr>
              <w:t>松弛</w:t>
            </w:r>
            <w:r>
              <w:rPr>
                <w:rFonts w:hint="eastAsia" w:asciiTheme="minorEastAsia" w:hAnsiTheme="minorEastAsia" w:cstheme="minorEastAsia"/>
                <w:color w:val="auto"/>
                <w:sz w:val="18"/>
                <w:szCs w:val="18"/>
                <w:lang w:val="en-US" w:eastAsia="zh-CN"/>
              </w:rPr>
              <w:t>性能</w:t>
            </w:r>
          </w:p>
        </w:tc>
        <w:tc>
          <w:tcPr>
            <w:tcW w:w="1906" w:type="dxa"/>
            <w:vMerge w:val="continue"/>
            <w:vAlign w:val="center"/>
          </w:tcPr>
          <w:p>
            <w:pPr>
              <w:snapToGrid w:val="0"/>
              <w:jc w:val="center"/>
              <w:rPr>
                <w:rFonts w:asciiTheme="minorEastAsia" w:hAnsiTheme="minorEastAsia" w:cstheme="minorEastAsia"/>
                <w:color w:val="auto"/>
                <w:sz w:val="18"/>
                <w:szCs w:val="18"/>
              </w:rPr>
            </w:pPr>
          </w:p>
        </w:tc>
      </w:tr>
    </w:tbl>
    <w:p>
      <w:pPr>
        <w:spacing w:line="440" w:lineRule="exact"/>
        <w:rPr>
          <w:rFonts w:eastAsia="黑体"/>
          <w:color w:val="auto"/>
          <w:szCs w:val="21"/>
        </w:rPr>
      </w:pPr>
    </w:p>
    <w:p>
      <w:pPr>
        <w:spacing w:line="500" w:lineRule="exact"/>
        <w:jc w:val="center"/>
        <w:rPr>
          <w:rFonts w:ascii="宋体" w:hAnsi="宋体"/>
          <w:color w:val="auto"/>
          <w:szCs w:val="21"/>
        </w:rPr>
      </w:pPr>
      <w:r>
        <w:rPr>
          <w:rFonts w:hint="eastAsia" w:ascii="宋体" w:hAnsi="宋体"/>
          <w:color w:val="auto"/>
          <w:szCs w:val="21"/>
        </w:rPr>
        <w:t>表2  预应力混凝土用钢丝</w:t>
      </w: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6301"/>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59"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序号</w:t>
            </w:r>
          </w:p>
        </w:tc>
        <w:tc>
          <w:tcPr>
            <w:tcW w:w="6301"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检验项目</w:t>
            </w:r>
          </w:p>
        </w:tc>
        <w:tc>
          <w:tcPr>
            <w:tcW w:w="1907"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59" w:type="dxa"/>
            <w:vMerge w:val="continue"/>
            <w:vAlign w:val="center"/>
          </w:tcPr>
          <w:p>
            <w:pPr>
              <w:snapToGrid w:val="0"/>
              <w:ind w:firstLine="420"/>
              <w:jc w:val="center"/>
              <w:rPr>
                <w:rFonts w:asciiTheme="minorEastAsia" w:hAnsiTheme="minorEastAsia" w:cstheme="minorEastAsia"/>
                <w:color w:val="auto"/>
                <w:sz w:val="18"/>
                <w:szCs w:val="18"/>
              </w:rPr>
            </w:pPr>
          </w:p>
        </w:tc>
        <w:tc>
          <w:tcPr>
            <w:tcW w:w="6301" w:type="dxa"/>
            <w:vMerge w:val="continue"/>
            <w:vAlign w:val="center"/>
          </w:tcPr>
          <w:p>
            <w:pPr>
              <w:snapToGrid w:val="0"/>
              <w:ind w:firstLine="420"/>
              <w:jc w:val="center"/>
              <w:rPr>
                <w:rFonts w:asciiTheme="minorEastAsia" w:hAnsiTheme="minorEastAsia" w:cstheme="minorEastAsia"/>
                <w:color w:val="auto"/>
                <w:sz w:val="18"/>
                <w:szCs w:val="18"/>
              </w:rPr>
            </w:pPr>
          </w:p>
        </w:tc>
        <w:tc>
          <w:tcPr>
            <w:tcW w:w="1907" w:type="dxa"/>
            <w:vMerge w:val="continue"/>
            <w:vAlign w:val="center"/>
          </w:tcPr>
          <w:p>
            <w:pPr>
              <w:snapToGrid w:val="0"/>
              <w:ind w:firstLine="42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959"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1</w:t>
            </w:r>
          </w:p>
        </w:tc>
        <w:tc>
          <w:tcPr>
            <w:tcW w:w="6301"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lang w:val="en-US" w:eastAsia="zh-CN"/>
              </w:rPr>
              <w:t>公称</w:t>
            </w:r>
            <w:r>
              <w:rPr>
                <w:rFonts w:hint="eastAsia" w:asciiTheme="minorEastAsia" w:hAnsiTheme="minorEastAsia" w:cstheme="minorEastAsia"/>
                <w:color w:val="auto"/>
                <w:sz w:val="18"/>
                <w:szCs w:val="18"/>
              </w:rPr>
              <w:t>抗拉强度</w:t>
            </w:r>
          </w:p>
        </w:tc>
        <w:tc>
          <w:tcPr>
            <w:tcW w:w="1907" w:type="dxa"/>
            <w:vMerge w:val="restart"/>
            <w:vAlign w:val="center"/>
          </w:tcPr>
          <w:p>
            <w:pPr>
              <w:snapToGrid w:val="0"/>
              <w:jc w:val="center"/>
              <w:rPr>
                <w:rFonts w:hint="eastAsia" w:asciiTheme="minorEastAsia" w:hAnsiTheme="minorEastAsia" w:cstheme="minorEastAsia"/>
                <w:color w:val="auto"/>
                <w:sz w:val="18"/>
                <w:szCs w:val="18"/>
              </w:rPr>
            </w:pPr>
            <w:r>
              <w:rPr>
                <w:rFonts w:hint="eastAsia" w:asciiTheme="minorEastAsia" w:hAnsiTheme="minorEastAsia" w:cstheme="minorEastAsia"/>
                <w:color w:val="auto"/>
                <w:sz w:val="18"/>
                <w:szCs w:val="18"/>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2</w:t>
            </w:r>
          </w:p>
        </w:tc>
        <w:tc>
          <w:tcPr>
            <w:tcW w:w="6301"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最大力</w:t>
            </w:r>
          </w:p>
        </w:tc>
        <w:tc>
          <w:tcPr>
            <w:tcW w:w="1907" w:type="dxa"/>
            <w:vMerge w:val="continue"/>
            <w:vAlign w:val="center"/>
          </w:tcPr>
          <w:p>
            <w:pPr>
              <w:snapToGrid w:val="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3</w:t>
            </w:r>
          </w:p>
        </w:tc>
        <w:tc>
          <w:tcPr>
            <w:tcW w:w="6301"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lang w:val="en-US" w:eastAsia="zh-CN"/>
              </w:rPr>
              <w:t>0.2%屈服力</w:t>
            </w:r>
          </w:p>
        </w:tc>
        <w:tc>
          <w:tcPr>
            <w:tcW w:w="1907" w:type="dxa"/>
            <w:vMerge w:val="continue"/>
            <w:vAlign w:val="center"/>
          </w:tcPr>
          <w:p>
            <w:pPr>
              <w:snapToGrid w:val="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4</w:t>
            </w:r>
          </w:p>
        </w:tc>
        <w:tc>
          <w:tcPr>
            <w:tcW w:w="6301"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最大力总伸长率</w:t>
            </w:r>
          </w:p>
        </w:tc>
        <w:tc>
          <w:tcPr>
            <w:tcW w:w="1907" w:type="dxa"/>
            <w:vMerge w:val="continue"/>
            <w:vAlign w:val="center"/>
          </w:tcPr>
          <w:p>
            <w:pPr>
              <w:snapToGrid w:val="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5</w:t>
            </w:r>
          </w:p>
        </w:tc>
        <w:tc>
          <w:tcPr>
            <w:tcW w:w="6301" w:type="dxa"/>
            <w:vAlign w:val="center"/>
          </w:tcPr>
          <w:p>
            <w:pPr>
              <w:snapToGrid w:val="0"/>
              <w:jc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cstheme="minorEastAsia"/>
                <w:color w:val="auto"/>
                <w:sz w:val="18"/>
                <w:szCs w:val="18"/>
              </w:rPr>
              <w:t>断面收缩率</w:t>
            </w:r>
            <w:r>
              <w:rPr>
                <w:rFonts w:hint="eastAsia" w:asciiTheme="minorEastAsia" w:hAnsiTheme="minorEastAsia" w:cstheme="minorEastAsia"/>
                <w:color w:val="auto"/>
                <w:sz w:val="18"/>
                <w:szCs w:val="18"/>
                <w:vertAlign w:val="superscript"/>
                <w:lang w:val="en-US" w:eastAsia="zh-CN"/>
              </w:rPr>
              <w:t>*</w:t>
            </w:r>
          </w:p>
        </w:tc>
        <w:tc>
          <w:tcPr>
            <w:tcW w:w="1907" w:type="dxa"/>
            <w:vAlign w:val="center"/>
          </w:tcPr>
          <w:p>
            <w:pPr>
              <w:snapToGrid w:val="0"/>
              <w:jc w:val="center"/>
              <w:rPr>
                <w:rFonts w:hint="eastAsia" w:asciiTheme="minorEastAsia" w:hAnsiTheme="minorEastAsia" w:cstheme="minorEastAsia"/>
                <w:color w:val="auto"/>
                <w:sz w:val="18"/>
                <w:szCs w:val="18"/>
              </w:rPr>
            </w:pPr>
            <w:r>
              <w:rPr>
                <w:rFonts w:hint="eastAsia" w:asciiTheme="minorEastAsia" w:hAnsiTheme="minorEastAsia" w:cstheme="minorEastAsia"/>
                <w:color w:val="auto"/>
                <w:sz w:val="18"/>
                <w:szCs w:val="18"/>
              </w:rPr>
              <w:t>GB/T 228.1-20</w:t>
            </w:r>
            <w:r>
              <w:rPr>
                <w:rFonts w:hint="eastAsia" w:asciiTheme="minorEastAsia" w:hAnsiTheme="minorEastAsia" w:cstheme="minorEastAsia"/>
                <w:color w:val="auto"/>
                <w:sz w:val="18"/>
                <w:szCs w:val="18"/>
                <w:lang w:val="en-US" w:eastAsia="zh-CN"/>
              </w:rPr>
              <w:t>2</w:t>
            </w:r>
            <w:r>
              <w:rPr>
                <w:rFonts w:hint="eastAsia" w:asciiTheme="minorEastAsia" w:hAnsiTheme="minorEastAsia" w:cstheme="minorEastAsia"/>
                <w:color w:val="auto"/>
                <w:sz w:val="18"/>
                <w:szCs w:val="18"/>
              </w:rPr>
              <w:t>1</w:t>
            </w:r>
          </w:p>
          <w:p>
            <w:pPr>
              <w:snapToGrid w:val="0"/>
              <w:jc w:val="center"/>
              <w:rPr>
                <w:rFonts w:hint="eastAsia" w:asciiTheme="minorEastAsia" w:hAnsiTheme="minorEastAsia" w:cstheme="minorEastAsia"/>
                <w:color w:val="auto"/>
                <w:sz w:val="18"/>
                <w:szCs w:val="18"/>
              </w:rPr>
            </w:pPr>
            <w:r>
              <w:rPr>
                <w:rFonts w:hint="eastAsia" w:asciiTheme="minorEastAsia" w:hAnsiTheme="minorEastAsia" w:cstheme="minorEastAsia"/>
                <w:color w:val="auto"/>
                <w:sz w:val="18"/>
                <w:szCs w:val="18"/>
              </w:rPr>
              <w:t xml:space="preserve">GB/T </w:t>
            </w:r>
            <w:r>
              <w:rPr>
                <w:rFonts w:hint="eastAsia" w:asciiTheme="minorEastAsia" w:hAnsiTheme="minorEastAsia" w:cstheme="minorEastAsia"/>
                <w:color w:val="auto"/>
                <w:sz w:val="18"/>
                <w:szCs w:val="18"/>
                <w:lang w:val="zh-TW" w:eastAsia="zh-TW"/>
              </w:rPr>
              <w:t>5223</w:t>
            </w:r>
            <w:r>
              <w:rPr>
                <w:rFonts w:hint="eastAsia" w:asciiTheme="minorEastAsia" w:hAnsiTheme="minorEastAsia" w:cstheme="minorEastAsia"/>
                <w:color w:val="auto"/>
                <w:sz w:val="18"/>
                <w:szCs w:val="18"/>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6</w:t>
            </w:r>
          </w:p>
        </w:tc>
        <w:tc>
          <w:tcPr>
            <w:tcW w:w="6301" w:type="dxa"/>
            <w:vAlign w:val="center"/>
          </w:tcPr>
          <w:p>
            <w:pPr>
              <w:snapToGrid w:val="0"/>
              <w:jc w:val="center"/>
              <w:rPr>
                <w:rFonts w:hint="eastAsia" w:asciiTheme="minorHAnsi" w:hAnsiTheme="minorHAnsi" w:eastAsiaTheme="minorEastAsia" w:cstheme="minorBidi"/>
                <w:color w:val="auto"/>
                <w:kern w:val="2"/>
                <w:sz w:val="21"/>
                <w:szCs w:val="24"/>
                <w:lang w:val="en-US" w:eastAsia="zh-CN" w:bidi="ar-SA"/>
              </w:rPr>
            </w:pPr>
            <w:r>
              <w:rPr>
                <w:rFonts w:hint="eastAsia" w:asciiTheme="minorEastAsia" w:hAnsiTheme="minorEastAsia" w:cstheme="minorEastAsia"/>
                <w:color w:val="auto"/>
                <w:sz w:val="18"/>
                <w:szCs w:val="18"/>
                <w:lang w:val="en-US" w:eastAsia="zh-CN"/>
              </w:rPr>
              <w:t>应力</w:t>
            </w:r>
            <w:r>
              <w:rPr>
                <w:rFonts w:hint="eastAsia" w:asciiTheme="minorEastAsia" w:hAnsiTheme="minorEastAsia" w:cstheme="minorEastAsia"/>
                <w:color w:val="auto"/>
                <w:sz w:val="18"/>
                <w:szCs w:val="18"/>
              </w:rPr>
              <w:t>松弛</w:t>
            </w:r>
            <w:r>
              <w:rPr>
                <w:rFonts w:hint="eastAsia" w:asciiTheme="minorEastAsia" w:hAnsiTheme="minorEastAsia" w:cstheme="minorEastAsia"/>
                <w:color w:val="auto"/>
                <w:sz w:val="18"/>
                <w:szCs w:val="18"/>
                <w:lang w:val="en-US" w:eastAsia="zh-CN"/>
              </w:rPr>
              <w:t>性能</w:t>
            </w:r>
          </w:p>
        </w:tc>
        <w:tc>
          <w:tcPr>
            <w:tcW w:w="1907" w:type="dxa"/>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vAlign w:val="center"/>
          </w:tcPr>
          <w:p>
            <w:pPr>
              <w:snapToGrid w:val="0"/>
              <w:jc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cstheme="minorEastAsia"/>
                <w:color w:val="auto"/>
                <w:sz w:val="18"/>
                <w:szCs w:val="18"/>
                <w:lang w:val="en-US" w:eastAsia="zh-CN"/>
              </w:rPr>
              <w:t>7</w:t>
            </w:r>
          </w:p>
        </w:tc>
        <w:tc>
          <w:tcPr>
            <w:tcW w:w="6301"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rPr>
              <w:t>反复弯曲</w:t>
            </w:r>
            <w:r>
              <w:rPr>
                <w:rFonts w:hint="eastAsia" w:asciiTheme="minorEastAsia" w:hAnsiTheme="minorEastAsia" w:cstheme="minorEastAsia"/>
                <w:color w:val="auto"/>
                <w:sz w:val="18"/>
                <w:szCs w:val="18"/>
                <w:lang w:val="en-US" w:eastAsia="zh-CN"/>
              </w:rPr>
              <w:t>性能</w:t>
            </w:r>
          </w:p>
        </w:tc>
        <w:tc>
          <w:tcPr>
            <w:tcW w:w="1907" w:type="dxa"/>
            <w:vMerge w:val="restart"/>
            <w:vAlign w:val="center"/>
          </w:tcPr>
          <w:p>
            <w:pPr>
              <w:snapToGrid w:val="0"/>
              <w:jc w:val="center"/>
              <w:rPr>
                <w:rFonts w:asciiTheme="minorEastAsia" w:hAnsiTheme="minorEastAsia" w:cstheme="minorEastAsia"/>
                <w:color w:val="auto"/>
                <w:sz w:val="18"/>
                <w:szCs w:val="18"/>
              </w:rPr>
            </w:pPr>
            <w:r>
              <w:rPr>
                <w:rFonts w:hint="eastAsia" w:asciiTheme="minorEastAsia" w:hAnsiTheme="minorEastAsia" w:cstheme="minorEastAsia"/>
                <w:color w:val="auto"/>
                <w:sz w:val="18"/>
                <w:szCs w:val="18"/>
              </w:rPr>
              <w:t>GB/T 21839-2019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vAlign w:val="center"/>
          </w:tcPr>
          <w:p>
            <w:pPr>
              <w:snapToGrid w:val="0"/>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cstheme="minorEastAsia"/>
                <w:color w:val="auto"/>
                <w:sz w:val="18"/>
                <w:szCs w:val="18"/>
                <w:lang w:val="en-US" w:eastAsia="zh-CN"/>
              </w:rPr>
              <w:t>8</w:t>
            </w:r>
          </w:p>
        </w:tc>
        <w:tc>
          <w:tcPr>
            <w:tcW w:w="6301" w:type="dxa"/>
            <w:vAlign w:val="center"/>
          </w:tcPr>
          <w:p>
            <w:pPr>
              <w:snapToGrid w:val="0"/>
              <w:jc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cstheme="minorEastAsia"/>
                <w:color w:val="auto"/>
                <w:sz w:val="18"/>
                <w:szCs w:val="18"/>
              </w:rPr>
              <w:t>扭转</w:t>
            </w:r>
            <w:r>
              <w:rPr>
                <w:rFonts w:hint="eastAsia" w:asciiTheme="minorEastAsia" w:hAnsiTheme="minorEastAsia" w:cstheme="minorEastAsia"/>
                <w:color w:val="auto"/>
                <w:sz w:val="18"/>
                <w:szCs w:val="18"/>
                <w:vertAlign w:val="superscript"/>
                <w:lang w:val="en-US" w:eastAsia="zh-CN"/>
              </w:rPr>
              <w:t>*</w:t>
            </w:r>
          </w:p>
        </w:tc>
        <w:tc>
          <w:tcPr>
            <w:tcW w:w="1907" w:type="dxa"/>
            <w:vMerge w:val="continue"/>
            <w:vAlign w:val="center"/>
          </w:tcPr>
          <w:p>
            <w:pPr>
              <w:snapToGrid w:val="0"/>
              <w:jc w:val="center"/>
              <w:rPr>
                <w:rFonts w:asciiTheme="minorEastAsia" w:hAnsiTheme="minorEastAsia" w:cstheme="minorEastAsi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167" w:type="dxa"/>
            <w:gridSpan w:val="3"/>
            <w:vAlign w:val="center"/>
          </w:tcPr>
          <w:p>
            <w:pPr>
              <w:snapToGrid w:val="0"/>
              <w:jc w:val="left"/>
              <w:rPr>
                <w:rFonts w:asciiTheme="minorEastAsia" w:hAnsiTheme="minorEastAsia" w:cstheme="minorEastAsia"/>
                <w:color w:val="auto"/>
                <w:sz w:val="18"/>
                <w:szCs w:val="18"/>
              </w:rPr>
            </w:pPr>
            <w:r>
              <w:rPr>
                <w:rFonts w:hint="eastAsia" w:ascii="Times New Roman" w:hAnsi="Times New Roman" w:eastAsia="宋体" w:cs="宋体"/>
                <w:bCs/>
                <w:color w:val="auto"/>
                <w:kern w:val="2"/>
                <w:sz w:val="21"/>
                <w:szCs w:val="21"/>
                <w:lang w:val="en-US" w:eastAsia="zh-CN"/>
              </w:rPr>
              <w:t>*：断面收缩率、扭转检验适用于冷拉钢丝，冷拉钢丝不检最大力总伸长率、反复弯曲性能。</w:t>
            </w:r>
          </w:p>
        </w:tc>
      </w:tr>
    </w:tbl>
    <w:p>
      <w:pPr>
        <w:adjustRightInd w:val="0"/>
        <w:snapToGrid w:val="0"/>
        <w:spacing w:line="440" w:lineRule="exact"/>
        <w:ind w:firstLine="420" w:firstLineChars="200"/>
        <w:rPr>
          <w:color w:val="auto"/>
        </w:rPr>
      </w:pPr>
      <w:r>
        <w:rPr>
          <w:color w:val="auto"/>
        </w:rPr>
        <w:t>执行企业标准、团体标准、地方标准的产品，检验项目参照上述内容执行。</w:t>
      </w:r>
    </w:p>
    <w:p>
      <w:pPr>
        <w:adjustRightInd w:val="0"/>
        <w:snapToGrid w:val="0"/>
        <w:spacing w:line="440" w:lineRule="exact"/>
        <w:ind w:firstLine="420" w:firstLineChars="200"/>
        <w:rPr>
          <w:color w:val="auto"/>
          <w:szCs w:val="21"/>
        </w:rPr>
      </w:pPr>
      <w:r>
        <w:rPr>
          <w:color w:val="auto"/>
          <w:szCs w:val="21"/>
        </w:rPr>
        <w:t>凡是注日期的文件，其随后所有的修改单（不包括勘误的内容）或修订版不适用于本细则。凡是不注日期的文件，其最新版本适用于本细则。</w:t>
      </w:r>
    </w:p>
    <w:p>
      <w:pPr>
        <w:snapToGrid w:val="0"/>
        <w:spacing w:line="440" w:lineRule="exact"/>
        <w:rPr>
          <w:color w:val="auto"/>
          <w:szCs w:val="21"/>
        </w:rPr>
      </w:pPr>
    </w:p>
    <w:p>
      <w:pPr>
        <w:spacing w:line="440" w:lineRule="exact"/>
        <w:rPr>
          <w:rFonts w:eastAsia="黑体"/>
          <w:color w:val="auto"/>
          <w:szCs w:val="21"/>
        </w:rPr>
      </w:pPr>
      <w:r>
        <w:rPr>
          <w:rFonts w:eastAsia="黑体"/>
          <w:color w:val="auto"/>
          <w:szCs w:val="21"/>
        </w:rPr>
        <w:t>3 判定规则</w:t>
      </w:r>
    </w:p>
    <w:p>
      <w:pPr>
        <w:snapToGrid w:val="0"/>
        <w:spacing w:line="440" w:lineRule="exact"/>
        <w:rPr>
          <w:color w:val="auto"/>
          <w:szCs w:val="21"/>
        </w:rPr>
      </w:pPr>
      <w:r>
        <w:rPr>
          <w:color w:val="auto"/>
          <w:szCs w:val="21"/>
        </w:rPr>
        <w:t>3.1依据标准</w:t>
      </w:r>
    </w:p>
    <w:p>
      <w:pPr>
        <w:snapToGrid w:val="0"/>
        <w:spacing w:line="500" w:lineRule="exact"/>
        <w:ind w:firstLine="420" w:firstLineChars="200"/>
        <w:rPr>
          <w:rFonts w:ascii="宋体" w:hAnsi="宋体" w:eastAsia="宋体" w:cs="宋体"/>
          <w:color w:val="auto"/>
          <w:szCs w:val="21"/>
        </w:rPr>
      </w:pPr>
      <w:r>
        <w:rPr>
          <w:rFonts w:hint="eastAsia" w:ascii="宋体" w:hAnsi="宋体" w:eastAsia="宋体" w:cs="宋体"/>
          <w:color w:val="auto"/>
          <w:szCs w:val="21"/>
        </w:rPr>
        <w:t>GB/T 5224-2014  预应力混凝土用钢绞线</w:t>
      </w:r>
    </w:p>
    <w:p>
      <w:pPr>
        <w:snapToGrid w:val="0"/>
        <w:spacing w:line="500" w:lineRule="exact"/>
        <w:ind w:firstLine="420" w:firstLineChars="200"/>
        <w:rPr>
          <w:rFonts w:ascii="宋体" w:hAnsi="宋体" w:eastAsia="宋体" w:cs="宋体"/>
          <w:color w:val="auto"/>
          <w:szCs w:val="21"/>
        </w:rPr>
      </w:pPr>
      <w:bookmarkStart w:id="0" w:name="bookmark24"/>
      <w:bookmarkStart w:id="1" w:name="bookmark26"/>
      <w:bookmarkStart w:id="2" w:name="bookmark25"/>
      <w:r>
        <w:rPr>
          <w:rFonts w:hint="eastAsia" w:ascii="宋体" w:hAnsi="宋体" w:eastAsia="宋体" w:cs="宋体"/>
          <w:color w:val="auto"/>
          <w:szCs w:val="21"/>
        </w:rPr>
        <w:t xml:space="preserve">GB/T </w:t>
      </w:r>
      <w:r>
        <w:rPr>
          <w:rFonts w:hint="eastAsia" w:ascii="宋体" w:hAnsi="宋体" w:eastAsia="宋体" w:cs="宋体"/>
          <w:color w:val="auto"/>
          <w:szCs w:val="21"/>
          <w:lang w:val="zh-TW" w:eastAsia="zh-TW"/>
        </w:rPr>
        <w:t>5223</w:t>
      </w:r>
      <w:r>
        <w:rPr>
          <w:rFonts w:hint="eastAsia" w:ascii="宋体" w:hAnsi="宋体" w:eastAsia="宋体" w:cs="宋体"/>
          <w:color w:val="auto"/>
          <w:szCs w:val="21"/>
        </w:rPr>
        <w:t xml:space="preserve">-2014  </w:t>
      </w:r>
      <w:r>
        <w:rPr>
          <w:rFonts w:hint="eastAsia" w:ascii="宋体" w:hAnsi="宋体" w:eastAsia="宋体" w:cs="宋体"/>
          <w:color w:val="auto"/>
          <w:szCs w:val="21"/>
          <w:lang w:val="zh-TW" w:eastAsia="zh-TW"/>
        </w:rPr>
        <w:t>预应力混凝土用钢丝</w:t>
      </w:r>
      <w:bookmarkEnd w:id="0"/>
      <w:bookmarkEnd w:id="1"/>
      <w:bookmarkEnd w:id="2"/>
    </w:p>
    <w:p>
      <w:pPr>
        <w:snapToGrid w:val="0"/>
        <w:spacing w:line="440" w:lineRule="exact"/>
        <w:ind w:firstLine="420" w:firstLineChars="200"/>
        <w:rPr>
          <w:color w:val="auto"/>
          <w:szCs w:val="21"/>
        </w:rPr>
      </w:pPr>
      <w:r>
        <w:rPr>
          <w:color w:val="auto"/>
          <w:szCs w:val="21"/>
        </w:rPr>
        <w:t>现行有效的企业标准、团体标准、地方标准及产品明示质量要求</w:t>
      </w:r>
    </w:p>
    <w:p>
      <w:pPr>
        <w:snapToGrid w:val="0"/>
        <w:spacing w:line="440" w:lineRule="exact"/>
        <w:rPr>
          <w:color w:val="auto"/>
          <w:szCs w:val="21"/>
        </w:rPr>
      </w:pPr>
      <w:r>
        <w:rPr>
          <w:color w:val="auto"/>
          <w:szCs w:val="21"/>
        </w:rPr>
        <w:t>3.2判定原则</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FF0000"/>
          <w:szCs w:val="21"/>
          <w:lang w:val="en-US" w:eastAsia="en-US"/>
        </w:rPr>
      </w:pPr>
      <w:r>
        <w:rPr>
          <w:rFonts w:hint="eastAsia" w:ascii="Times New Roman" w:hAnsi="Times New Roman" w:eastAsia="宋体" w:cs="Times New Roman"/>
          <w:color w:val="auto"/>
          <w:szCs w:val="21"/>
          <w:lang w:val="en-US" w:eastAsia="en-US"/>
        </w:rPr>
        <w:t>经检验，检验项目全部合格，</w:t>
      </w:r>
      <w:r>
        <w:rPr>
          <w:rFonts w:hint="eastAsia"/>
          <w:color w:val="auto"/>
          <w:szCs w:val="21"/>
        </w:rPr>
        <w:t>判定为被抽查产品所检项目未发现不合格</w:t>
      </w:r>
      <w:r>
        <w:rPr>
          <w:rFonts w:hint="eastAsia" w:ascii="Times New Roman" w:hAnsi="Times New Roman" w:eastAsia="宋体" w:cs="Times New Roman"/>
          <w:color w:val="auto"/>
          <w:szCs w:val="21"/>
          <w:lang w:val="en-US" w:eastAsia="en-US"/>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rPr>
          <w:color w:val="000000"/>
          <w:szCs w:val="21"/>
        </w:rPr>
      </w:pPr>
      <w:r>
        <w:rPr>
          <w:rFonts w:hint="eastAsia" w:ascii="黑体" w:hAnsi="黑体" w:eastAsia="黑体" w:cs="黑体"/>
          <w:color w:val="000000"/>
          <w:szCs w:val="21"/>
        </w:rPr>
        <w:t>4 附则</w:t>
      </w:r>
    </w:p>
    <w:p>
      <w:pPr>
        <w:spacing w:line="440" w:lineRule="exact"/>
        <w:ind w:firstLine="420" w:firstLineChars="200"/>
        <w:rPr>
          <w:rFonts w:eastAsia="黑体"/>
          <w:color w:val="000000"/>
          <w:szCs w:val="21"/>
        </w:rPr>
      </w:pPr>
      <w:r>
        <w:rPr>
          <w:rFonts w:hint="eastAsia"/>
          <w:color w:val="000000"/>
          <w:szCs w:val="21"/>
        </w:rPr>
        <w:t>本细则代替</w:t>
      </w:r>
      <w:r>
        <w:rPr>
          <w:rFonts w:hint="eastAsia"/>
          <w:szCs w:val="21"/>
        </w:rPr>
        <w:t>《贵州省市场监管局关于发布2022年版贵州省产品质量监督抽查实施细则（第一批）的公告》（黔市监公告〔2022〕46号）中的</w:t>
      </w:r>
      <w:bookmarkStart w:id="3" w:name="_GoBack"/>
      <w:bookmarkEnd w:id="3"/>
      <w:r>
        <w:rPr>
          <w:rFonts w:hint="eastAsia"/>
          <w:color w:val="000000"/>
          <w:szCs w:val="21"/>
        </w:rPr>
        <w:t>《贵州省预应力混凝土用钢材产品质量监督抽查实施细则（202</w:t>
      </w:r>
      <w:r>
        <w:rPr>
          <w:rFonts w:hint="eastAsia"/>
          <w:color w:val="000000"/>
          <w:szCs w:val="21"/>
          <w:lang w:val="en-US" w:eastAsia="zh-CN"/>
        </w:rPr>
        <w:t>2</w:t>
      </w:r>
      <w:r>
        <w:rPr>
          <w:rFonts w:hint="eastAsia"/>
          <w:color w:val="000000"/>
          <w:szCs w:val="21"/>
        </w:rPr>
        <w:t>年版）》。</w:t>
      </w:r>
    </w:p>
    <w:sectPr>
      <w:pgSz w:w="11906" w:h="16838"/>
      <w:pgMar w:top="1644" w:right="1474" w:bottom="164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6D4F26"/>
    <w:rsid w:val="00005D50"/>
    <w:rsid w:val="00A73D03"/>
    <w:rsid w:val="00E13435"/>
    <w:rsid w:val="04B05928"/>
    <w:rsid w:val="0A11010C"/>
    <w:rsid w:val="0F8E10BD"/>
    <w:rsid w:val="101104C6"/>
    <w:rsid w:val="10845CEE"/>
    <w:rsid w:val="22351588"/>
    <w:rsid w:val="28031C5D"/>
    <w:rsid w:val="315B256F"/>
    <w:rsid w:val="386D4F26"/>
    <w:rsid w:val="3FA35CAE"/>
    <w:rsid w:val="4BC37414"/>
    <w:rsid w:val="5D710CE8"/>
    <w:rsid w:val="5D7E0128"/>
    <w:rsid w:val="6A370FC1"/>
    <w:rsid w:val="7271367C"/>
    <w:rsid w:val="752D37AA"/>
    <w:rsid w:val="78BF5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kern w:val="0"/>
      <w:sz w:val="20"/>
      <w:szCs w:val="2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889</Words>
  <Characters>1028</Characters>
  <Lines>8</Lines>
  <Paragraphs>2</Paragraphs>
  <TotalTime>60</TotalTime>
  <ScaleCrop>false</ScaleCrop>
  <LinksUpToDate>false</LinksUpToDate>
  <CharactersWithSpaces>1053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2020-06-03T10:41:00Z</dcterms:created>
  <dc:creator>青鸟</dc:creator>
  <cp:lastModifiedBy>ysgz</cp:lastModifiedBy>
  <cp:lastPrinted>2023-03-01T14:15:00Z</cp:lastPrinted>
  <dcterms:modified xsi:type="dcterms:W3CDTF">2023-07-20T15:49:03Z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82EEB82A2028470884138B41985532BD</vt:lpwstr>
  </property>
</Properties>
</file>