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贵州省老视成镜产品质量监督抽查实施细则</w:t>
      </w:r>
    </w:p>
    <w:p>
      <w:pPr>
        <w:spacing w:line="440" w:lineRule="exact"/>
        <w:jc w:val="center"/>
        <w:rPr>
          <w:rFonts w:ascii="Times New Roman" w:hAnsi="Times New Roman" w:eastAsia="方正小标宋简体" w:cs="方正仿宋简体"/>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w:t>
      </w:r>
      <w:bookmarkStart w:id="0" w:name="_GoBack"/>
      <w:bookmarkEnd w:id="0"/>
      <w:r>
        <w:rPr>
          <w:rFonts w:hint="eastAsia"/>
          <w:color w:val="000000"/>
          <w:szCs w:val="21"/>
        </w:rPr>
        <w:t>方法产生。</w:t>
      </w:r>
    </w:p>
    <w:p>
      <w:pPr>
        <w:adjustRightInd w:val="0"/>
        <w:snapToGrid w:val="0"/>
        <w:spacing w:line="440" w:lineRule="exact"/>
        <w:ind w:firstLine="420" w:firstLineChars="200"/>
        <w:rPr>
          <w:color w:val="auto"/>
          <w:szCs w:val="21"/>
        </w:rPr>
      </w:pPr>
      <w:r>
        <w:rPr>
          <w:rFonts w:hint="eastAsia" w:ascii="Times New Roman" w:hAnsi="Times New Roman" w:cs="宋体"/>
          <w:color w:val="auto"/>
          <w:szCs w:val="21"/>
        </w:rPr>
        <w:t>每批次产品抽取样品</w:t>
      </w:r>
      <w:r>
        <w:rPr>
          <w:rFonts w:ascii="Times New Roman" w:hAnsi="Times New Roman" w:cs="宋体"/>
          <w:color w:val="auto"/>
          <w:szCs w:val="21"/>
        </w:rPr>
        <w:t>2</w:t>
      </w:r>
      <w:r>
        <w:rPr>
          <w:rFonts w:hint="eastAsia"/>
          <w:color w:val="auto"/>
          <w:szCs w:val="21"/>
        </w:rPr>
        <w:t>副</w:t>
      </w:r>
      <w:r>
        <w:rPr>
          <w:rFonts w:hint="eastAsia" w:ascii="Times New Roman" w:hAnsi="Times New Roman" w:cs="宋体"/>
          <w:color w:val="auto"/>
          <w:szCs w:val="21"/>
        </w:rPr>
        <w:t>，其中</w:t>
      </w:r>
      <w:r>
        <w:rPr>
          <w:rFonts w:ascii="Times New Roman" w:hAnsi="Times New Roman" w:cs="宋体"/>
          <w:color w:val="auto"/>
          <w:szCs w:val="21"/>
        </w:rPr>
        <w:t>1</w:t>
      </w:r>
      <w:r>
        <w:rPr>
          <w:rFonts w:hint="eastAsia"/>
          <w:color w:val="auto"/>
          <w:szCs w:val="21"/>
        </w:rPr>
        <w:t>副</w:t>
      </w:r>
      <w:r>
        <w:rPr>
          <w:rFonts w:hint="eastAsia" w:ascii="Times New Roman" w:hAnsi="Times New Roman" w:cs="宋体"/>
          <w:color w:val="auto"/>
          <w:szCs w:val="21"/>
        </w:rPr>
        <w:t>作为检验样品，</w:t>
      </w:r>
      <w:r>
        <w:rPr>
          <w:rFonts w:ascii="Times New Roman" w:hAnsi="Times New Roman" w:cs="宋体"/>
          <w:color w:val="auto"/>
          <w:szCs w:val="21"/>
        </w:rPr>
        <w:t>1</w:t>
      </w:r>
      <w:r>
        <w:rPr>
          <w:rFonts w:hint="eastAsia"/>
          <w:color w:val="auto"/>
          <w:szCs w:val="21"/>
        </w:rPr>
        <w:t>副</w:t>
      </w:r>
      <w:r>
        <w:rPr>
          <w:rFonts w:hint="eastAsia" w:ascii="Times New Roman" w:hAnsi="Times New Roman" w:cs="宋体"/>
          <w:color w:val="auto"/>
          <w:szCs w:val="21"/>
        </w:rPr>
        <w:t>作为备用样品。</w:t>
      </w:r>
    </w:p>
    <w:p>
      <w:pPr>
        <w:snapToGrid w:val="0"/>
        <w:spacing w:line="440" w:lineRule="exact"/>
        <w:ind w:firstLine="420" w:firstLineChars="200"/>
        <w:rPr>
          <w:szCs w:val="21"/>
        </w:rPr>
      </w:pPr>
    </w:p>
    <w:p>
      <w:pPr>
        <w:snapToGrid w:val="0"/>
        <w:spacing w:line="440" w:lineRule="exact"/>
        <w:rPr>
          <w:rFonts w:eastAsia="黑体"/>
          <w:color w:val="000000"/>
          <w:szCs w:val="21"/>
        </w:rPr>
      </w:pPr>
      <w:r>
        <w:rPr>
          <w:rFonts w:eastAsia="黑体"/>
          <w:color w:val="000000"/>
          <w:szCs w:val="21"/>
        </w:rPr>
        <w:t>2 检验依据</w:t>
      </w:r>
    </w:p>
    <w:tbl>
      <w:tblPr>
        <w:tblStyle w:val="8"/>
        <w:tblW w:w="7652" w:type="dxa"/>
        <w:jc w:val="center"/>
        <w:tblLayout w:type="fixed"/>
        <w:tblCellMar>
          <w:top w:w="0" w:type="dxa"/>
          <w:left w:w="108" w:type="dxa"/>
          <w:bottom w:w="0" w:type="dxa"/>
          <w:right w:w="108" w:type="dxa"/>
        </w:tblCellMar>
      </w:tblPr>
      <w:tblGrid>
        <w:gridCol w:w="934"/>
        <w:gridCol w:w="705"/>
        <w:gridCol w:w="3163"/>
        <w:gridCol w:w="2850"/>
      </w:tblGrid>
      <w:tr>
        <w:tblPrEx>
          <w:tblCellMar>
            <w:top w:w="0" w:type="dxa"/>
            <w:left w:w="108" w:type="dxa"/>
            <w:bottom w:w="0" w:type="dxa"/>
            <w:right w:w="108" w:type="dxa"/>
          </w:tblCellMar>
        </w:tblPrEx>
        <w:trPr>
          <w:trHeight w:val="375" w:hRule="atLeast"/>
          <w:tblHeader/>
          <w:jc w:val="center"/>
        </w:trPr>
        <w:tc>
          <w:tcPr>
            <w:tcW w:w="93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386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检验项目</w:t>
            </w:r>
          </w:p>
        </w:tc>
        <w:tc>
          <w:tcPr>
            <w:tcW w:w="28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检测方法</w:t>
            </w:r>
          </w:p>
        </w:tc>
      </w:tr>
      <w:tr>
        <w:tblPrEx>
          <w:tblCellMar>
            <w:top w:w="0" w:type="dxa"/>
            <w:left w:w="108" w:type="dxa"/>
            <w:bottom w:w="0" w:type="dxa"/>
            <w:right w:w="108" w:type="dxa"/>
          </w:tblCellMar>
        </w:tblPrEx>
        <w:trPr>
          <w:trHeight w:val="345" w:hRule="atLeast"/>
          <w:tblHeader/>
          <w:jc w:val="center"/>
        </w:trPr>
        <w:tc>
          <w:tcPr>
            <w:tcW w:w="934"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386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2850"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705" w:type="dxa"/>
            <w:vMerge w:val="restart"/>
            <w:tcBorders>
              <w:top w:val="single" w:color="auto" w:sz="4" w:space="0"/>
              <w:left w:val="single" w:color="auto" w:sz="4" w:space="0"/>
              <w:right w:val="single" w:color="auto" w:sz="4" w:space="0"/>
            </w:tcBorders>
            <w:vAlign w:val="center"/>
          </w:tcPr>
          <w:p>
            <w:pPr>
              <w:snapToGrid w:val="0"/>
              <w:spacing w:line="400" w:lineRule="atLeast"/>
              <w:jc w:val="center"/>
              <w:rPr>
                <w:rFonts w:ascii="宋体" w:hAnsi="宋体" w:cs="Sim Sun"/>
                <w:kern w:val="0"/>
                <w:szCs w:val="21"/>
              </w:rPr>
            </w:pPr>
            <w:r>
              <w:rPr>
                <w:rFonts w:hint="eastAsia"/>
                <w:szCs w:val="21"/>
              </w:rPr>
              <w:t>镜片顶焦度</w:t>
            </w: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球镜顶焦度偏差（主子午面一）</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705" w:type="dxa"/>
            <w:vMerge w:val="continue"/>
            <w:tcBorders>
              <w:left w:val="single" w:color="auto" w:sz="4" w:space="0"/>
              <w:right w:val="single" w:color="auto" w:sz="4" w:space="0"/>
            </w:tcBorders>
            <w:vAlign w:val="center"/>
          </w:tcPr>
          <w:p>
            <w:pPr>
              <w:snapToGrid w:val="0"/>
              <w:spacing w:line="400" w:lineRule="atLeast"/>
              <w:jc w:val="center"/>
              <w:rPr>
                <w:rFonts w:ascii="宋体" w:hAnsi="宋体" w:cs="Sim Sun"/>
                <w:kern w:val="0"/>
                <w:szCs w:val="21"/>
              </w:rPr>
            </w:pP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球镜顶焦度偏差（主子午面二）</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705" w:type="dxa"/>
            <w:vMerge w:val="continue"/>
            <w:tcBorders>
              <w:left w:val="single" w:color="auto" w:sz="4" w:space="0"/>
              <w:bottom w:val="single" w:color="auto" w:sz="4" w:space="0"/>
              <w:right w:val="single" w:color="auto" w:sz="4" w:space="0"/>
            </w:tcBorders>
            <w:vAlign w:val="center"/>
          </w:tcPr>
          <w:p>
            <w:pPr>
              <w:snapToGrid w:val="0"/>
              <w:spacing w:line="400" w:lineRule="atLeast"/>
              <w:jc w:val="center"/>
              <w:rPr>
                <w:rFonts w:ascii="宋体" w:hAnsi="宋体" w:cs="Sim Sun"/>
                <w:kern w:val="0"/>
                <w:szCs w:val="21"/>
              </w:rPr>
            </w:pP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柱镜顶焦度偏差</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rFonts w:hint="eastAsia" w:ascii="宋体" w:hAnsi="宋体" w:cs="Sim Sun"/>
                <w:kern w:val="0"/>
                <w:szCs w:val="21"/>
              </w:rPr>
              <w:t>可见光谱区透射比</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10810.3</w:t>
            </w:r>
            <w:r>
              <w:rPr>
                <w:rFonts w:hint="eastAsia" w:ascii="宋体" w:hAnsi="宋体" w:cs="宋体"/>
                <w:color w:val="000000"/>
                <w:kern w:val="0"/>
                <w:sz w:val="20"/>
                <w:szCs w:val="20"/>
                <w:lang w:bidi="ar"/>
              </w:rPr>
              <w:t>-</w:t>
            </w:r>
            <w:r>
              <w:rPr>
                <w:color w:val="000000"/>
                <w:szCs w:val="21"/>
              </w:rPr>
              <w:t>2006</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p>
            <w:pPr>
              <w:widowControl/>
              <w:jc w:val="center"/>
              <w:textAlignment w:val="center"/>
              <w:rPr>
                <w:rFonts w:ascii="宋体" w:hAnsi="宋体" w:cs="宋体"/>
                <w:color w:val="000000"/>
                <w:kern w:val="0"/>
                <w:sz w:val="20"/>
                <w:szCs w:val="20"/>
                <w:lang w:bidi="ar"/>
              </w:rPr>
            </w:pPr>
            <w:r>
              <w:rPr>
                <w:rFonts w:ascii="宋体" w:hAnsi="宋体" w:cs="宋体"/>
                <w:color w:val="000000"/>
                <w:kern w:val="0"/>
                <w:sz w:val="20"/>
                <w:szCs w:val="20"/>
                <w:lang w:bidi="ar"/>
              </w:rPr>
              <w:t>GB/T 13511.3-2019</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光学中心单侧水平偏差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r>
              <w:rPr>
                <w:rFonts w:ascii="宋体" w:hAnsi="宋体" w:cs="宋体"/>
                <w:color w:val="000000"/>
                <w:kern w:val="0"/>
                <w:sz w:val="20"/>
                <w:szCs w:val="20"/>
                <w:lang w:bidi="ar"/>
              </w:rPr>
              <w:t xml:space="preserve"> </w:t>
            </w:r>
          </w:p>
          <w:p>
            <w:pPr>
              <w:widowControl/>
              <w:jc w:val="center"/>
              <w:textAlignment w:val="center"/>
              <w:rPr>
                <w:rFonts w:ascii="宋体" w:hAnsi="宋体" w:cs="宋体"/>
                <w:color w:val="000000"/>
                <w:kern w:val="0"/>
                <w:sz w:val="20"/>
                <w:szCs w:val="20"/>
                <w:lang w:bidi="ar"/>
              </w:rPr>
            </w:pPr>
            <w:r>
              <w:rPr>
                <w:rFonts w:ascii="宋体" w:hAnsi="宋体" w:cs="宋体"/>
                <w:color w:val="000000"/>
                <w:kern w:val="0"/>
                <w:sz w:val="20"/>
                <w:szCs w:val="20"/>
                <w:lang w:bidi="ar"/>
              </w:rPr>
              <w:t>GB/T 13511.3-2019</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光学中心垂直互差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GB/T 13511.3-2019</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10</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装配质量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11</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镜架外观质量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GB/T 14214-2019</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left="439" w:leftChars="209"/>
        <w:rPr>
          <w:color w:val="000000"/>
          <w:szCs w:val="21"/>
        </w:rPr>
      </w:pPr>
      <w:r>
        <w:rPr>
          <w:rFonts w:hint="eastAsia"/>
          <w:color w:val="000000"/>
          <w:szCs w:val="21"/>
        </w:rPr>
        <w:t>GB 13511.1-2011  配装眼镜 第1部分：单光和多焦点</w:t>
      </w:r>
    </w:p>
    <w:p>
      <w:pPr>
        <w:adjustRightInd w:val="0"/>
        <w:snapToGrid w:val="0"/>
        <w:spacing w:line="440" w:lineRule="exact"/>
        <w:ind w:left="439" w:leftChars="209"/>
        <w:rPr>
          <w:color w:val="000000"/>
          <w:szCs w:val="21"/>
        </w:rPr>
      </w:pPr>
      <w:r>
        <w:rPr>
          <w:rFonts w:hint="eastAsia"/>
          <w:color w:val="000000"/>
          <w:szCs w:val="21"/>
        </w:rPr>
        <w:t>GB 10810.1-2005  眼镜镜片 第1部分：单光和多焦点镜片</w:t>
      </w:r>
    </w:p>
    <w:p>
      <w:pPr>
        <w:adjustRightInd w:val="0"/>
        <w:snapToGrid w:val="0"/>
        <w:spacing w:line="440" w:lineRule="exact"/>
        <w:ind w:left="439" w:leftChars="209"/>
        <w:rPr>
          <w:color w:val="000000"/>
          <w:szCs w:val="21"/>
        </w:rPr>
      </w:pPr>
      <w:r>
        <w:rPr>
          <w:rFonts w:hint="eastAsia"/>
          <w:color w:val="000000"/>
          <w:szCs w:val="21"/>
        </w:rPr>
        <w:t>GB 10810.3-2006  眼镜镜片及相关眼镜产品 第3部分：透射比规范及测量方法</w:t>
      </w:r>
    </w:p>
    <w:p>
      <w:pPr>
        <w:adjustRightInd w:val="0"/>
        <w:snapToGrid w:val="0"/>
        <w:spacing w:line="440" w:lineRule="exact"/>
        <w:ind w:left="439" w:leftChars="209"/>
        <w:rPr>
          <w:color w:val="000000"/>
          <w:szCs w:val="21"/>
        </w:rPr>
      </w:pPr>
      <w:r>
        <w:rPr>
          <w:rFonts w:hint="eastAsia"/>
          <w:color w:val="000000"/>
          <w:szCs w:val="21"/>
        </w:rPr>
        <w:t>GB/T 13511.3-2019配装眼镜 第3部分：单光老视成镜</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4 附则</w:t>
      </w:r>
    </w:p>
    <w:p>
      <w:pPr>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本细则首次发布。</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RjOWMwYTlmNjc3ZWIyOGM2ZTAwNmYwODk4ZGFjNTIifQ=="/>
  </w:docVars>
  <w:rsids>
    <w:rsidRoot w:val="00172A27"/>
    <w:rsid w:val="000078BF"/>
    <w:rsid w:val="000208B2"/>
    <w:rsid w:val="000411F6"/>
    <w:rsid w:val="00051A44"/>
    <w:rsid w:val="00057215"/>
    <w:rsid w:val="0006546B"/>
    <w:rsid w:val="000724E0"/>
    <w:rsid w:val="00081CBD"/>
    <w:rsid w:val="000976DE"/>
    <w:rsid w:val="000D3DC3"/>
    <w:rsid w:val="000D4520"/>
    <w:rsid w:val="0011126F"/>
    <w:rsid w:val="00121AD2"/>
    <w:rsid w:val="00172A27"/>
    <w:rsid w:val="0017462B"/>
    <w:rsid w:val="001752B3"/>
    <w:rsid w:val="001809DD"/>
    <w:rsid w:val="001B1B80"/>
    <w:rsid w:val="001C5B9E"/>
    <w:rsid w:val="001E2A58"/>
    <w:rsid w:val="001E5FDD"/>
    <w:rsid w:val="00200F7E"/>
    <w:rsid w:val="00204381"/>
    <w:rsid w:val="002218A6"/>
    <w:rsid w:val="00226457"/>
    <w:rsid w:val="00232530"/>
    <w:rsid w:val="00253624"/>
    <w:rsid w:val="00271173"/>
    <w:rsid w:val="002A0EB6"/>
    <w:rsid w:val="002D7664"/>
    <w:rsid w:val="002D7C4B"/>
    <w:rsid w:val="002D7F8A"/>
    <w:rsid w:val="002E0D1D"/>
    <w:rsid w:val="002E31EC"/>
    <w:rsid w:val="002E54BA"/>
    <w:rsid w:val="003124B0"/>
    <w:rsid w:val="00312963"/>
    <w:rsid w:val="00315F5D"/>
    <w:rsid w:val="003203A3"/>
    <w:rsid w:val="00357B8C"/>
    <w:rsid w:val="00365CBE"/>
    <w:rsid w:val="00370478"/>
    <w:rsid w:val="00387342"/>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32C7D"/>
    <w:rsid w:val="005547B9"/>
    <w:rsid w:val="00563592"/>
    <w:rsid w:val="00563EBC"/>
    <w:rsid w:val="00567612"/>
    <w:rsid w:val="005944BB"/>
    <w:rsid w:val="005B2B74"/>
    <w:rsid w:val="005F410D"/>
    <w:rsid w:val="0061401E"/>
    <w:rsid w:val="00653ACE"/>
    <w:rsid w:val="0068383D"/>
    <w:rsid w:val="00683D59"/>
    <w:rsid w:val="00686C1D"/>
    <w:rsid w:val="00696872"/>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62E3"/>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162E"/>
    <w:rsid w:val="00A82E3B"/>
    <w:rsid w:val="00A85372"/>
    <w:rsid w:val="00AA32FA"/>
    <w:rsid w:val="00AB58F6"/>
    <w:rsid w:val="00AB7EC8"/>
    <w:rsid w:val="00AC5391"/>
    <w:rsid w:val="00AD1F30"/>
    <w:rsid w:val="00AD4B7A"/>
    <w:rsid w:val="00AE1D84"/>
    <w:rsid w:val="00AF3D2A"/>
    <w:rsid w:val="00B023F6"/>
    <w:rsid w:val="00B22E26"/>
    <w:rsid w:val="00B23213"/>
    <w:rsid w:val="00B23618"/>
    <w:rsid w:val="00B44C01"/>
    <w:rsid w:val="00B4598B"/>
    <w:rsid w:val="00B8665C"/>
    <w:rsid w:val="00B86DEB"/>
    <w:rsid w:val="00B92E75"/>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616F"/>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16E3A"/>
    <w:rsid w:val="00F24D81"/>
    <w:rsid w:val="00F37FFC"/>
    <w:rsid w:val="00F427D1"/>
    <w:rsid w:val="00F474A0"/>
    <w:rsid w:val="00F55BB7"/>
    <w:rsid w:val="00F77C9A"/>
    <w:rsid w:val="00FB576C"/>
    <w:rsid w:val="00FC4DB1"/>
    <w:rsid w:val="00FD2AA6"/>
    <w:rsid w:val="00FD6D81"/>
    <w:rsid w:val="00FE7E8A"/>
    <w:rsid w:val="00FF5126"/>
    <w:rsid w:val="0385268A"/>
    <w:rsid w:val="06AC3180"/>
    <w:rsid w:val="0C087B18"/>
    <w:rsid w:val="0CF77F3A"/>
    <w:rsid w:val="110720D3"/>
    <w:rsid w:val="123767B7"/>
    <w:rsid w:val="1A58096A"/>
    <w:rsid w:val="1C0C4212"/>
    <w:rsid w:val="227F6C37"/>
    <w:rsid w:val="28C25756"/>
    <w:rsid w:val="2B0013F2"/>
    <w:rsid w:val="2BFF288E"/>
    <w:rsid w:val="2EC2549B"/>
    <w:rsid w:val="30F44350"/>
    <w:rsid w:val="34376C30"/>
    <w:rsid w:val="373175D4"/>
    <w:rsid w:val="37E52224"/>
    <w:rsid w:val="3D9A7025"/>
    <w:rsid w:val="3E85607D"/>
    <w:rsid w:val="3F241496"/>
    <w:rsid w:val="440629E7"/>
    <w:rsid w:val="45397ECA"/>
    <w:rsid w:val="4B16063C"/>
    <w:rsid w:val="4CEC5FD7"/>
    <w:rsid w:val="4D231FC6"/>
    <w:rsid w:val="54786C3F"/>
    <w:rsid w:val="58A15BF3"/>
    <w:rsid w:val="5ADB67F9"/>
    <w:rsid w:val="65282E3C"/>
    <w:rsid w:val="66BF3DB8"/>
    <w:rsid w:val="67302690"/>
    <w:rsid w:val="6AFF3292"/>
    <w:rsid w:val="707E5095"/>
    <w:rsid w:val="70FE4E7D"/>
    <w:rsid w:val="75662232"/>
    <w:rsid w:val="7B1249C3"/>
    <w:rsid w:val="7EB641EE"/>
    <w:rsid w:val="7FFB380A"/>
    <w:rsid w:val="BEB6A5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link w:val="4"/>
    <w:semiHidden/>
    <w:qFormat/>
    <w:uiPriority w:val="99"/>
    <w:rPr>
      <w:kern w:val="2"/>
      <w:sz w:val="18"/>
      <w:szCs w:val="18"/>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字符"/>
    <w:link w:val="6"/>
    <w:semiHidden/>
    <w:qFormat/>
    <w:uiPriority w:val="99"/>
    <w:rPr>
      <w:kern w:val="2"/>
      <w:sz w:val="18"/>
      <w:szCs w:val="18"/>
    </w:rPr>
  </w:style>
  <w:style w:type="character" w:customStyle="1" w:styleId="15">
    <w:name w:val="页脚 字符"/>
    <w:link w:val="5"/>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7">
    <w:name w:val="列出段落1"/>
    <w:basedOn w:val="1"/>
    <w:qFormat/>
    <w:uiPriority w:val="34"/>
    <w:pPr>
      <w:ind w:firstLine="420" w:firstLineChars="200"/>
    </w:pPr>
    <w:rPr>
      <w:szCs w:val="22"/>
    </w:rPr>
  </w:style>
  <w:style w:type="character" w:customStyle="1" w:styleId="18">
    <w:name w:val="批注文字 字符"/>
    <w:basedOn w:val="9"/>
    <w:link w:val="3"/>
    <w:semiHidden/>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 w:type="paragraph" w:styleId="20">
    <w:name w:val="List Paragraph"/>
    <w:qFormat/>
    <w:uiPriority w:val="34"/>
    <w:pPr>
      <w:widowControl w:val="0"/>
      <w:ind w:firstLine="420" w:firstLineChars="200"/>
      <w:jc w:val="both"/>
    </w:pPr>
    <w:rPr>
      <w:rFonts w:ascii="Times New Roman" w:hAnsi="Times New Roman" w:eastAsia="仿宋_GB2312" w:cs="Times New Roman"/>
      <w:kern w:val="2"/>
      <w:sz w:val="30"/>
      <w:szCs w:val="24"/>
      <w:lang w:val="en-US" w:eastAsia="zh-CN" w:bidi="ar-SA"/>
    </w:rPr>
  </w:style>
  <w:style w:type="paragraph" w:customStyle="1" w:styleId="21">
    <w:name w:val="段"/>
    <w:qFormat/>
    <w:uiPriority w:val="99"/>
    <w:pPr>
      <w:autoSpaceDE w:val="0"/>
      <w:autoSpaceDN w:val="0"/>
      <w:ind w:firstLine="200" w:firstLineChars="200"/>
      <w:jc w:val="both"/>
    </w:pPr>
    <w:rPr>
      <w:rFonts w:ascii="宋体" w:hAnsi="Calibri" w:eastAsia="宋体" w:cs="宋体"/>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767</Words>
  <Characters>976</Characters>
  <Lines>7</Lines>
  <Paragraphs>2</Paragraphs>
  <TotalTime>2</TotalTime>
  <ScaleCrop>false</ScaleCrop>
  <LinksUpToDate>false</LinksUpToDate>
  <CharactersWithSpaces>1007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2023-07-20T10:16:33Z</dcterms:modified>
  <dc:title>××产品质量监督抽查实施细则</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