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方正小标宋_GBK" w:hAnsi="Times New Roman" w:eastAsia="方正小标宋_GBK" w:cs="方正仿宋简体"/>
          <w:color w:val="000000"/>
          <w:sz w:val="32"/>
          <w:szCs w:val="32"/>
        </w:rPr>
      </w:pPr>
      <w:r>
        <w:rPr>
          <w:rFonts w:hint="eastAsia" w:ascii="方正小标宋_GBK" w:hAnsi="Times New Roman" w:eastAsia="方正小标宋_GBK" w:cs="方正仿宋简体"/>
          <w:color w:val="000000"/>
          <w:sz w:val="32"/>
          <w:szCs w:val="32"/>
        </w:rPr>
        <w:t>贵州省砖和砌块产品质量监督抽查实施细则</w:t>
      </w:r>
    </w:p>
    <w:p>
      <w:pPr>
        <w:adjustRightInd w:val="0"/>
        <w:snapToGrid w:val="0"/>
        <w:spacing w:line="440" w:lineRule="exact"/>
        <w:jc w:val="center"/>
        <w:rPr>
          <w:rFonts w:eastAsia="黑体"/>
          <w:color w:val="000000"/>
          <w:szCs w:val="21"/>
        </w:rPr>
      </w:pPr>
      <w:r>
        <w:rPr>
          <w:rFonts w:hint="eastAsia" w:ascii="楷体_GB2312" w:hAnsi="楷体_GB2312" w:eastAsia="楷体_GB2312" w:cs="楷体_GB2312"/>
          <w:color w:val="000000"/>
          <w:sz w:val="32"/>
          <w:szCs w:val="32"/>
        </w:rPr>
        <w:t>（2023年版）</w:t>
      </w:r>
    </w:p>
    <w:p>
      <w:pPr>
        <w:snapToGrid w:val="0"/>
        <w:spacing w:line="440" w:lineRule="exact"/>
        <w:rPr>
          <w:rFonts w:eastAsia="黑体"/>
          <w:color w:val="000000"/>
          <w:szCs w:val="21"/>
        </w:rPr>
      </w:pP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pPr>
        <w:snapToGrid w:val="0"/>
        <w:spacing w:line="440" w:lineRule="exact"/>
        <w:jc w:val="center"/>
        <w:rPr>
          <w:rFonts w:eastAsia="黑体"/>
          <w:color w:val="000000"/>
          <w:szCs w:val="21"/>
        </w:rPr>
      </w:pPr>
      <w:r>
        <w:rPr>
          <w:rFonts w:hint="eastAsia" w:ascii="宋体" w:hAnsi="宋体"/>
          <w:color w:val="000000"/>
          <w:szCs w:val="21"/>
        </w:rPr>
        <w:t>表1 抽取样品数量</w:t>
      </w:r>
    </w:p>
    <w:tbl>
      <w:tblPr>
        <w:tblStyle w:val="2"/>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289"/>
        <w:gridCol w:w="1289"/>
        <w:gridCol w:w="1611"/>
        <w:gridCol w:w="2266"/>
        <w:gridCol w:w="1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szCs w:val="21"/>
              </w:rPr>
            </w:pPr>
            <w:r>
              <w:t>序号</w:t>
            </w:r>
          </w:p>
        </w:tc>
        <w:tc>
          <w:tcPr>
            <w:tcW w:w="2578" w:type="dxa"/>
            <w:gridSpan w:val="2"/>
            <w:tcBorders>
              <w:top w:val="single" w:color="auto" w:sz="4" w:space="0"/>
              <w:left w:val="nil"/>
              <w:bottom w:val="single" w:color="auto" w:sz="4" w:space="0"/>
              <w:right w:val="single" w:color="auto" w:sz="4" w:space="0"/>
            </w:tcBorders>
            <w:vAlign w:val="center"/>
          </w:tcPr>
          <w:p>
            <w:pPr>
              <w:snapToGrid w:val="0"/>
              <w:spacing w:line="440" w:lineRule="exact"/>
              <w:jc w:val="center"/>
              <w:rPr>
                <w:color w:val="000000"/>
              </w:rPr>
            </w:pPr>
            <w:r>
              <w:t>产品种类</w:t>
            </w:r>
          </w:p>
        </w:tc>
        <w:tc>
          <w:tcPr>
            <w:tcW w:w="1611" w:type="dxa"/>
            <w:tcBorders>
              <w:top w:val="single" w:color="auto" w:sz="4" w:space="0"/>
              <w:left w:val="nil"/>
              <w:bottom w:val="single" w:color="auto" w:sz="4" w:space="0"/>
              <w:right w:val="single" w:color="auto" w:sz="4" w:space="0"/>
            </w:tcBorders>
            <w:vAlign w:val="center"/>
          </w:tcPr>
          <w:p>
            <w:pPr>
              <w:snapToGrid w:val="0"/>
              <w:spacing w:line="440" w:lineRule="exact"/>
              <w:jc w:val="center"/>
              <w:rPr>
                <w:color w:val="000000"/>
              </w:rPr>
            </w:pPr>
            <w:r>
              <w:rPr>
                <w:color w:val="000000"/>
              </w:rPr>
              <w:t>抽样数量（块）</w:t>
            </w:r>
          </w:p>
        </w:tc>
        <w:tc>
          <w:tcPr>
            <w:tcW w:w="2266" w:type="dxa"/>
            <w:tcBorders>
              <w:top w:val="single" w:color="auto" w:sz="4" w:space="0"/>
              <w:left w:val="nil"/>
              <w:bottom w:val="single" w:color="auto" w:sz="4" w:space="0"/>
              <w:right w:val="single" w:color="auto" w:sz="4" w:space="0"/>
            </w:tcBorders>
            <w:vAlign w:val="center"/>
          </w:tcPr>
          <w:p>
            <w:pPr>
              <w:snapToGrid w:val="0"/>
              <w:spacing w:line="440" w:lineRule="exact"/>
              <w:jc w:val="center"/>
              <w:rPr>
                <w:color w:val="000000"/>
              </w:rPr>
            </w:pPr>
            <w:r>
              <w:rPr>
                <w:color w:val="000000"/>
              </w:rPr>
              <w:t>检验样品数量（块）</w:t>
            </w:r>
          </w:p>
        </w:tc>
        <w:tc>
          <w:tcPr>
            <w:tcW w:w="1947" w:type="dxa"/>
            <w:tcBorders>
              <w:top w:val="single" w:color="auto" w:sz="4" w:space="0"/>
              <w:left w:val="nil"/>
              <w:bottom w:val="single" w:color="auto" w:sz="4" w:space="0"/>
              <w:right w:val="single" w:color="auto" w:sz="4" w:space="0"/>
            </w:tcBorders>
            <w:vAlign w:val="center"/>
          </w:tcPr>
          <w:p>
            <w:pPr>
              <w:snapToGrid w:val="0"/>
              <w:spacing w:line="440" w:lineRule="exact"/>
              <w:jc w:val="center"/>
              <w:rPr>
                <w:color w:val="000000"/>
              </w:rPr>
            </w:pPr>
            <w:r>
              <w:rPr>
                <w:color w:val="000000"/>
              </w:rPr>
              <w:t>备用样品数量（块）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pPr>
            <w:r>
              <w:t>1</w:t>
            </w:r>
          </w:p>
        </w:tc>
        <w:tc>
          <w:tcPr>
            <w:tcW w:w="2578" w:type="dxa"/>
            <w:gridSpan w:val="2"/>
            <w:tcBorders>
              <w:top w:val="single" w:color="auto" w:sz="4" w:space="0"/>
              <w:left w:val="nil"/>
              <w:bottom w:val="single" w:color="auto" w:sz="4" w:space="0"/>
              <w:right w:val="single" w:color="auto" w:sz="4" w:space="0"/>
            </w:tcBorders>
            <w:vAlign w:val="center"/>
          </w:tcPr>
          <w:p>
            <w:pPr>
              <w:snapToGrid w:val="0"/>
              <w:spacing w:line="440" w:lineRule="exact"/>
              <w:jc w:val="center"/>
              <w:rPr>
                <w:color w:val="000000" w:themeColor="text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蒸压加气混凝土砌块</w:t>
            </w:r>
          </w:p>
        </w:tc>
        <w:tc>
          <w:tcPr>
            <w:tcW w:w="1611" w:type="dxa"/>
            <w:tcBorders>
              <w:top w:val="single" w:color="auto" w:sz="4" w:space="0"/>
              <w:left w:val="nil"/>
              <w:bottom w:val="single" w:color="auto" w:sz="4" w:space="0"/>
              <w:right w:val="single" w:color="auto" w:sz="4" w:space="0"/>
            </w:tcBorders>
            <w:vAlign w:val="center"/>
          </w:tcPr>
          <w:p>
            <w:pPr>
              <w:snapToGrid w:val="0"/>
              <w:spacing w:line="440" w:lineRule="exact"/>
              <w:jc w:val="center"/>
              <w:rPr>
                <w:color w:val="000000"/>
              </w:rPr>
            </w:pPr>
            <w:r>
              <w:rPr>
                <w:rFonts w:hint="eastAsia"/>
                <w:color w:val="000000"/>
              </w:rPr>
              <w:t>20</w:t>
            </w:r>
          </w:p>
        </w:tc>
        <w:tc>
          <w:tcPr>
            <w:tcW w:w="2266" w:type="dxa"/>
            <w:tcBorders>
              <w:top w:val="single" w:color="auto" w:sz="4" w:space="0"/>
              <w:left w:val="nil"/>
              <w:bottom w:val="single" w:color="auto" w:sz="4" w:space="0"/>
              <w:right w:val="single" w:color="auto" w:sz="4" w:space="0"/>
            </w:tcBorders>
            <w:vAlign w:val="center"/>
          </w:tcPr>
          <w:p>
            <w:pPr>
              <w:snapToGrid w:val="0"/>
              <w:spacing w:line="440" w:lineRule="exact"/>
              <w:jc w:val="center"/>
              <w:rPr>
                <w:color w:val="000000"/>
              </w:rPr>
            </w:pPr>
            <w:r>
              <w:rPr>
                <w:rFonts w:hint="eastAsia"/>
                <w:color w:val="000000"/>
              </w:rPr>
              <w:t>15</w:t>
            </w:r>
          </w:p>
        </w:tc>
        <w:tc>
          <w:tcPr>
            <w:tcW w:w="1947" w:type="dxa"/>
            <w:tcBorders>
              <w:top w:val="single" w:color="auto" w:sz="4" w:space="0"/>
              <w:left w:val="nil"/>
              <w:bottom w:val="single" w:color="auto" w:sz="4" w:space="0"/>
              <w:right w:val="single" w:color="auto" w:sz="4" w:space="0"/>
            </w:tcBorders>
            <w:vAlign w:val="center"/>
          </w:tcPr>
          <w:p>
            <w:pPr>
              <w:snapToGrid w:val="0"/>
              <w:spacing w:line="440" w:lineRule="exact"/>
              <w:jc w:val="center"/>
              <w:rPr>
                <w:color w:val="000000"/>
              </w:rPr>
            </w:pPr>
            <w:r>
              <w:rPr>
                <w:rFonts w:hint="eastAsia"/>
                <w:color w:val="00000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pPr>
            <w:r>
              <w:t>2</w:t>
            </w:r>
          </w:p>
        </w:tc>
        <w:tc>
          <w:tcPr>
            <w:tcW w:w="2578" w:type="dxa"/>
            <w:gridSpan w:val="2"/>
            <w:tcBorders>
              <w:top w:val="single" w:color="auto" w:sz="4" w:space="0"/>
              <w:left w:val="nil"/>
              <w:bottom w:val="single" w:color="auto" w:sz="4" w:space="0"/>
              <w:right w:val="single" w:color="auto" w:sz="4" w:space="0"/>
            </w:tcBorders>
            <w:vAlign w:val="center"/>
          </w:tcPr>
          <w:p>
            <w:pPr>
              <w:snapToGrid w:val="0"/>
              <w:spacing w:line="440" w:lineRule="exact"/>
              <w:jc w:val="center"/>
              <w:rPr>
                <w:rFonts w:eastAsia="宋体"/>
                <w:color w:val="000000" w:themeColor="text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烧结普通砖、烧结多孔砖和多孔砌块、烧结空心砖和空心砌块、混凝土实心砖、混凝土普通砖和装饰砖、复合保温砖和复合保温砌块、轻集料混凝土小型空心砌块、粉煤灰混凝土小型空心砌块、普通混凝土小型砌块、建筑碎料小型空心砌块、蒸压粉煤灰多孔砖、蒸压粉煤灰砖、蒸压粉煤灰空心砖和空心砌块</w:t>
            </w:r>
          </w:p>
        </w:tc>
        <w:tc>
          <w:tcPr>
            <w:tcW w:w="1611" w:type="dxa"/>
            <w:tcBorders>
              <w:top w:val="single" w:color="auto" w:sz="4" w:space="0"/>
              <w:left w:val="nil"/>
              <w:bottom w:val="single" w:color="auto" w:sz="4" w:space="0"/>
              <w:right w:val="single" w:color="auto" w:sz="4" w:space="0"/>
            </w:tcBorders>
            <w:vAlign w:val="center"/>
          </w:tcPr>
          <w:p>
            <w:pPr>
              <w:snapToGrid w:val="0"/>
              <w:spacing w:line="440" w:lineRule="exact"/>
              <w:jc w:val="center"/>
              <w:rPr>
                <w:color w:val="000000"/>
              </w:rPr>
            </w:pPr>
            <w:r>
              <w:rPr>
                <w:rFonts w:hint="eastAsia"/>
                <w:color w:val="000000"/>
              </w:rPr>
              <w:t>40</w:t>
            </w:r>
          </w:p>
        </w:tc>
        <w:tc>
          <w:tcPr>
            <w:tcW w:w="2266" w:type="dxa"/>
            <w:tcBorders>
              <w:top w:val="single" w:color="auto" w:sz="4" w:space="0"/>
              <w:left w:val="nil"/>
              <w:bottom w:val="single" w:color="auto" w:sz="4" w:space="0"/>
              <w:right w:val="single" w:color="auto" w:sz="4" w:space="0"/>
            </w:tcBorders>
            <w:vAlign w:val="center"/>
          </w:tcPr>
          <w:p>
            <w:pPr>
              <w:snapToGrid w:val="0"/>
              <w:spacing w:line="440" w:lineRule="exact"/>
              <w:jc w:val="center"/>
              <w:rPr>
                <w:color w:val="000000"/>
              </w:rPr>
            </w:pPr>
            <w:r>
              <w:rPr>
                <w:rFonts w:hint="eastAsia"/>
                <w:color w:val="000000"/>
              </w:rPr>
              <w:t>30</w:t>
            </w:r>
          </w:p>
        </w:tc>
        <w:tc>
          <w:tcPr>
            <w:tcW w:w="1947" w:type="dxa"/>
            <w:tcBorders>
              <w:top w:val="single" w:color="auto" w:sz="4" w:space="0"/>
              <w:left w:val="nil"/>
              <w:bottom w:val="single" w:color="auto" w:sz="4" w:space="0"/>
              <w:right w:val="single" w:color="auto" w:sz="4" w:space="0"/>
            </w:tcBorders>
            <w:vAlign w:val="center"/>
          </w:tcPr>
          <w:p>
            <w:pPr>
              <w:snapToGrid w:val="0"/>
              <w:spacing w:line="440" w:lineRule="exact"/>
              <w:jc w:val="center"/>
              <w:rPr>
                <w:color w:val="000000"/>
              </w:rPr>
            </w:pPr>
            <w:r>
              <w:rPr>
                <w:color w:val="00000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vMerge w:val="restart"/>
            <w:tcBorders>
              <w:top w:val="single" w:color="auto" w:sz="4" w:space="0"/>
              <w:left w:val="single" w:color="auto" w:sz="4" w:space="0"/>
              <w:right w:val="single" w:color="auto" w:sz="4" w:space="0"/>
            </w:tcBorders>
            <w:vAlign w:val="center"/>
          </w:tcPr>
          <w:p>
            <w:pPr>
              <w:snapToGrid w:val="0"/>
              <w:spacing w:line="440" w:lineRule="exact"/>
              <w:jc w:val="center"/>
            </w:pPr>
            <w:r>
              <w:rPr>
                <w:rFonts w:hint="eastAsia"/>
              </w:rPr>
              <w:t>3</w:t>
            </w:r>
          </w:p>
        </w:tc>
        <w:tc>
          <w:tcPr>
            <w:tcW w:w="1289" w:type="dxa"/>
            <w:vMerge w:val="restart"/>
            <w:tcBorders>
              <w:top w:val="single" w:color="auto" w:sz="4" w:space="0"/>
              <w:left w:val="nil"/>
              <w:right w:val="single" w:color="auto" w:sz="4" w:space="0"/>
            </w:tcBorders>
            <w:vAlign w:val="center"/>
          </w:tcPr>
          <w:p>
            <w:pPr>
              <w:snapToGrid w:val="0"/>
              <w:spacing w:line="440" w:lineRule="exact"/>
              <w:jc w:val="center"/>
              <w:rPr>
                <w:color w:val="000000"/>
              </w:rPr>
            </w:pPr>
            <w:r>
              <w:rPr>
                <w:rFonts w:hint="eastAsia"/>
                <w:color w:val="000000"/>
              </w:rPr>
              <w:t>承重混凝土多孔砖</w:t>
            </w:r>
          </w:p>
        </w:tc>
        <w:tc>
          <w:tcPr>
            <w:tcW w:w="1289" w:type="dxa"/>
            <w:tcBorders>
              <w:top w:val="single" w:color="auto" w:sz="4" w:space="0"/>
              <w:left w:val="nil"/>
              <w:bottom w:val="single" w:color="auto" w:sz="4" w:space="0"/>
              <w:right w:val="single" w:color="auto" w:sz="4" w:space="0"/>
            </w:tcBorders>
            <w:vAlign w:val="center"/>
          </w:tcPr>
          <w:p>
            <w:pPr>
              <w:snapToGrid w:val="0"/>
              <w:spacing w:line="440" w:lineRule="exact"/>
              <w:jc w:val="center"/>
              <w:rPr>
                <w:color w:val="000000"/>
              </w:rPr>
            </w:pPr>
            <w:r>
              <w:rPr>
                <w:rFonts w:hint="eastAsia"/>
                <w:color w:val="000000"/>
              </w:rPr>
              <w:t>H/B≥0.6</w:t>
            </w:r>
          </w:p>
        </w:tc>
        <w:tc>
          <w:tcPr>
            <w:tcW w:w="1611" w:type="dxa"/>
            <w:tcBorders>
              <w:top w:val="single" w:color="auto" w:sz="4" w:space="0"/>
              <w:left w:val="nil"/>
              <w:bottom w:val="single" w:color="auto" w:sz="4" w:space="0"/>
              <w:right w:val="single" w:color="auto" w:sz="4" w:space="0"/>
            </w:tcBorders>
            <w:vAlign w:val="center"/>
          </w:tcPr>
          <w:p>
            <w:pPr>
              <w:snapToGrid w:val="0"/>
              <w:spacing w:line="440" w:lineRule="exact"/>
              <w:jc w:val="center"/>
              <w:rPr>
                <w:color w:val="000000"/>
              </w:rPr>
            </w:pPr>
            <w:r>
              <w:rPr>
                <w:rFonts w:hint="eastAsia"/>
                <w:color w:val="000000"/>
              </w:rPr>
              <w:t>40</w:t>
            </w:r>
          </w:p>
        </w:tc>
        <w:tc>
          <w:tcPr>
            <w:tcW w:w="2266" w:type="dxa"/>
            <w:tcBorders>
              <w:top w:val="single" w:color="auto" w:sz="4" w:space="0"/>
              <w:left w:val="nil"/>
              <w:bottom w:val="single" w:color="auto" w:sz="4" w:space="0"/>
              <w:right w:val="single" w:color="auto" w:sz="4" w:space="0"/>
            </w:tcBorders>
            <w:vAlign w:val="center"/>
          </w:tcPr>
          <w:p>
            <w:pPr>
              <w:snapToGrid w:val="0"/>
              <w:spacing w:line="440" w:lineRule="exact"/>
              <w:jc w:val="center"/>
              <w:rPr>
                <w:color w:val="000000"/>
              </w:rPr>
            </w:pPr>
            <w:r>
              <w:rPr>
                <w:rFonts w:hint="eastAsia"/>
                <w:color w:val="000000"/>
              </w:rPr>
              <w:t>30</w:t>
            </w:r>
          </w:p>
        </w:tc>
        <w:tc>
          <w:tcPr>
            <w:tcW w:w="1947" w:type="dxa"/>
            <w:tcBorders>
              <w:top w:val="single" w:color="auto" w:sz="4" w:space="0"/>
              <w:left w:val="nil"/>
              <w:bottom w:val="single" w:color="auto" w:sz="4" w:space="0"/>
              <w:right w:val="single" w:color="auto" w:sz="4" w:space="0"/>
            </w:tcBorders>
            <w:vAlign w:val="center"/>
          </w:tcPr>
          <w:p>
            <w:pPr>
              <w:snapToGrid w:val="0"/>
              <w:spacing w:line="440" w:lineRule="exact"/>
              <w:jc w:val="center"/>
              <w:rPr>
                <w:color w:val="000000"/>
              </w:rPr>
            </w:pPr>
            <w:r>
              <w:rPr>
                <w:rFonts w:hint="eastAsia"/>
                <w:color w:val="00000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vMerge w:val="continue"/>
            <w:tcBorders>
              <w:left w:val="single" w:color="auto" w:sz="4" w:space="0"/>
              <w:bottom w:val="single" w:color="auto" w:sz="4" w:space="0"/>
              <w:right w:val="single" w:color="auto" w:sz="4" w:space="0"/>
            </w:tcBorders>
            <w:vAlign w:val="center"/>
          </w:tcPr>
          <w:p>
            <w:pPr>
              <w:snapToGrid w:val="0"/>
              <w:spacing w:line="440" w:lineRule="exact"/>
              <w:jc w:val="center"/>
            </w:pPr>
          </w:p>
        </w:tc>
        <w:tc>
          <w:tcPr>
            <w:tcW w:w="1289" w:type="dxa"/>
            <w:vMerge w:val="continue"/>
            <w:tcBorders>
              <w:left w:val="nil"/>
              <w:bottom w:val="single" w:color="auto" w:sz="4" w:space="0"/>
              <w:right w:val="single" w:color="auto" w:sz="4" w:space="0"/>
            </w:tcBorders>
            <w:vAlign w:val="center"/>
          </w:tcPr>
          <w:p>
            <w:pPr>
              <w:snapToGrid w:val="0"/>
              <w:spacing w:line="440" w:lineRule="exact"/>
              <w:jc w:val="center"/>
              <w:rPr>
                <w:color w:val="000000"/>
              </w:rPr>
            </w:pPr>
          </w:p>
        </w:tc>
        <w:tc>
          <w:tcPr>
            <w:tcW w:w="1289" w:type="dxa"/>
            <w:tcBorders>
              <w:top w:val="single" w:color="auto" w:sz="4" w:space="0"/>
              <w:left w:val="nil"/>
              <w:bottom w:val="single" w:color="auto" w:sz="4" w:space="0"/>
              <w:right w:val="single" w:color="auto" w:sz="4" w:space="0"/>
            </w:tcBorders>
            <w:vAlign w:val="center"/>
          </w:tcPr>
          <w:p>
            <w:pPr>
              <w:snapToGrid w:val="0"/>
              <w:spacing w:line="440" w:lineRule="exact"/>
              <w:jc w:val="center"/>
              <w:rPr>
                <w:color w:val="000000"/>
              </w:rPr>
            </w:pPr>
            <w:r>
              <w:rPr>
                <w:rFonts w:hint="eastAsia"/>
                <w:color w:val="000000"/>
              </w:rPr>
              <w:t>H/B＜0.6</w:t>
            </w:r>
          </w:p>
        </w:tc>
        <w:tc>
          <w:tcPr>
            <w:tcW w:w="1611" w:type="dxa"/>
            <w:tcBorders>
              <w:top w:val="single" w:color="auto" w:sz="4" w:space="0"/>
              <w:left w:val="nil"/>
              <w:bottom w:val="single" w:color="auto" w:sz="4" w:space="0"/>
              <w:right w:val="single" w:color="auto" w:sz="4" w:space="0"/>
            </w:tcBorders>
            <w:vAlign w:val="center"/>
          </w:tcPr>
          <w:p>
            <w:pPr>
              <w:snapToGrid w:val="0"/>
              <w:spacing w:line="440" w:lineRule="exact"/>
              <w:jc w:val="center"/>
              <w:rPr>
                <w:color w:val="000000"/>
              </w:rPr>
            </w:pPr>
            <w:r>
              <w:rPr>
                <w:rFonts w:hint="eastAsia"/>
                <w:color w:val="000000"/>
              </w:rPr>
              <w:t>70</w:t>
            </w:r>
          </w:p>
        </w:tc>
        <w:tc>
          <w:tcPr>
            <w:tcW w:w="2266" w:type="dxa"/>
            <w:tcBorders>
              <w:top w:val="single" w:color="auto" w:sz="4" w:space="0"/>
              <w:left w:val="nil"/>
              <w:bottom w:val="single" w:color="auto" w:sz="4" w:space="0"/>
              <w:right w:val="single" w:color="auto" w:sz="4" w:space="0"/>
            </w:tcBorders>
            <w:vAlign w:val="center"/>
          </w:tcPr>
          <w:p>
            <w:pPr>
              <w:snapToGrid w:val="0"/>
              <w:spacing w:line="440" w:lineRule="exact"/>
              <w:jc w:val="center"/>
              <w:rPr>
                <w:color w:val="000000"/>
              </w:rPr>
            </w:pPr>
            <w:r>
              <w:rPr>
                <w:rFonts w:hint="eastAsia"/>
                <w:color w:val="000000"/>
              </w:rPr>
              <w:t>50</w:t>
            </w:r>
          </w:p>
        </w:tc>
        <w:tc>
          <w:tcPr>
            <w:tcW w:w="1947" w:type="dxa"/>
            <w:tcBorders>
              <w:top w:val="single" w:color="auto" w:sz="4" w:space="0"/>
              <w:left w:val="nil"/>
              <w:bottom w:val="single" w:color="auto" w:sz="4" w:space="0"/>
              <w:right w:val="single" w:color="auto" w:sz="4" w:space="0"/>
            </w:tcBorders>
            <w:vAlign w:val="center"/>
          </w:tcPr>
          <w:p>
            <w:pPr>
              <w:snapToGrid w:val="0"/>
              <w:spacing w:line="440" w:lineRule="exact"/>
              <w:jc w:val="center"/>
              <w:rPr>
                <w:color w:val="000000"/>
              </w:rPr>
            </w:pPr>
            <w:r>
              <w:rPr>
                <w:rFonts w:hint="eastAsia"/>
                <w:color w:val="000000"/>
              </w:rPr>
              <w:t>20</w:t>
            </w:r>
          </w:p>
        </w:tc>
      </w:tr>
    </w:tbl>
    <w:p>
      <w:pPr>
        <w:snapToGrid w:val="0"/>
        <w:spacing w:line="440" w:lineRule="exact"/>
        <w:rPr>
          <w:rFonts w:eastAsia="黑体"/>
          <w:color w:val="000000"/>
          <w:szCs w:val="21"/>
        </w:rPr>
      </w:pP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jc w:val="center"/>
        <w:rPr>
          <w:rFonts w:eastAsia="黑体"/>
          <w:color w:val="000000"/>
          <w:szCs w:val="21"/>
        </w:rPr>
      </w:pPr>
      <w:r>
        <w:rPr>
          <w:rFonts w:hint="eastAsia" w:ascii="宋体" w:hAnsi="宋体"/>
          <w:color w:val="000000"/>
          <w:szCs w:val="21"/>
        </w:rPr>
        <w:t>表2 蒸压加气混凝土砌块</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ascii="宋体" w:hAnsi="宋体" w:eastAsia="宋体" w:cs="宋体"/>
                <w:color w:val="000000"/>
                <w:szCs w:val="21"/>
              </w:rPr>
            </w:pPr>
            <w:r>
              <w:rPr>
                <w:rFonts w:hint="eastAsia"/>
              </w:rPr>
              <w:t>序号</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检验项目</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1</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强度级别</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11969-2020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2</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抗冻性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11969-2020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3</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干燥收缩值</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11969-2020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4</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干密度</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11969-2020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5</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导热系数</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10294-2008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6</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放射性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 6566-2010</w:t>
            </w:r>
          </w:p>
        </w:tc>
      </w:tr>
    </w:tbl>
    <w:p>
      <w:pPr>
        <w:snapToGrid w:val="0"/>
        <w:spacing w:line="440" w:lineRule="exact"/>
        <w:jc w:val="center"/>
        <w:rPr>
          <w:rFonts w:eastAsia="黑体"/>
          <w:color w:val="000000"/>
          <w:szCs w:val="21"/>
        </w:rPr>
      </w:pPr>
    </w:p>
    <w:p>
      <w:pPr>
        <w:snapToGrid w:val="0"/>
        <w:spacing w:line="440" w:lineRule="exact"/>
        <w:jc w:val="center"/>
        <w:rPr>
          <w:rFonts w:eastAsia="黑体"/>
          <w:color w:val="000000"/>
          <w:szCs w:val="21"/>
        </w:rPr>
      </w:pPr>
      <w:r>
        <w:rPr>
          <w:rFonts w:hint="eastAsia" w:ascii="宋体" w:hAnsi="宋体"/>
          <w:color w:val="000000"/>
          <w:szCs w:val="21"/>
        </w:rPr>
        <w:t>表3 烧结普通砖</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ascii="宋体" w:hAnsi="宋体" w:eastAsia="宋体" w:cs="宋体"/>
                <w:color w:val="000000"/>
                <w:szCs w:val="21"/>
              </w:rPr>
            </w:pPr>
            <w:r>
              <w:rPr>
                <w:rFonts w:hint="eastAsia"/>
              </w:rPr>
              <w:t>序号</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检验项目</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1</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强度等级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2</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抗冻性或抗风化性能</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3</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泛霜</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4</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石灰爆裂</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5</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放射性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 6566-2010</w:t>
            </w:r>
          </w:p>
        </w:tc>
      </w:tr>
    </w:tbl>
    <w:p>
      <w:pPr>
        <w:snapToGrid w:val="0"/>
        <w:spacing w:line="440" w:lineRule="exact"/>
        <w:jc w:val="center"/>
        <w:rPr>
          <w:rFonts w:eastAsia="黑体"/>
          <w:color w:val="000000"/>
          <w:szCs w:val="21"/>
        </w:rPr>
      </w:pPr>
    </w:p>
    <w:p>
      <w:pPr>
        <w:snapToGrid w:val="0"/>
        <w:spacing w:line="440" w:lineRule="exact"/>
        <w:jc w:val="center"/>
        <w:rPr>
          <w:rFonts w:eastAsia="黑体"/>
          <w:color w:val="000000"/>
          <w:szCs w:val="21"/>
        </w:rPr>
      </w:pPr>
    </w:p>
    <w:p>
      <w:pPr>
        <w:snapToGrid w:val="0"/>
        <w:spacing w:line="440" w:lineRule="exact"/>
        <w:jc w:val="center"/>
        <w:rPr>
          <w:rFonts w:ascii="宋体" w:hAnsi="宋体"/>
          <w:color w:val="000000"/>
          <w:szCs w:val="21"/>
        </w:rPr>
      </w:pPr>
      <w:r>
        <w:rPr>
          <w:rFonts w:hint="eastAsia" w:ascii="宋体" w:hAnsi="宋体"/>
          <w:color w:val="000000"/>
          <w:szCs w:val="21"/>
        </w:rPr>
        <w:t>表4 烧结多孔砖和多孔砌块、烧结空心砖和空心砌块</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ascii="宋体" w:hAnsi="宋体" w:eastAsia="宋体" w:cs="宋体"/>
                <w:color w:val="000000"/>
                <w:szCs w:val="21"/>
              </w:rPr>
            </w:pPr>
            <w:r>
              <w:rPr>
                <w:rFonts w:hint="eastAsia"/>
              </w:rPr>
              <w:t>序号</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检验项目</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1</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强度等级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2</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抗风化性能</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3</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泛霜</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4</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石灰爆裂</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5</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孔型孔洞率及孔洞排列</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6</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密度等级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7</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放射性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 6566-2010</w:t>
            </w:r>
          </w:p>
        </w:tc>
      </w:tr>
    </w:tbl>
    <w:p>
      <w:pPr>
        <w:adjustRightInd w:val="0"/>
        <w:snapToGrid w:val="0"/>
        <w:spacing w:line="440" w:lineRule="exact"/>
        <w:rPr>
          <w:color w:val="000000"/>
        </w:rPr>
      </w:pPr>
    </w:p>
    <w:p>
      <w:pPr>
        <w:snapToGrid w:val="0"/>
        <w:spacing w:line="440" w:lineRule="exact"/>
        <w:jc w:val="center"/>
        <w:rPr>
          <w:rFonts w:eastAsia="黑体"/>
          <w:color w:val="000000"/>
          <w:szCs w:val="21"/>
        </w:rPr>
      </w:pPr>
      <w:r>
        <w:rPr>
          <w:rFonts w:hint="eastAsia" w:ascii="宋体" w:hAnsi="宋体" w:eastAsia="宋体" w:cs="宋体"/>
          <w:color w:val="000000"/>
          <w:szCs w:val="21"/>
        </w:rPr>
        <w:t>表5 混凝土实心砖</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ascii="宋体" w:hAnsi="宋体" w:eastAsia="宋体" w:cs="宋体"/>
                <w:color w:val="000000"/>
                <w:szCs w:val="21"/>
              </w:rPr>
            </w:pPr>
            <w:r>
              <w:rPr>
                <w:rFonts w:hint="eastAsia"/>
              </w:rPr>
              <w:t>序号</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检验项目</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1</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强度等级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21144-2007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2</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抗冻性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21144-2007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3</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最大吸水率</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4</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干燥收缩率</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5</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密度等级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6</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软化系数</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21144-2007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7</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碳化系数</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21144-2007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8</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放射性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 6566-2010</w:t>
            </w:r>
          </w:p>
        </w:tc>
      </w:tr>
    </w:tbl>
    <w:p>
      <w:pPr>
        <w:adjustRightInd w:val="0"/>
        <w:snapToGrid w:val="0"/>
        <w:spacing w:line="440" w:lineRule="exact"/>
        <w:ind w:firstLine="420" w:firstLineChars="200"/>
        <w:rPr>
          <w:color w:val="000000"/>
        </w:rPr>
      </w:pPr>
    </w:p>
    <w:p>
      <w:pPr>
        <w:snapToGrid w:val="0"/>
        <w:spacing w:line="440" w:lineRule="exact"/>
        <w:jc w:val="center"/>
        <w:rPr>
          <w:rFonts w:eastAsia="黑体"/>
          <w:color w:val="000000"/>
          <w:szCs w:val="21"/>
        </w:rPr>
      </w:pPr>
      <w:r>
        <w:rPr>
          <w:rFonts w:hint="eastAsia" w:ascii="宋体" w:hAnsi="宋体" w:eastAsia="宋体" w:cs="宋体"/>
          <w:color w:val="000000"/>
          <w:szCs w:val="21"/>
        </w:rPr>
        <w:t>表6 轻集料混凝土小型空心砌块</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ascii="宋体" w:hAnsi="宋体" w:eastAsia="宋体" w:cs="宋体"/>
                <w:color w:val="000000"/>
                <w:szCs w:val="21"/>
              </w:rPr>
            </w:pPr>
            <w:r>
              <w:rPr>
                <w:rFonts w:hint="eastAsia"/>
              </w:rPr>
              <w:t>序号</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检验项目</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1</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强度等级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2</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抗冻性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3</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吸水率</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4</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干燥收缩率</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5</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密度等级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6</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软化系数</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7</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碳化系数</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8</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放射性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 6566-2010</w:t>
            </w:r>
          </w:p>
        </w:tc>
      </w:tr>
    </w:tbl>
    <w:p>
      <w:pPr>
        <w:snapToGrid w:val="0"/>
        <w:spacing w:line="440" w:lineRule="exact"/>
        <w:jc w:val="center"/>
        <w:rPr>
          <w:rFonts w:eastAsia="黑体"/>
          <w:color w:val="000000"/>
          <w:szCs w:val="21"/>
        </w:rPr>
      </w:pPr>
    </w:p>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表7  建筑碎料小型空心砌块</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ascii="宋体" w:hAnsi="宋体" w:eastAsia="宋体" w:cs="宋体"/>
                <w:color w:val="000000"/>
                <w:szCs w:val="21"/>
              </w:rPr>
            </w:pPr>
            <w:r>
              <w:rPr>
                <w:rFonts w:hint="eastAsia"/>
              </w:rPr>
              <w:t>序号</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检验项目</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1</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强度等级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2</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抗冻性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3</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吸水率</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4</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干燥收缩率</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5</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密度等级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6</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软化系数</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7</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碳化系数</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8</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放射性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 6566-2010</w:t>
            </w:r>
          </w:p>
        </w:tc>
      </w:tr>
    </w:tbl>
    <w:p>
      <w:pPr>
        <w:snapToGrid w:val="0"/>
        <w:spacing w:line="440" w:lineRule="exact"/>
        <w:jc w:val="center"/>
        <w:rPr>
          <w:rFonts w:eastAsia="黑体"/>
          <w:color w:val="000000"/>
          <w:szCs w:val="21"/>
        </w:rPr>
      </w:pPr>
    </w:p>
    <w:p>
      <w:pPr>
        <w:snapToGrid w:val="0"/>
        <w:spacing w:line="440" w:lineRule="exact"/>
        <w:jc w:val="center"/>
        <w:rPr>
          <w:rFonts w:eastAsia="黑体"/>
          <w:color w:val="000000"/>
          <w:szCs w:val="21"/>
        </w:rPr>
      </w:pPr>
      <w:r>
        <w:rPr>
          <w:rFonts w:hint="eastAsia" w:ascii="宋体" w:hAnsi="宋体" w:eastAsia="宋体" w:cs="宋体"/>
          <w:color w:val="000000"/>
          <w:szCs w:val="21"/>
        </w:rPr>
        <w:t>表8  粉煤灰混凝土小型空心砌块</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ascii="宋体" w:hAnsi="宋体" w:eastAsia="宋体" w:cs="宋体"/>
                <w:color w:val="000000"/>
                <w:szCs w:val="21"/>
              </w:rPr>
            </w:pPr>
            <w:r>
              <w:rPr>
                <w:rFonts w:hint="eastAsia"/>
              </w:rPr>
              <w:t>序号</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检验项目</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1</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强度等级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2</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抗冻性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3</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干燥收缩率</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4</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密度等级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5</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软化系数</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6</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碳化系数</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7</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放射性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 6566-2010</w:t>
            </w:r>
          </w:p>
        </w:tc>
      </w:tr>
    </w:tbl>
    <w:p>
      <w:pPr>
        <w:snapToGrid w:val="0"/>
        <w:spacing w:line="440" w:lineRule="exact"/>
        <w:jc w:val="center"/>
        <w:rPr>
          <w:rFonts w:eastAsia="黑体"/>
          <w:color w:val="000000"/>
          <w:szCs w:val="21"/>
        </w:rPr>
      </w:pPr>
    </w:p>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表9  普通混凝土小型砌块</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ascii="宋体" w:hAnsi="宋体" w:eastAsia="宋体" w:cs="宋体"/>
                <w:color w:val="000000"/>
                <w:szCs w:val="21"/>
              </w:rPr>
            </w:pPr>
            <w:r>
              <w:rPr>
                <w:rFonts w:hint="eastAsia"/>
              </w:rPr>
              <w:t>序号</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检验项目</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1</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强度等级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2</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抗冻性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3</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吸水率</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4</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线性干燥收缩值</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5</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空心率</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6</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软化系数</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7</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碳化系数</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8</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放射性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 6566-2010</w:t>
            </w:r>
          </w:p>
        </w:tc>
      </w:tr>
    </w:tbl>
    <w:p>
      <w:pPr>
        <w:snapToGrid w:val="0"/>
        <w:spacing w:line="440" w:lineRule="exact"/>
        <w:rPr>
          <w:rFonts w:eastAsia="黑体"/>
          <w:color w:val="000000"/>
          <w:szCs w:val="21"/>
        </w:rPr>
      </w:pPr>
    </w:p>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表10  复合保温砖和复合保温砌块</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ascii="宋体" w:hAnsi="宋体" w:eastAsia="宋体" w:cs="宋体"/>
                <w:color w:val="000000"/>
                <w:szCs w:val="21"/>
              </w:rPr>
            </w:pPr>
            <w:r>
              <w:rPr>
                <w:rFonts w:hint="eastAsia"/>
              </w:rPr>
              <w:t>序号</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检验项目</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1</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强度等级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2</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抗冻性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3</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密度等级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4</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放射性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 6566-2010</w:t>
            </w:r>
          </w:p>
        </w:tc>
      </w:tr>
    </w:tbl>
    <w:p>
      <w:pPr>
        <w:snapToGrid w:val="0"/>
        <w:spacing w:line="440" w:lineRule="exact"/>
        <w:jc w:val="center"/>
        <w:rPr>
          <w:rFonts w:eastAsia="黑体"/>
          <w:color w:val="000000"/>
          <w:szCs w:val="21"/>
        </w:rPr>
      </w:pPr>
    </w:p>
    <w:p>
      <w:pPr>
        <w:snapToGrid w:val="0"/>
        <w:spacing w:line="440" w:lineRule="exact"/>
        <w:jc w:val="center"/>
        <w:rPr>
          <w:rFonts w:eastAsia="黑体"/>
          <w:color w:val="000000"/>
          <w:szCs w:val="21"/>
        </w:rPr>
      </w:pPr>
      <w:r>
        <w:rPr>
          <w:rFonts w:hint="eastAsia" w:ascii="宋体" w:hAnsi="宋体" w:eastAsia="宋体" w:cs="宋体"/>
          <w:color w:val="000000"/>
          <w:szCs w:val="21"/>
        </w:rPr>
        <w:t>表11  承重混凝土多孔砖</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ascii="宋体" w:hAnsi="宋体" w:eastAsia="宋体" w:cs="宋体"/>
                <w:color w:val="000000"/>
                <w:szCs w:val="21"/>
              </w:rPr>
            </w:pPr>
            <w:r>
              <w:rPr>
                <w:rFonts w:hint="eastAsia"/>
              </w:rPr>
              <w:t>序号</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检验项目</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1</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强度等级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25779-2010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2</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抗冻性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25779-2010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3</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最大吸水率</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4</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孔洞率</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5</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线性干燥收缩率</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6</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软化系数</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25779-2010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7</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碳化系数</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25779-2010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8</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放射性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 6566-2010</w:t>
            </w:r>
          </w:p>
        </w:tc>
      </w:tr>
    </w:tbl>
    <w:p>
      <w:pPr>
        <w:snapToGrid w:val="0"/>
        <w:spacing w:line="440" w:lineRule="exact"/>
        <w:rPr>
          <w:rFonts w:eastAsia="黑体"/>
          <w:color w:val="000000"/>
          <w:szCs w:val="21"/>
        </w:rPr>
      </w:pPr>
    </w:p>
    <w:p>
      <w:pPr>
        <w:snapToGrid w:val="0"/>
        <w:spacing w:line="440" w:lineRule="exact"/>
        <w:jc w:val="center"/>
        <w:rPr>
          <w:rFonts w:eastAsia="黑体"/>
          <w:color w:val="000000"/>
          <w:szCs w:val="21"/>
        </w:rPr>
      </w:pPr>
      <w:r>
        <w:rPr>
          <w:rFonts w:hint="eastAsia" w:ascii="宋体" w:hAnsi="宋体" w:eastAsia="宋体" w:cs="宋体"/>
          <w:color w:val="000000"/>
          <w:szCs w:val="21"/>
        </w:rPr>
        <w:t>表12  蒸压粉煤灰砖</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ascii="宋体" w:hAnsi="宋体" w:eastAsia="宋体" w:cs="宋体"/>
                <w:color w:val="000000"/>
                <w:szCs w:val="21"/>
              </w:rPr>
            </w:pPr>
            <w:r>
              <w:rPr>
                <w:rFonts w:hint="eastAsia"/>
              </w:rPr>
              <w:t>序号</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检验项目</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1</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强度等级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JC/T 239-2014(2017)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2</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抗冻性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JC/T 239-2014(2017)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3</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吸水率</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4</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线性干燥收缩值</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5</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碳化系数</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JC/T 239-2014(2017)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6</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放射性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 6566-2010</w:t>
            </w:r>
          </w:p>
        </w:tc>
      </w:tr>
    </w:tbl>
    <w:p>
      <w:pPr>
        <w:snapToGrid w:val="0"/>
        <w:spacing w:line="440" w:lineRule="exact"/>
        <w:jc w:val="center"/>
        <w:rPr>
          <w:rFonts w:eastAsia="黑体"/>
          <w:color w:val="000000"/>
          <w:szCs w:val="21"/>
        </w:rPr>
      </w:pPr>
    </w:p>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表13  蒸压粉煤灰多孔砖</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ascii="宋体" w:hAnsi="宋体" w:eastAsia="宋体" w:cs="宋体"/>
                <w:color w:val="000000"/>
                <w:szCs w:val="21"/>
              </w:rPr>
            </w:pPr>
            <w:r>
              <w:rPr>
                <w:rFonts w:hint="eastAsia"/>
              </w:rPr>
              <w:t>序号</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检验项目</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1</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强度等级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2542-2012</w:t>
            </w:r>
          </w:p>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26541-2011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2</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抗冻性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26541-2011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3</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吸水率</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4</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孔洞率</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5</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线性干燥收缩值</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6</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碳化系数</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26541-2011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7</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放射性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 6566-2010</w:t>
            </w:r>
          </w:p>
        </w:tc>
      </w:tr>
    </w:tbl>
    <w:p>
      <w:pPr>
        <w:snapToGrid w:val="0"/>
        <w:spacing w:line="440" w:lineRule="exact"/>
        <w:jc w:val="center"/>
        <w:rPr>
          <w:rFonts w:eastAsia="黑体"/>
          <w:color w:val="000000"/>
          <w:szCs w:val="21"/>
        </w:rPr>
      </w:pPr>
    </w:p>
    <w:p>
      <w:pPr>
        <w:snapToGrid w:val="0"/>
        <w:spacing w:line="440" w:lineRule="exact"/>
        <w:jc w:val="center"/>
        <w:rPr>
          <w:rFonts w:eastAsia="黑体"/>
          <w:color w:val="000000"/>
          <w:szCs w:val="21"/>
        </w:rPr>
      </w:pPr>
      <w:r>
        <w:rPr>
          <w:rFonts w:hint="eastAsia" w:ascii="宋体" w:hAnsi="宋体" w:eastAsia="宋体" w:cs="宋体"/>
          <w:color w:val="000000"/>
          <w:szCs w:val="21"/>
        </w:rPr>
        <w:t>表14  蒸压粉煤灰空心砖和空心砌块</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ascii="宋体" w:hAnsi="宋体" w:eastAsia="宋体" w:cs="宋体"/>
                <w:color w:val="000000"/>
                <w:szCs w:val="21"/>
              </w:rPr>
            </w:pPr>
            <w:r>
              <w:rPr>
                <w:rFonts w:hint="eastAsia"/>
              </w:rPr>
              <w:t>序号</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检验项目</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1</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强度等级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2542-2012</w:t>
            </w:r>
          </w:p>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36535-2018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2</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抗冻性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36535-2018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szCs w:val="21"/>
              </w:rPr>
            </w:pPr>
            <w:r>
              <w:rPr>
                <w:rFonts w:hint="eastAsia" w:ascii="宋体" w:hAnsi="宋体" w:eastAsia="宋体" w:cs="宋体"/>
                <w:szCs w:val="21"/>
              </w:rPr>
              <w:t>3</w:t>
            </w:r>
          </w:p>
        </w:tc>
        <w:tc>
          <w:tcPr>
            <w:tcW w:w="4266" w:type="dxa"/>
            <w:vAlign w:val="center"/>
          </w:tcPr>
          <w:p>
            <w:pPr>
              <w:snapToGrid w:val="0"/>
              <w:spacing w:line="440" w:lineRule="exact"/>
              <w:jc w:val="center"/>
              <w:rPr>
                <w:rFonts w:ascii="宋体" w:hAnsi="宋体" w:eastAsia="宋体" w:cs="宋体"/>
                <w:szCs w:val="21"/>
              </w:rPr>
            </w:pPr>
            <w:r>
              <w:rPr>
                <w:rFonts w:hint="eastAsia" w:ascii="宋体" w:hAnsi="宋体" w:eastAsia="宋体" w:cs="宋体"/>
                <w:szCs w:val="21"/>
              </w:rPr>
              <w:t>吸水率</w:t>
            </w:r>
          </w:p>
        </w:tc>
        <w:tc>
          <w:tcPr>
            <w:tcW w:w="3926" w:type="dxa"/>
            <w:vAlign w:val="center"/>
          </w:tcPr>
          <w:p>
            <w:pPr>
              <w:snapToGrid w:val="0"/>
              <w:spacing w:line="440" w:lineRule="exact"/>
              <w:jc w:val="center"/>
              <w:rPr>
                <w:rFonts w:ascii="宋体" w:hAnsi="宋体" w:eastAsia="宋体" w:cs="宋体"/>
                <w:szCs w:val="21"/>
              </w:rPr>
            </w:pPr>
            <w:r>
              <w:rPr>
                <w:rFonts w:hint="eastAsia" w:ascii="宋体" w:hAnsi="宋体" w:eastAsia="宋体" w:cs="宋体"/>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4</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密度等级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5</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空心率</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6</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线性干燥收缩值</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7</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碳化系数</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4111-2013</w:t>
            </w:r>
          </w:p>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36535-2018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8</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放射性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 6566-2010</w:t>
            </w:r>
          </w:p>
        </w:tc>
      </w:tr>
    </w:tbl>
    <w:p>
      <w:pPr>
        <w:snapToGrid w:val="0"/>
        <w:spacing w:line="440" w:lineRule="exact"/>
        <w:jc w:val="center"/>
        <w:rPr>
          <w:rFonts w:eastAsia="黑体"/>
          <w:color w:val="000000"/>
          <w:szCs w:val="21"/>
        </w:rPr>
      </w:pPr>
    </w:p>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表15  混凝土普通砖和装饰砖</w:t>
      </w:r>
    </w:p>
    <w:tbl>
      <w:tblPr>
        <w:tblStyle w:val="2"/>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pacing w:line="440" w:lineRule="exact"/>
              <w:jc w:val="center"/>
              <w:rPr>
                <w:rFonts w:ascii="宋体" w:hAnsi="宋体" w:eastAsia="宋体" w:cs="宋体"/>
                <w:color w:val="000000"/>
                <w:szCs w:val="21"/>
              </w:rPr>
            </w:pPr>
            <w:r>
              <w:rPr>
                <w:rFonts w:hint="eastAsia"/>
              </w:rPr>
              <w:t>序号</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检验项目</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1</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强度等级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2</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抗冻性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3</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吸水率</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4</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密度级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GB/T 2542-2012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5</w:t>
            </w:r>
          </w:p>
        </w:tc>
        <w:tc>
          <w:tcPr>
            <w:tcW w:w="426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放射性</w:t>
            </w:r>
          </w:p>
        </w:tc>
        <w:tc>
          <w:tcPr>
            <w:tcW w:w="3926" w:type="dxa"/>
            <w:vAlign w:val="center"/>
          </w:tcPr>
          <w:p>
            <w:pPr>
              <w:snapToGrid w:val="0"/>
              <w:spacing w:line="440" w:lineRule="exact"/>
              <w:jc w:val="center"/>
              <w:rPr>
                <w:rFonts w:ascii="宋体" w:hAnsi="宋体" w:eastAsia="宋体" w:cs="宋体"/>
                <w:color w:val="000000"/>
                <w:szCs w:val="21"/>
              </w:rPr>
            </w:pPr>
            <w:r>
              <w:rPr>
                <w:rFonts w:hint="eastAsia" w:ascii="宋体" w:hAnsi="宋体" w:eastAsia="宋体" w:cs="宋体"/>
                <w:color w:val="000000"/>
                <w:szCs w:val="21"/>
              </w:rPr>
              <w:t>GB 6566-2010</w:t>
            </w:r>
          </w:p>
        </w:tc>
      </w:tr>
    </w:tbl>
    <w:p>
      <w:pPr>
        <w:adjustRightInd w:val="0"/>
        <w:snapToGrid w:val="0"/>
        <w:spacing w:line="440" w:lineRule="exact"/>
        <w:ind w:firstLine="420" w:firstLineChars="200"/>
        <w:rPr>
          <w:color w:val="000000"/>
        </w:rPr>
      </w:pPr>
      <w:r>
        <w:rPr>
          <w:color w:val="000000"/>
        </w:rPr>
        <w:t>执行企业标准、团体标准、地方标准的产品，检验项目参照上述内容执行。</w:t>
      </w:r>
    </w:p>
    <w:p>
      <w:pPr>
        <w:adjustRightInd w:val="0"/>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pPr>
        <w:snapToGrid w:val="0"/>
        <w:spacing w:line="440" w:lineRule="exact"/>
        <w:rPr>
          <w:color w:val="000000"/>
          <w:szCs w:val="21"/>
        </w:rPr>
      </w:pPr>
    </w:p>
    <w:p>
      <w:pPr>
        <w:spacing w:line="440" w:lineRule="exact"/>
        <w:rPr>
          <w:rFonts w:eastAsia="黑体"/>
          <w:color w:val="000000"/>
          <w:szCs w:val="21"/>
        </w:rPr>
      </w:pPr>
      <w:r>
        <w:rPr>
          <w:rFonts w:eastAsia="黑体"/>
          <w:color w:val="000000"/>
          <w:szCs w:val="21"/>
        </w:rPr>
        <w:t>3 判定规则</w:t>
      </w:r>
    </w:p>
    <w:p>
      <w:pPr>
        <w:snapToGrid w:val="0"/>
        <w:spacing w:line="440" w:lineRule="exact"/>
        <w:rPr>
          <w:color w:val="000000"/>
          <w:szCs w:val="21"/>
        </w:rPr>
      </w:pPr>
      <w:r>
        <w:rPr>
          <w:color w:val="000000"/>
          <w:szCs w:val="21"/>
        </w:rPr>
        <w:t>3.1依据标准</w:t>
      </w:r>
    </w:p>
    <w:p>
      <w:pPr>
        <w:snapToGrid w:val="0"/>
        <w:spacing w:line="440" w:lineRule="exact"/>
        <w:ind w:firstLine="420" w:firstLineChars="200"/>
        <w:rPr>
          <w:rFonts w:ascii="宋体" w:hAnsi="宋体" w:eastAsia="宋体" w:cs="宋体"/>
          <w:color w:val="000000"/>
          <w:szCs w:val="21"/>
        </w:rPr>
      </w:pPr>
      <w:r>
        <w:rPr>
          <w:rFonts w:hint="eastAsia" w:ascii="宋体" w:hAnsi="宋体" w:eastAsia="宋体" w:cs="宋体"/>
          <w:color w:val="000000"/>
          <w:szCs w:val="21"/>
        </w:rPr>
        <w:t>GB/T 11968-2020  蒸压加气混凝土砌块</w:t>
      </w:r>
    </w:p>
    <w:p>
      <w:pPr>
        <w:snapToGrid w:val="0"/>
        <w:spacing w:line="440" w:lineRule="exact"/>
        <w:ind w:firstLine="420" w:firstLineChars="200"/>
        <w:rPr>
          <w:rFonts w:ascii="宋体" w:hAnsi="宋体" w:eastAsia="宋体" w:cs="宋体"/>
          <w:color w:val="000000"/>
          <w:szCs w:val="21"/>
        </w:rPr>
      </w:pPr>
      <w:r>
        <w:rPr>
          <w:rFonts w:hint="eastAsia" w:ascii="宋体" w:hAnsi="宋体" w:eastAsia="宋体" w:cs="宋体"/>
          <w:color w:val="000000"/>
          <w:szCs w:val="21"/>
        </w:rPr>
        <w:t>GB/T 5101-2017  烧结普通砖</w:t>
      </w:r>
    </w:p>
    <w:p>
      <w:pPr>
        <w:snapToGrid w:val="0"/>
        <w:spacing w:line="440" w:lineRule="exact"/>
        <w:ind w:firstLine="420" w:firstLineChars="200"/>
        <w:rPr>
          <w:rFonts w:ascii="宋体" w:hAnsi="宋体" w:eastAsia="宋体" w:cs="宋体"/>
          <w:color w:val="000000"/>
          <w:szCs w:val="21"/>
        </w:rPr>
      </w:pPr>
      <w:r>
        <w:rPr>
          <w:rFonts w:hint="eastAsia" w:ascii="宋体" w:hAnsi="宋体" w:eastAsia="宋体" w:cs="宋体"/>
          <w:color w:val="000000"/>
          <w:szCs w:val="21"/>
        </w:rPr>
        <w:t>GB/T 13544-2011  烧结多孔砖和多孔砌块</w:t>
      </w:r>
    </w:p>
    <w:p>
      <w:pPr>
        <w:snapToGrid w:val="0"/>
        <w:spacing w:line="440" w:lineRule="exact"/>
        <w:ind w:firstLine="420" w:firstLineChars="200"/>
        <w:rPr>
          <w:rFonts w:ascii="宋体" w:hAnsi="宋体" w:eastAsia="宋体" w:cs="宋体"/>
          <w:color w:val="000000"/>
          <w:szCs w:val="21"/>
        </w:rPr>
      </w:pPr>
      <w:r>
        <w:rPr>
          <w:rFonts w:hint="eastAsia" w:ascii="宋体" w:hAnsi="宋体" w:eastAsia="宋体" w:cs="宋体"/>
          <w:color w:val="000000"/>
          <w:szCs w:val="21"/>
        </w:rPr>
        <w:t>GB/T 13545-2014  烧结空心砖和空心砌块</w:t>
      </w:r>
    </w:p>
    <w:p>
      <w:pPr>
        <w:snapToGrid w:val="0"/>
        <w:spacing w:line="440" w:lineRule="exact"/>
        <w:ind w:firstLine="420" w:firstLineChars="200"/>
        <w:rPr>
          <w:rFonts w:ascii="宋体" w:hAnsi="宋体" w:eastAsia="宋体" w:cs="宋体"/>
          <w:color w:val="000000"/>
          <w:szCs w:val="21"/>
        </w:rPr>
      </w:pPr>
      <w:r>
        <w:rPr>
          <w:rFonts w:hint="eastAsia" w:ascii="宋体" w:hAnsi="宋体" w:eastAsia="宋体" w:cs="宋体"/>
          <w:color w:val="000000"/>
          <w:szCs w:val="21"/>
        </w:rPr>
        <w:t>GB/T 21144-2007  混凝土实心砖</w:t>
      </w:r>
    </w:p>
    <w:p>
      <w:pPr>
        <w:snapToGrid w:val="0"/>
        <w:spacing w:line="440" w:lineRule="exact"/>
        <w:ind w:firstLine="420" w:firstLineChars="200"/>
        <w:rPr>
          <w:rFonts w:ascii="宋体" w:hAnsi="宋体" w:eastAsia="宋体" w:cs="宋体"/>
          <w:color w:val="000000"/>
          <w:szCs w:val="21"/>
        </w:rPr>
      </w:pPr>
      <w:r>
        <w:rPr>
          <w:rFonts w:hint="eastAsia" w:ascii="宋体" w:hAnsi="宋体" w:eastAsia="宋体" w:cs="宋体"/>
          <w:color w:val="000000"/>
          <w:szCs w:val="21"/>
        </w:rPr>
        <w:t>GB/T 15229-2011  轻集料混凝土小型空心砌块</w:t>
      </w:r>
    </w:p>
    <w:p>
      <w:pPr>
        <w:snapToGrid w:val="0"/>
        <w:spacing w:line="440" w:lineRule="exact"/>
        <w:ind w:firstLine="420" w:firstLineChars="200"/>
        <w:rPr>
          <w:rFonts w:ascii="宋体" w:hAnsi="宋体" w:eastAsia="宋体" w:cs="宋体"/>
          <w:color w:val="000000"/>
          <w:szCs w:val="21"/>
        </w:rPr>
      </w:pPr>
      <w:r>
        <w:rPr>
          <w:rFonts w:hint="eastAsia" w:ascii="宋体" w:hAnsi="宋体" w:eastAsia="宋体" w:cs="宋体"/>
          <w:color w:val="000000"/>
          <w:szCs w:val="21"/>
        </w:rPr>
        <w:t>JC/T 2369-2016  建筑碎料小型空心砌块</w:t>
      </w:r>
    </w:p>
    <w:p>
      <w:pPr>
        <w:snapToGrid w:val="0"/>
        <w:spacing w:line="440" w:lineRule="exact"/>
        <w:ind w:firstLine="420" w:firstLineChars="200"/>
        <w:rPr>
          <w:rFonts w:ascii="宋体" w:hAnsi="宋体" w:eastAsia="宋体" w:cs="宋体"/>
          <w:color w:val="000000"/>
          <w:szCs w:val="21"/>
        </w:rPr>
      </w:pPr>
      <w:r>
        <w:rPr>
          <w:rFonts w:hint="eastAsia" w:ascii="宋体" w:hAnsi="宋体" w:eastAsia="宋体" w:cs="宋体"/>
          <w:color w:val="000000"/>
          <w:szCs w:val="21"/>
        </w:rPr>
        <w:t>JC/T 862-2008(2017)  粉煤灰混凝土小型空心砌块</w:t>
      </w:r>
    </w:p>
    <w:p>
      <w:pPr>
        <w:snapToGrid w:val="0"/>
        <w:spacing w:line="440" w:lineRule="exact"/>
        <w:ind w:firstLine="420" w:firstLineChars="200"/>
        <w:rPr>
          <w:rFonts w:ascii="宋体" w:hAnsi="宋体" w:eastAsia="宋体" w:cs="宋体"/>
          <w:color w:val="000000"/>
          <w:szCs w:val="21"/>
        </w:rPr>
      </w:pPr>
      <w:r>
        <w:rPr>
          <w:rFonts w:hint="eastAsia" w:ascii="宋体" w:hAnsi="宋体" w:eastAsia="宋体" w:cs="宋体"/>
          <w:color w:val="000000"/>
          <w:szCs w:val="21"/>
        </w:rPr>
        <w:t>GB/T 8239-2014  普通混凝土小型砌块</w:t>
      </w:r>
    </w:p>
    <w:p>
      <w:pPr>
        <w:snapToGrid w:val="0"/>
        <w:spacing w:line="440" w:lineRule="exact"/>
        <w:ind w:firstLine="420" w:firstLineChars="200"/>
        <w:rPr>
          <w:rFonts w:ascii="宋体" w:hAnsi="宋体" w:eastAsia="宋体" w:cs="宋体"/>
          <w:color w:val="000000"/>
          <w:szCs w:val="21"/>
        </w:rPr>
      </w:pPr>
      <w:r>
        <w:rPr>
          <w:rFonts w:hint="eastAsia" w:ascii="宋体" w:hAnsi="宋体" w:eastAsia="宋体" w:cs="宋体"/>
          <w:color w:val="000000"/>
          <w:szCs w:val="21"/>
        </w:rPr>
        <w:t>GB/T 29060-2012  复合保温砖和复合保温砌块</w:t>
      </w:r>
    </w:p>
    <w:p>
      <w:pPr>
        <w:snapToGrid w:val="0"/>
        <w:spacing w:line="440" w:lineRule="exact"/>
        <w:ind w:firstLine="420" w:firstLineChars="200"/>
        <w:rPr>
          <w:rFonts w:ascii="宋体" w:hAnsi="宋体" w:eastAsia="宋体" w:cs="宋体"/>
          <w:color w:val="000000"/>
          <w:szCs w:val="21"/>
        </w:rPr>
      </w:pPr>
      <w:r>
        <w:rPr>
          <w:rFonts w:hint="eastAsia" w:ascii="宋体" w:hAnsi="宋体" w:eastAsia="宋体" w:cs="宋体"/>
          <w:color w:val="000000"/>
          <w:szCs w:val="21"/>
        </w:rPr>
        <w:t>GB/T 25779-2010  承重混凝土多孔砖</w:t>
      </w:r>
    </w:p>
    <w:p>
      <w:pPr>
        <w:snapToGrid w:val="0"/>
        <w:spacing w:line="440" w:lineRule="exact"/>
        <w:ind w:firstLine="420" w:firstLineChars="200"/>
        <w:rPr>
          <w:rFonts w:ascii="宋体" w:hAnsi="宋体" w:eastAsia="宋体" w:cs="宋体"/>
          <w:color w:val="000000"/>
          <w:szCs w:val="21"/>
        </w:rPr>
      </w:pPr>
      <w:r>
        <w:rPr>
          <w:rFonts w:hint="eastAsia" w:ascii="宋体" w:hAnsi="宋体" w:eastAsia="宋体" w:cs="宋体"/>
          <w:color w:val="000000"/>
          <w:szCs w:val="21"/>
        </w:rPr>
        <w:t>JC/T 239-2014(2017)  蒸压粉煤灰砖</w:t>
      </w:r>
    </w:p>
    <w:p>
      <w:pPr>
        <w:snapToGrid w:val="0"/>
        <w:spacing w:line="440" w:lineRule="exact"/>
        <w:ind w:firstLine="420" w:firstLineChars="200"/>
        <w:rPr>
          <w:rFonts w:ascii="宋体" w:hAnsi="宋体" w:eastAsia="宋体" w:cs="宋体"/>
          <w:color w:val="000000"/>
          <w:szCs w:val="21"/>
        </w:rPr>
      </w:pPr>
      <w:r>
        <w:rPr>
          <w:rFonts w:hint="eastAsia" w:ascii="宋体" w:hAnsi="宋体" w:eastAsia="宋体" w:cs="宋体"/>
          <w:color w:val="000000"/>
          <w:szCs w:val="21"/>
        </w:rPr>
        <w:t>GB/T 26541-2011  蒸压粉煤灰多孔砖</w:t>
      </w:r>
    </w:p>
    <w:p>
      <w:pPr>
        <w:snapToGrid w:val="0"/>
        <w:spacing w:line="440" w:lineRule="exact"/>
        <w:ind w:firstLine="420" w:firstLineChars="200"/>
        <w:rPr>
          <w:rFonts w:ascii="宋体" w:hAnsi="宋体" w:eastAsia="宋体" w:cs="宋体"/>
          <w:color w:val="000000"/>
          <w:szCs w:val="21"/>
        </w:rPr>
      </w:pPr>
      <w:r>
        <w:rPr>
          <w:rFonts w:hint="eastAsia" w:ascii="宋体" w:hAnsi="宋体" w:eastAsia="宋体" w:cs="宋体"/>
          <w:color w:val="000000"/>
          <w:szCs w:val="21"/>
        </w:rPr>
        <w:t>GB/T 36535-2018 蒸压粉煤灰空心砖和空心砌块</w:t>
      </w:r>
    </w:p>
    <w:p>
      <w:pPr>
        <w:snapToGrid w:val="0"/>
        <w:spacing w:line="440" w:lineRule="exact"/>
        <w:ind w:firstLine="420" w:firstLineChars="200"/>
        <w:rPr>
          <w:rFonts w:ascii="宋体" w:hAnsi="宋体" w:eastAsia="宋体" w:cs="宋体"/>
          <w:color w:val="000000"/>
          <w:szCs w:val="21"/>
        </w:rPr>
      </w:pPr>
      <w:r>
        <w:rPr>
          <w:rFonts w:hint="eastAsia" w:ascii="宋体" w:hAnsi="宋体" w:eastAsia="宋体" w:cs="宋体"/>
          <w:color w:val="000000"/>
          <w:szCs w:val="21"/>
        </w:rPr>
        <w:t>NY/T 671-2003  混凝土普通砖和装饰砖</w:t>
      </w:r>
    </w:p>
    <w:p>
      <w:pPr>
        <w:snapToGrid w:val="0"/>
        <w:spacing w:line="440" w:lineRule="exact"/>
        <w:ind w:firstLine="420" w:firstLineChars="200"/>
        <w:rPr>
          <w:color w:val="000000"/>
          <w:szCs w:val="21"/>
        </w:rPr>
      </w:pPr>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color w:val="000000"/>
          <w:szCs w:val="21"/>
        </w:rPr>
        <w:t>经检验，检验项目全部合格，</w:t>
      </w:r>
      <w:r>
        <w:rPr>
          <w:rFonts w:hint="eastAsia"/>
          <w:color w:val="000000"/>
          <w:szCs w:val="21"/>
        </w:rPr>
        <w:t>判定为被抽查产品所检项目未发现不合格</w:t>
      </w:r>
      <w:r>
        <w:rPr>
          <w:color w:val="000000"/>
          <w:szCs w:val="21"/>
        </w:rPr>
        <w:t>；检验项目中任一项或一项以上不合格，判定为被抽查产品不合格。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snapToGrid w:val="0"/>
        <w:spacing w:line="440" w:lineRule="exact"/>
        <w:ind w:firstLine="420" w:firstLineChars="200"/>
        <w:rPr>
          <w:color w:val="000000"/>
          <w:szCs w:val="21"/>
        </w:rPr>
      </w:pPr>
    </w:p>
    <w:p>
      <w:pPr>
        <w:snapToGrid w:val="0"/>
        <w:spacing w:line="440" w:lineRule="exact"/>
        <w:rPr>
          <w:color w:val="000000"/>
          <w:szCs w:val="21"/>
        </w:rPr>
      </w:pPr>
      <w:r>
        <w:rPr>
          <w:rFonts w:hint="eastAsia" w:ascii="黑体" w:hAnsi="黑体" w:eastAsia="黑体" w:cs="黑体"/>
          <w:color w:val="000000"/>
          <w:szCs w:val="21"/>
        </w:rPr>
        <w:t>4 附则</w:t>
      </w:r>
    </w:p>
    <w:p>
      <w:pPr>
        <w:snapToGrid w:val="0"/>
        <w:spacing w:line="440" w:lineRule="exact"/>
        <w:ind w:firstLine="417" w:firstLineChars="199"/>
        <w:rPr>
          <w:rFonts w:ascii="Times New Roman" w:hAnsi="Times New Roman" w:eastAsia="方正小标宋简体" w:cs="方正仿宋简体"/>
          <w:color w:val="000000"/>
          <w:sz w:val="32"/>
          <w:szCs w:val="32"/>
        </w:rPr>
      </w:pPr>
      <w:r>
        <w:rPr>
          <w:rFonts w:hint="eastAsia"/>
          <w:color w:val="000000"/>
          <w:szCs w:val="21"/>
        </w:rPr>
        <w:t>本细则代替《贵州省市场监管局关于发布2022年版贵州省产品质量监督抽查实施细则（第一批）的公告》（黔市监公告〔2022〕46号）中的《贵州省砖和砌块产品质量监督抽查实施细则（</w:t>
      </w:r>
      <w:r>
        <w:rPr>
          <w:color w:val="000000"/>
          <w:szCs w:val="21"/>
        </w:rPr>
        <w:t>2022</w:t>
      </w:r>
      <w:r>
        <w:rPr>
          <w:rFonts w:hint="eastAsia"/>
          <w:color w:val="000000"/>
          <w:szCs w:val="21"/>
        </w:rPr>
        <w:t>年版）》。</w:t>
      </w:r>
      <w:bookmarkStart w:id="0" w:name="_GoBack"/>
      <w:bookmarkEnd w:id="0"/>
    </w:p>
    <w:sectPr>
      <w:pgSz w:w="11906" w:h="16838"/>
      <w:pgMar w:top="1984" w:right="1474" w:bottom="1644" w:left="147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jOGMxMjY3MmM5N2Y0MzdmZjRhZjU4OTM5NWUwOTcifQ=="/>
  </w:docVars>
  <w:rsids>
    <w:rsidRoot w:val="1D093E57"/>
    <w:rsid w:val="006336A6"/>
    <w:rsid w:val="00957D7B"/>
    <w:rsid w:val="067127BD"/>
    <w:rsid w:val="08CA5421"/>
    <w:rsid w:val="08FC4EA3"/>
    <w:rsid w:val="0E4E1F10"/>
    <w:rsid w:val="159954DF"/>
    <w:rsid w:val="1BF63B11"/>
    <w:rsid w:val="1D093E57"/>
    <w:rsid w:val="1D1B70AD"/>
    <w:rsid w:val="20175575"/>
    <w:rsid w:val="284A3268"/>
    <w:rsid w:val="2E5114AC"/>
    <w:rsid w:val="404272FF"/>
    <w:rsid w:val="42C9403E"/>
    <w:rsid w:val="45D61A23"/>
    <w:rsid w:val="490E078C"/>
    <w:rsid w:val="494B6DF0"/>
    <w:rsid w:val="55DA3130"/>
    <w:rsid w:val="570B229B"/>
    <w:rsid w:val="6012597B"/>
    <w:rsid w:val="60473CDC"/>
    <w:rsid w:val="62AE35D4"/>
    <w:rsid w:val="664211FB"/>
    <w:rsid w:val="6CEB4F1F"/>
    <w:rsid w:val="79500AE2"/>
    <w:rsid w:val="F5BBEC1C"/>
    <w:rsid w:val="FF1FBE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604</Words>
  <Characters>3449</Characters>
  <Lines>28</Lines>
  <Paragraphs>8</Paragraphs>
  <TotalTime>10</TotalTime>
  <ScaleCrop>false</ScaleCrop>
  <LinksUpToDate>false</LinksUpToDate>
  <CharactersWithSpaces>4045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2020-06-03T00:47:00Z</dcterms:created>
  <dc:creator>青鸟</dc:creator>
  <cp:lastModifiedBy>ysgz</cp:lastModifiedBy>
  <dcterms:modified xsi:type="dcterms:W3CDTF">2023-07-20T15:08:54Z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C08BE6660A0D4282A5C00153CE6D52F9_13</vt:lpwstr>
  </property>
  <property fmtid="{D5CDD505-2E9C-101B-9397-08002B2CF9AE}" pid="4" name="KSOSaveFontToCloudKey">
    <vt:lpwstr>425104523_cloud</vt:lpwstr>
  </property>
</Properties>
</file>