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hint="eastAsia" w:eastAsia="方正小标宋简体" w:cs="方正仿宋简体"/>
          <w:color w:val="000000"/>
          <w:sz w:val="32"/>
          <w:szCs w:val="32"/>
        </w:rPr>
        <w:t>陶瓷砖</w:t>
      </w:r>
      <w:r>
        <w:rPr>
          <w:rFonts w:hint="eastAsia" w:ascii="Times New Roman" w:hAnsi="Times New Roman" w:eastAsia="方正小标宋简体" w:cs="方正仿宋简体"/>
          <w:color w:val="000000"/>
          <w:sz w:val="32"/>
          <w:szCs w:val="32"/>
        </w:rPr>
        <w:t>产品质量监督抽查实施细则</w:t>
      </w:r>
    </w:p>
    <w:p>
      <w:pPr>
        <w:snapToGrid w:val="0"/>
        <w:spacing w:line="440" w:lineRule="exact"/>
        <w:jc w:val="center"/>
        <w:rPr>
          <w:rFonts w:hint="eastAsia" w:ascii="楷体_GB2312" w:hAnsi="楷体_GB2312" w:eastAsia="楷体_GB2312" w:cs="楷体_GB2312"/>
          <w:color w:val="000000"/>
          <w:szCs w:val="21"/>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3</w:t>
      </w:r>
      <w:r>
        <w:rPr>
          <w:rFonts w:hint="eastAsia" w:ascii="楷体_GB2312" w:hAnsi="楷体_GB2312" w:eastAsia="楷体_GB2312" w:cs="楷体_GB2312"/>
          <w:color w:val="000000"/>
          <w:sz w:val="32"/>
          <w:szCs w:val="32"/>
        </w:rPr>
        <w:t>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jc w:val="center"/>
        <w:rPr>
          <w:rFonts w:ascii="宋体" w:hAnsi="宋体"/>
          <w:color w:val="000000"/>
          <w:szCs w:val="21"/>
        </w:rPr>
      </w:pPr>
      <w:r>
        <w:rPr>
          <w:rFonts w:hint="eastAsia" w:ascii="宋体" w:hAnsi="宋体"/>
          <w:color w:val="000000"/>
          <w:szCs w:val="21"/>
        </w:rPr>
        <w:t>表1</w:t>
      </w:r>
      <w:r>
        <w:rPr>
          <w:rFonts w:ascii="宋体" w:hAnsi="宋体"/>
          <w:color w:val="000000"/>
          <w:szCs w:val="21"/>
        </w:rPr>
        <w:t xml:space="preserve"> </w:t>
      </w:r>
      <w:r>
        <w:rPr>
          <w:rFonts w:hint="eastAsia" w:ascii="宋体" w:hAnsi="宋体"/>
          <w:color w:val="000000"/>
          <w:szCs w:val="21"/>
        </w:rPr>
        <w:t>抽取样品数量</w:t>
      </w:r>
    </w:p>
    <w:tbl>
      <w:tblPr>
        <w:tblStyle w:val="4"/>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917"/>
        <w:gridCol w:w="2223"/>
        <w:gridCol w:w="2239"/>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t>序号</w:t>
            </w:r>
          </w:p>
        </w:tc>
        <w:tc>
          <w:tcPr>
            <w:tcW w:w="1917" w:type="dxa"/>
            <w:tcBorders>
              <w:top w:val="single" w:color="auto" w:sz="4" w:space="0"/>
              <w:left w:val="nil"/>
              <w:bottom w:val="single" w:color="auto" w:sz="4" w:space="0"/>
              <w:right w:val="single" w:color="auto" w:sz="4" w:space="0"/>
            </w:tcBorders>
            <w:vAlign w:val="center"/>
          </w:tcPr>
          <w:p>
            <w:pPr>
              <w:snapToGrid w:val="0"/>
              <w:jc w:val="center"/>
              <w:rPr>
                <w:color w:val="000000"/>
              </w:rPr>
            </w:pPr>
            <w:r>
              <w:t>产品种类</w:t>
            </w:r>
          </w:p>
        </w:tc>
        <w:tc>
          <w:tcPr>
            <w:tcW w:w="2223"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抽样数量（块）</w:t>
            </w:r>
          </w:p>
        </w:tc>
        <w:tc>
          <w:tcPr>
            <w:tcW w:w="2239"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检验样品数量（块）</w:t>
            </w:r>
          </w:p>
        </w:tc>
        <w:tc>
          <w:tcPr>
            <w:tcW w:w="1925"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pPr>
            <w:r>
              <w:t>1</w:t>
            </w:r>
          </w:p>
        </w:tc>
        <w:tc>
          <w:tcPr>
            <w:tcW w:w="1917"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长边长度＜600mm</w:t>
            </w:r>
          </w:p>
        </w:tc>
        <w:tc>
          <w:tcPr>
            <w:tcW w:w="2223"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lang w:val="en-US" w:eastAsia="zh-CN"/>
              </w:rPr>
              <w:t>不少于</w:t>
            </w:r>
            <w:r>
              <w:rPr>
                <w:rFonts w:hint="eastAsia" w:asciiTheme="minorEastAsia" w:hAnsiTheme="minorEastAsia" w:cstheme="minorEastAsia"/>
                <w:color w:val="000000"/>
                <w:szCs w:val="21"/>
              </w:rPr>
              <w:t>30</w:t>
            </w:r>
          </w:p>
        </w:tc>
        <w:tc>
          <w:tcPr>
            <w:tcW w:w="2239"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lang w:val="en-US" w:eastAsia="zh-CN"/>
              </w:rPr>
              <w:t>不少于</w:t>
            </w:r>
            <w:r>
              <w:rPr>
                <w:rFonts w:hint="eastAsia" w:asciiTheme="minorEastAsia" w:hAnsiTheme="minorEastAsia" w:cstheme="minorEastAsia"/>
                <w:color w:val="000000"/>
                <w:szCs w:val="21"/>
              </w:rPr>
              <w:t>20</w:t>
            </w:r>
          </w:p>
        </w:tc>
        <w:tc>
          <w:tcPr>
            <w:tcW w:w="192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lang w:val="en-US" w:eastAsia="zh-CN"/>
              </w:rPr>
              <w:t>不少于</w:t>
            </w:r>
            <w:r>
              <w:rPr>
                <w:rFonts w:hint="eastAsia" w:asciiTheme="minorEastAsia" w:hAnsiTheme="minorEastAsia" w:cstheme="minorEastAsia"/>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pPr>
            <w:r>
              <w:t>2</w:t>
            </w:r>
          </w:p>
        </w:tc>
        <w:tc>
          <w:tcPr>
            <w:tcW w:w="1917"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长边长度≥600mm</w:t>
            </w:r>
          </w:p>
        </w:tc>
        <w:tc>
          <w:tcPr>
            <w:tcW w:w="2223"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lang w:val="en-US" w:eastAsia="zh-CN"/>
              </w:rPr>
              <w:t>不少于</w:t>
            </w:r>
            <w:r>
              <w:rPr>
                <w:rFonts w:hint="eastAsia" w:asciiTheme="minorEastAsia" w:hAnsiTheme="minorEastAsia" w:cstheme="minorEastAsia"/>
                <w:color w:val="000000"/>
                <w:szCs w:val="21"/>
              </w:rPr>
              <w:t>22</w:t>
            </w:r>
          </w:p>
        </w:tc>
        <w:tc>
          <w:tcPr>
            <w:tcW w:w="2239"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lang w:val="en-US" w:eastAsia="zh-CN"/>
              </w:rPr>
              <w:t>不少于</w:t>
            </w:r>
            <w:r>
              <w:rPr>
                <w:rFonts w:hint="eastAsia" w:asciiTheme="minorEastAsia" w:hAnsiTheme="minorEastAsia" w:cstheme="minorEastAsia"/>
                <w:color w:val="000000"/>
                <w:szCs w:val="21"/>
              </w:rPr>
              <w:t>12</w:t>
            </w:r>
          </w:p>
        </w:tc>
        <w:tc>
          <w:tcPr>
            <w:tcW w:w="192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lang w:val="en-US" w:eastAsia="zh-CN"/>
              </w:rPr>
              <w:t>不少于</w:t>
            </w:r>
            <w:r>
              <w:rPr>
                <w:rFonts w:hint="eastAsia" w:asciiTheme="minorEastAsia" w:hAnsiTheme="minorEastAsia" w:cstheme="minorEastAsia"/>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68"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color w:val="000000"/>
              </w:rPr>
            </w:pPr>
            <w:r>
              <w:rPr>
                <w:rFonts w:hint="eastAsia"/>
                <w:color w:val="000000"/>
              </w:rPr>
              <w:t>注：抽样时，应整箱抽取，不拆原包装。抽取满足检验样品和备用样品数量的最小包数的样品</w:t>
            </w:r>
          </w:p>
        </w:tc>
      </w:tr>
    </w:tbl>
    <w:p>
      <w:pPr>
        <w:snapToGrid w:val="0"/>
        <w:spacing w:line="440" w:lineRule="exact"/>
        <w:ind w:firstLine="420" w:firstLineChars="200"/>
        <w:rPr>
          <w:rFonts w:ascii="宋体" w:hAnsi="宋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ind w:firstLine="420" w:firstLineChars="200"/>
        <w:jc w:val="center"/>
        <w:rPr>
          <w:rFonts w:ascii="宋体" w:hAnsi="宋体"/>
          <w:color w:val="000000"/>
          <w:szCs w:val="21"/>
        </w:rPr>
      </w:pPr>
      <w:r>
        <w:rPr>
          <w:rFonts w:hint="eastAsia" w:ascii="宋体" w:hAnsi="宋体"/>
          <w:color w:val="000000"/>
          <w:szCs w:val="21"/>
        </w:rPr>
        <w:t>表2</w:t>
      </w:r>
      <w:r>
        <w:rPr>
          <w:rFonts w:ascii="宋体" w:hAnsi="宋体"/>
          <w:color w:val="000000"/>
          <w:szCs w:val="21"/>
        </w:rPr>
        <w:t xml:space="preserve"> </w:t>
      </w:r>
      <w:r>
        <w:rPr>
          <w:rFonts w:hint="eastAsia" w:ascii="宋体" w:hAnsi="宋体"/>
          <w:color w:val="000000"/>
          <w:szCs w:val="21"/>
        </w:rPr>
        <w:t>陶瓷砖</w:t>
      </w:r>
    </w:p>
    <w:tbl>
      <w:tblPr>
        <w:tblStyle w:val="4"/>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055"/>
        <w:gridCol w:w="2056"/>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序号</w:t>
            </w:r>
          </w:p>
        </w:tc>
        <w:tc>
          <w:tcPr>
            <w:tcW w:w="4111" w:type="dxa"/>
            <w:gridSpan w:val="2"/>
            <w:tcBorders>
              <w:top w:val="single" w:color="auto" w:sz="4" w:space="0"/>
              <w:left w:val="nil"/>
              <w:bottom w:val="single" w:color="auto" w:sz="4" w:space="0"/>
              <w:right w:val="single" w:color="auto" w:sz="4" w:space="0"/>
            </w:tcBorders>
            <w:vAlign w:val="center"/>
          </w:tcPr>
          <w:p>
            <w:pPr>
              <w:snapToGrid w:val="0"/>
              <w:spacing w:line="440" w:lineRule="exact"/>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检验项目</w:t>
            </w:r>
          </w:p>
        </w:tc>
        <w:tc>
          <w:tcPr>
            <w:tcW w:w="4155"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vMerge w:val="restart"/>
            <w:tcBorders>
              <w:top w:val="single" w:color="auto" w:sz="4" w:space="0"/>
              <w:left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1</w:t>
            </w:r>
          </w:p>
        </w:tc>
        <w:tc>
          <w:tcPr>
            <w:tcW w:w="2055" w:type="dxa"/>
            <w:vMerge w:val="restart"/>
            <w:tcBorders>
              <w:top w:val="single" w:color="auto" w:sz="4" w:space="0"/>
              <w:left w:val="nil"/>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尺寸</w:t>
            </w:r>
          </w:p>
        </w:tc>
        <w:tc>
          <w:tcPr>
            <w:tcW w:w="2056" w:type="dxa"/>
            <w:tcBorders>
              <w:top w:val="single" w:color="auto" w:sz="4" w:space="0"/>
              <w:left w:val="nil"/>
              <w:bottom w:val="single" w:color="auto" w:sz="4" w:space="0"/>
              <w:right w:val="single" w:color="auto" w:sz="4" w:space="0"/>
            </w:tcBorders>
            <w:vAlign w:val="center"/>
          </w:tcPr>
          <w:p>
            <w:pPr>
              <w:snapToGrid w:val="0"/>
              <w:jc w:val="center"/>
              <w:rPr>
                <w:color w:val="000000"/>
                <w:sz w:val="21"/>
                <w:szCs w:val="21"/>
              </w:rPr>
            </w:pPr>
            <w:r>
              <w:rPr>
                <w:color w:val="000000"/>
                <w:szCs w:val="21"/>
              </w:rPr>
              <w:t>长度</w:t>
            </w:r>
          </w:p>
        </w:tc>
        <w:tc>
          <w:tcPr>
            <w:tcW w:w="4155" w:type="dxa"/>
            <w:vMerge w:val="restart"/>
            <w:tcBorders>
              <w:top w:val="single" w:color="auto" w:sz="4" w:space="0"/>
              <w:left w:val="nil"/>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vMerge w:val="continue"/>
            <w:tcBorders>
              <w:left w:val="single" w:color="auto" w:sz="4" w:space="0"/>
              <w:right w:val="single" w:color="auto" w:sz="4" w:space="0"/>
            </w:tcBorders>
            <w:vAlign w:val="center"/>
          </w:tcPr>
          <w:p>
            <w:pPr>
              <w:snapToGrid w:val="0"/>
              <w:jc w:val="center"/>
              <w:rPr>
                <w:rFonts w:hint="eastAsia" w:asciiTheme="minorEastAsia" w:hAnsiTheme="minorEastAsia" w:cstheme="minorEastAsia"/>
                <w:color w:val="000000"/>
                <w:szCs w:val="21"/>
              </w:rPr>
            </w:pPr>
          </w:p>
        </w:tc>
        <w:tc>
          <w:tcPr>
            <w:tcW w:w="2055" w:type="dxa"/>
            <w:vMerge w:val="continue"/>
            <w:tcBorders>
              <w:left w:val="nil"/>
              <w:right w:val="single" w:color="auto" w:sz="4" w:space="0"/>
            </w:tcBorders>
            <w:vAlign w:val="center"/>
          </w:tcPr>
          <w:p>
            <w:pPr>
              <w:pStyle w:val="6"/>
              <w:spacing w:after="0" w:line="240" w:lineRule="auto"/>
              <w:ind w:firstLine="0"/>
              <w:jc w:val="center"/>
              <w:rPr>
                <w:color w:val="000000"/>
                <w:sz w:val="21"/>
                <w:szCs w:val="21"/>
              </w:rPr>
            </w:pPr>
          </w:p>
        </w:tc>
        <w:tc>
          <w:tcPr>
            <w:tcW w:w="2056" w:type="dxa"/>
            <w:tcBorders>
              <w:top w:val="single" w:color="auto" w:sz="4" w:space="0"/>
              <w:left w:val="nil"/>
              <w:bottom w:val="single" w:color="auto" w:sz="4" w:space="0"/>
              <w:right w:val="single" w:color="auto" w:sz="4" w:space="0"/>
            </w:tcBorders>
            <w:vAlign w:val="center"/>
          </w:tcPr>
          <w:p>
            <w:pPr>
              <w:snapToGrid w:val="0"/>
              <w:jc w:val="center"/>
              <w:rPr>
                <w:color w:val="000000"/>
                <w:sz w:val="21"/>
                <w:szCs w:val="21"/>
              </w:rPr>
            </w:pPr>
            <w:r>
              <w:rPr>
                <w:color w:val="000000"/>
                <w:szCs w:val="21"/>
              </w:rPr>
              <w:t>宽度</w:t>
            </w:r>
          </w:p>
        </w:tc>
        <w:tc>
          <w:tcPr>
            <w:tcW w:w="4155" w:type="dxa"/>
            <w:vMerge w:val="continue"/>
            <w:tcBorders>
              <w:left w:val="nil"/>
              <w:right w:val="single" w:color="auto" w:sz="4" w:space="0"/>
            </w:tcBorders>
            <w:vAlign w:val="center"/>
          </w:tcPr>
          <w:p>
            <w:pPr>
              <w:snapToGrid w:val="0"/>
              <w:jc w:val="center"/>
              <w:rPr>
                <w:rFonts w:hint="eastAsia" w:asciiTheme="minorEastAsia" w:hAnsi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vMerge w:val="continue"/>
            <w:tcBorders>
              <w:left w:val="single" w:color="auto" w:sz="4" w:space="0"/>
              <w:bottom w:val="single" w:color="auto" w:sz="4" w:space="0"/>
              <w:right w:val="single" w:color="auto" w:sz="4" w:space="0"/>
            </w:tcBorders>
            <w:vAlign w:val="center"/>
          </w:tcPr>
          <w:p>
            <w:pPr>
              <w:snapToGrid w:val="0"/>
              <w:jc w:val="center"/>
              <w:rPr>
                <w:rFonts w:hint="eastAsia" w:asciiTheme="minorEastAsia" w:hAnsiTheme="minorEastAsia" w:cstheme="minorEastAsia"/>
                <w:color w:val="000000"/>
                <w:szCs w:val="21"/>
              </w:rPr>
            </w:pPr>
          </w:p>
        </w:tc>
        <w:tc>
          <w:tcPr>
            <w:tcW w:w="2055" w:type="dxa"/>
            <w:vMerge w:val="continue"/>
            <w:tcBorders>
              <w:left w:val="nil"/>
              <w:bottom w:val="single" w:color="auto" w:sz="4" w:space="0"/>
              <w:right w:val="single" w:color="auto" w:sz="4" w:space="0"/>
            </w:tcBorders>
            <w:vAlign w:val="center"/>
          </w:tcPr>
          <w:p>
            <w:pPr>
              <w:pStyle w:val="6"/>
              <w:spacing w:after="0" w:line="240" w:lineRule="auto"/>
              <w:ind w:firstLine="0"/>
              <w:jc w:val="center"/>
              <w:rPr>
                <w:color w:val="000000"/>
                <w:sz w:val="21"/>
                <w:szCs w:val="21"/>
              </w:rPr>
            </w:pPr>
          </w:p>
        </w:tc>
        <w:tc>
          <w:tcPr>
            <w:tcW w:w="2056" w:type="dxa"/>
            <w:tcBorders>
              <w:top w:val="single" w:color="auto" w:sz="4" w:space="0"/>
              <w:left w:val="nil"/>
              <w:bottom w:val="single" w:color="auto" w:sz="4" w:space="0"/>
              <w:right w:val="single" w:color="auto" w:sz="4" w:space="0"/>
            </w:tcBorders>
            <w:vAlign w:val="center"/>
          </w:tcPr>
          <w:p>
            <w:pPr>
              <w:snapToGrid w:val="0"/>
              <w:jc w:val="center"/>
              <w:rPr>
                <w:color w:val="000000"/>
                <w:sz w:val="21"/>
                <w:szCs w:val="21"/>
              </w:rPr>
            </w:pPr>
            <w:r>
              <w:rPr>
                <w:color w:val="000000"/>
                <w:szCs w:val="21"/>
              </w:rPr>
              <w:t>厚度</w:t>
            </w:r>
          </w:p>
        </w:tc>
        <w:tc>
          <w:tcPr>
            <w:tcW w:w="4155" w:type="dxa"/>
            <w:vMerge w:val="continue"/>
            <w:tcBorders>
              <w:left w:val="nil"/>
              <w:bottom w:val="single" w:color="auto" w:sz="4" w:space="0"/>
              <w:right w:val="single" w:color="auto" w:sz="4" w:space="0"/>
            </w:tcBorders>
            <w:vAlign w:val="center"/>
          </w:tcPr>
          <w:p>
            <w:pPr>
              <w:snapToGrid w:val="0"/>
              <w:jc w:val="center"/>
              <w:rPr>
                <w:rFonts w:hint="eastAsia" w:asciiTheme="minorEastAsia" w:hAnsi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2</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吸水率</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3</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断裂模数</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4</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破坏强度</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5</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无釉砖耐磨性</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6</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抗釉裂性</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7</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抗化学腐蚀性</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3810.13-2016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8</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耐污染性</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3810.14-2016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9</w:t>
            </w:r>
          </w:p>
        </w:tc>
        <w:tc>
          <w:tcPr>
            <w:tcW w:w="4111" w:type="dxa"/>
            <w:gridSpan w:val="2"/>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放射性核素</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 6566-2010</w:t>
            </w:r>
          </w:p>
        </w:tc>
      </w:tr>
    </w:tbl>
    <w:p>
      <w:pPr>
        <w:adjustRightInd w:val="0"/>
        <w:snapToGrid w:val="0"/>
        <w:spacing w:line="440" w:lineRule="exact"/>
        <w:ind w:firstLine="420" w:firstLineChars="200"/>
        <w:rPr>
          <w:rFonts w:ascii="宋体" w:hAnsi="宋体"/>
          <w:color w:val="000000"/>
          <w:szCs w:val="21"/>
        </w:rPr>
      </w:pPr>
      <w:r>
        <w:rPr>
          <w:rFonts w:hint="eastAsia" w:ascii="宋体" w:hAnsi="宋体"/>
          <w:color w:val="000000"/>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440" w:lineRule="exact"/>
        <w:rPr>
          <w:rFonts w:eastAsia="黑体"/>
          <w:color w:val="000000"/>
          <w:szCs w:val="21"/>
        </w:rPr>
      </w:pPr>
    </w:p>
    <w:p>
      <w:pPr>
        <w:spacing w:line="440" w:lineRule="exact"/>
        <w:rPr>
          <w:rFonts w:eastAsia="黑体"/>
          <w:color w:val="000000"/>
          <w:szCs w:val="21"/>
        </w:rPr>
      </w:pPr>
      <w:r>
        <w:rPr>
          <w:rFonts w:eastAsia="黑体"/>
          <w:color w:val="000000"/>
          <w:szCs w:val="21"/>
        </w:rPr>
        <w:t>3 判定规则</w:t>
      </w:r>
    </w:p>
    <w:p>
      <w:pPr>
        <w:snapToGrid w:val="0"/>
        <w:spacing w:line="440" w:lineRule="exact"/>
        <w:rPr>
          <w:rFonts w:asciiTheme="minorEastAsia" w:hAnsiTheme="minorEastAsia" w:cstheme="minorEastAsia"/>
          <w:color w:val="000000"/>
          <w:szCs w:val="21"/>
        </w:rPr>
      </w:pPr>
      <w:r>
        <w:rPr>
          <w:rFonts w:hint="eastAsia" w:asciiTheme="minorEastAsia" w:hAnsiTheme="minorEastAsia" w:cstheme="minorEastAsia"/>
          <w:color w:val="000000"/>
          <w:szCs w:val="21"/>
        </w:rPr>
        <w:t>3.1依据标准</w:t>
      </w:r>
    </w:p>
    <w:p>
      <w:pPr>
        <w:snapToGrid w:val="0"/>
        <w:spacing w:line="440" w:lineRule="exact"/>
        <w:ind w:firstLine="420" w:firstLineChars="200"/>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GB/T 4100-2015 陶瓷砖</w:t>
      </w:r>
    </w:p>
    <w:p>
      <w:pPr>
        <w:snapToGrid w:val="0"/>
        <w:spacing w:line="440" w:lineRule="exact"/>
        <w:ind w:firstLine="420" w:firstLineChars="200"/>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GB 6566-2010 建筑材料放射性核素限量</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pacing w:line="440" w:lineRule="exact"/>
        <w:ind w:firstLine="420"/>
        <w:jc w:val="center"/>
        <w:rPr>
          <w:color w:val="000000"/>
          <w:szCs w:val="21"/>
        </w:rPr>
      </w:pPr>
      <w:r>
        <w:rPr>
          <w:color w:val="000000"/>
          <w:szCs w:val="21"/>
        </w:rPr>
        <w:t>若被检产品明示的质量要求缺少本细则中检验项目依据的推荐性标准要求时，该项目不参与判</w:t>
      </w:r>
    </w:p>
    <w:p>
      <w:pPr>
        <w:spacing w:line="440" w:lineRule="exact"/>
        <w:rPr>
          <w:color w:val="000000"/>
          <w:szCs w:val="21"/>
        </w:rPr>
      </w:pPr>
      <w:r>
        <w:rPr>
          <w:color w:val="000000"/>
          <w:szCs w:val="21"/>
        </w:rPr>
        <w:t>定。</w:t>
      </w:r>
    </w:p>
    <w:p>
      <w:pPr>
        <w:snapToGrid w:val="0"/>
        <w:spacing w:line="440" w:lineRule="exact"/>
        <w:rPr>
          <w:rFonts w:ascii="黑体" w:hAnsi="黑体" w:eastAsia="黑体" w:cs="黑体"/>
          <w:color w:val="000000"/>
          <w:szCs w:val="21"/>
        </w:rPr>
      </w:pPr>
    </w:p>
    <w:p>
      <w:pPr>
        <w:snapToGrid w:val="0"/>
        <w:spacing w:line="440" w:lineRule="exact"/>
        <w:rPr>
          <w:color w:val="000000"/>
          <w:szCs w:val="21"/>
        </w:rPr>
      </w:pPr>
      <w:r>
        <w:rPr>
          <w:rFonts w:hint="eastAsia" w:ascii="黑体" w:hAnsi="黑体" w:eastAsia="黑体" w:cs="黑体"/>
          <w:color w:val="000000"/>
          <w:szCs w:val="21"/>
        </w:rPr>
        <w:t>4 附则</w:t>
      </w:r>
    </w:p>
    <w:p>
      <w:pPr>
        <w:spacing w:line="440" w:lineRule="exact"/>
        <w:ind w:firstLine="420" w:firstLineChars="200"/>
        <w:rPr>
          <w:color w:val="000000"/>
          <w:szCs w:val="21"/>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二</w:t>
      </w:r>
      <w:r>
        <w:rPr>
          <w:rFonts w:hint="eastAsia"/>
          <w:color w:val="000000"/>
          <w:szCs w:val="21"/>
        </w:rPr>
        <w:t>批）的公告》中的《贵州省陶瓷砖产品质量监督抽查实施细则（202</w:t>
      </w:r>
      <w:bookmarkStart w:id="0" w:name="_GoBack"/>
      <w:bookmarkEnd w:id="0"/>
      <w:r>
        <w:rPr>
          <w:rFonts w:hint="eastAsia"/>
          <w:color w:val="000000"/>
          <w:szCs w:val="21"/>
          <w:lang w:val="en-US" w:eastAsia="zh-CN"/>
        </w:rPr>
        <w:t>2</w:t>
      </w:r>
      <w:r>
        <w:rPr>
          <w:rFonts w:hint="eastAsia"/>
          <w:color w:val="000000"/>
          <w:szCs w:val="21"/>
        </w:rPr>
        <w:t>年版）》。</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OGMxMjY3MmM5N2Y0MzdmZjRhZjU4OTM5NWUwOTcifQ=="/>
  </w:docVars>
  <w:rsids>
    <w:rsidRoot w:val="05C53CF2"/>
    <w:rsid w:val="00764F62"/>
    <w:rsid w:val="0082084D"/>
    <w:rsid w:val="00890AD4"/>
    <w:rsid w:val="00AD6E6C"/>
    <w:rsid w:val="00CE1FF2"/>
    <w:rsid w:val="05C53CF2"/>
    <w:rsid w:val="16947646"/>
    <w:rsid w:val="1E003FD6"/>
    <w:rsid w:val="2407094F"/>
    <w:rsid w:val="28B45259"/>
    <w:rsid w:val="46266BF1"/>
    <w:rsid w:val="527F3939"/>
    <w:rsid w:val="78FFEE2B"/>
    <w:rsid w:val="7BABC0B4"/>
    <w:rsid w:val="7C2B1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Other|1"/>
    <w:basedOn w:val="1"/>
    <w:qFormat/>
    <w:uiPriority w:val="0"/>
    <w:pPr>
      <w:spacing w:after="30" w:line="353" w:lineRule="auto"/>
      <w:ind w:firstLine="400"/>
    </w:pPr>
    <w:rPr>
      <w:rFonts w:ascii="宋体" w:hAnsi="宋体" w:eastAsia="宋体" w:cs="宋体"/>
      <w:sz w:val="19"/>
      <w:szCs w:val="19"/>
      <w:lang w:val="zh-TW" w:eastAsia="zh-TW" w:bidi="zh-TW"/>
    </w:r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880</Words>
  <Characters>1042</Characters>
  <Lines>8</Lines>
  <Paragraphs>2</Paragraphs>
  <TotalTime>4</TotalTime>
  <ScaleCrop>false</ScaleCrop>
  <LinksUpToDate>false</LinksUpToDate>
  <CharactersWithSpaces>1059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2020-06-03T08:18:00Z</dcterms:created>
  <dc:creator>青鸟</dc:creator>
  <cp:lastModifiedBy>ysgz</cp:lastModifiedBy>
  <dcterms:modified xsi:type="dcterms:W3CDTF">2023-07-20T16:35:26Z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40DE1159DD094852998E88EDB3222E8D_13</vt:lpwstr>
  </property>
</Properties>
</file>