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eastAsia="方正小标宋_GBK" w:cs="方正仿宋简体"/>
          <w:color w:val="000000"/>
          <w:sz w:val="32"/>
          <w:szCs w:val="32"/>
        </w:rPr>
      </w:pPr>
    </w:p>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贵州省油漆、涂料产品质量监督抽查实施细则</w:t>
      </w:r>
    </w:p>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楷体_GB2312" w:hAnsi="楷体_GB2312" w:eastAsia="楷体_GB2312" w:cs="楷体_GB2312"/>
          <w:color w:val="000000"/>
          <w:sz w:val="32"/>
          <w:szCs w:val="32"/>
        </w:rPr>
        <w:t>（2023年版）</w:t>
      </w:r>
    </w:p>
    <w:p>
      <w:pPr>
        <w:snapToGrid w:val="0"/>
        <w:spacing w:line="440" w:lineRule="exact"/>
        <w:rPr>
          <w:rFonts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以随机抽样的方式在被抽样生产者、销售者的待销产品中抽取。</w:t>
      </w:r>
    </w:p>
    <w:p>
      <w:pPr>
        <w:pStyle w:val="2"/>
        <w:snapToGrid w:val="0"/>
        <w:spacing w:line="440" w:lineRule="exact"/>
        <w:ind w:firstLine="420"/>
        <w:rPr>
          <w:rFonts w:hint="default" w:ascii="Times New Roman" w:hAnsi="Times New Roman" w:cs="Times New Roman"/>
          <w:sz w:val="21"/>
          <w:szCs w:val="21"/>
        </w:rPr>
      </w:pPr>
      <w:r>
        <w:rPr>
          <w:sz w:val="21"/>
          <w:szCs w:val="21"/>
        </w:rPr>
        <w:t>随</w:t>
      </w:r>
      <w:r>
        <w:rPr>
          <w:rFonts w:hint="default" w:ascii="Times New Roman" w:hAnsi="Times New Roman" w:cs="Times New Roman"/>
          <w:sz w:val="21"/>
          <w:szCs w:val="21"/>
        </w:rPr>
        <w:t>机数一般可使用随机数表等方法产生。</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所抽的2份样品，一份为检验用样品，一份为备用样品。</w:t>
      </w:r>
    </w:p>
    <w:p>
      <w:pPr>
        <w:adjustRightInd w:val="0"/>
        <w:snapToGrid w:val="0"/>
        <w:spacing w:line="440" w:lineRule="exact"/>
        <w:ind w:firstLine="420"/>
        <w:rPr>
          <w:rFonts w:hint="default" w:ascii="Times New Roman" w:hAnsi="Times New Roman" w:cs="Times New Roman"/>
        </w:rPr>
      </w:pPr>
      <w:r>
        <w:rPr>
          <w:rFonts w:hint="default" w:ascii="Times New Roman" w:hAnsi="Times New Roman" w:cs="Times New Roman"/>
          <w:szCs w:val="21"/>
        </w:rPr>
        <w:t>如需配套底漆，</w:t>
      </w:r>
      <w:r>
        <w:rPr>
          <w:rFonts w:hint="default" w:ascii="Times New Roman" w:hAnsi="Times New Roman" w:cs="Times New Roman"/>
        </w:rPr>
        <w:t>抽取底漆2份，每份不少于0.5kg，一份为检验样品，一份为备用样品。</w:t>
      </w:r>
    </w:p>
    <w:p>
      <w:pPr>
        <w:pStyle w:val="2"/>
        <w:snapToGrid w:val="0"/>
        <w:spacing w:line="440" w:lineRule="exact"/>
        <w:ind w:firstLine="420"/>
        <w:rPr>
          <w:rFonts w:hint="default" w:ascii="Times New Roman" w:hAnsi="Times New Roman" w:cs="Times New Roman"/>
          <w:sz w:val="21"/>
          <w:szCs w:val="21"/>
        </w:rPr>
      </w:pPr>
    </w:p>
    <w:p>
      <w:pPr>
        <w:pStyle w:val="2"/>
        <w:snapToGrid w:val="0"/>
        <w:spacing w:line="440" w:lineRule="exact"/>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表1抽样数量表</w:t>
      </w:r>
    </w:p>
    <w:tbl>
      <w:tblPr>
        <w:tblStyle w:val="8"/>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219"/>
        <w:gridCol w:w="43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1" w:hRule="atLeast"/>
        </w:trPr>
        <w:tc>
          <w:tcPr>
            <w:tcW w:w="4219" w:type="dxa"/>
            <w:vAlign w:val="center"/>
          </w:tcPr>
          <w:p>
            <w:pPr>
              <w:jc w:val="center"/>
              <w:rPr>
                <w:rFonts w:hint="default" w:ascii="Times New Roman" w:hAnsi="Times New Roman" w:cs="Times New Roman"/>
              </w:rPr>
            </w:pPr>
            <w:r>
              <w:rPr>
                <w:rFonts w:hint="default" w:ascii="Times New Roman" w:hAnsi="Times New Roman" w:cs="Times New Roman"/>
              </w:rPr>
              <w:t>产品种类</w:t>
            </w:r>
          </w:p>
        </w:tc>
        <w:tc>
          <w:tcPr>
            <w:tcW w:w="4394" w:type="dxa"/>
            <w:vAlign w:val="center"/>
          </w:tcPr>
          <w:p>
            <w:pPr>
              <w:jc w:val="center"/>
              <w:rPr>
                <w:rFonts w:hint="default" w:ascii="Times New Roman" w:hAnsi="Times New Roman" w:cs="Times New Roman"/>
              </w:rPr>
            </w:pPr>
            <w:r>
              <w:rPr>
                <w:rFonts w:hint="default" w:ascii="Times New Roman" w:hAnsi="Times New Roman" w:cs="Times New Roman"/>
              </w:rPr>
              <w:t>抽样数量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22" w:hRule="atLeast"/>
        </w:trPr>
        <w:tc>
          <w:tcPr>
            <w:tcW w:w="4219" w:type="dxa"/>
            <w:vAlign w:val="center"/>
          </w:tcPr>
          <w:p>
            <w:pPr>
              <w:jc w:val="center"/>
              <w:rPr>
                <w:rFonts w:hint="default" w:ascii="Times New Roman" w:hAnsi="Times New Roman" w:cs="Times New Roman"/>
              </w:rPr>
            </w:pPr>
            <w:r>
              <w:rPr>
                <w:rFonts w:hint="default" w:ascii="Times New Roman" w:hAnsi="Times New Roman" w:cs="Times New Roman"/>
              </w:rPr>
              <w:t>油漆涂料（双组份）</w:t>
            </w:r>
          </w:p>
        </w:tc>
        <w:tc>
          <w:tcPr>
            <w:tcW w:w="4394" w:type="dxa"/>
            <w:vAlign w:val="center"/>
          </w:tcPr>
          <w:p>
            <w:pPr>
              <w:rPr>
                <w:rFonts w:hint="default" w:ascii="Times New Roman" w:hAnsi="Times New Roman" w:cs="Times New Roman"/>
              </w:rPr>
            </w:pPr>
            <w:r>
              <w:rPr>
                <w:rFonts w:hint="default" w:ascii="Times New Roman" w:hAnsi="Times New Roman" w:cs="Times New Roman"/>
              </w:rPr>
              <w:t>主剂：2kg/份</w:t>
            </w:r>
          </w:p>
          <w:p>
            <w:pPr>
              <w:rPr>
                <w:rFonts w:hint="default" w:ascii="Times New Roman" w:hAnsi="Times New Roman" w:cs="Times New Roman"/>
              </w:rPr>
            </w:pPr>
            <w:r>
              <w:rPr>
                <w:rFonts w:hint="default" w:ascii="Times New Roman" w:hAnsi="Times New Roman" w:cs="Times New Roman"/>
              </w:rPr>
              <w:t>固化剂：按比例抽取适量样品</w:t>
            </w:r>
          </w:p>
          <w:p>
            <w:pPr>
              <w:rPr>
                <w:rFonts w:hint="default" w:ascii="Times New Roman" w:hAnsi="Times New Roman" w:cs="Times New Roman"/>
              </w:rPr>
            </w:pPr>
            <w:r>
              <w:rPr>
                <w:rFonts w:hint="default" w:ascii="Times New Roman" w:hAnsi="Times New Roman" w:cs="Times New Roman"/>
              </w:rPr>
              <w:t>稀释剂：按比例抽取适量样品（需要时）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219" w:type="dxa"/>
            <w:vAlign w:val="center"/>
          </w:tcPr>
          <w:p>
            <w:pPr>
              <w:jc w:val="center"/>
              <w:rPr>
                <w:rFonts w:hint="default" w:ascii="Times New Roman" w:hAnsi="Times New Roman" w:cs="Times New Roman"/>
              </w:rPr>
            </w:pPr>
            <w:r>
              <w:rPr>
                <w:rFonts w:hint="default" w:ascii="Times New Roman" w:hAnsi="Times New Roman" w:cs="Times New Roman"/>
              </w:rPr>
              <w:t>油漆涂料（单组分）</w:t>
            </w:r>
          </w:p>
        </w:tc>
        <w:tc>
          <w:tcPr>
            <w:tcW w:w="4394" w:type="dxa"/>
          </w:tcPr>
          <w:p>
            <w:pPr>
              <w:rPr>
                <w:rFonts w:hint="default" w:ascii="Times New Roman" w:hAnsi="Times New Roman" w:cs="Times New Roman"/>
              </w:rPr>
            </w:pPr>
            <w:r>
              <w:rPr>
                <w:rFonts w:hint="default" w:ascii="Times New Roman" w:hAnsi="Times New Roman" w:cs="Times New Roman"/>
              </w:rPr>
              <w:t>主剂：2kg/份</w:t>
            </w:r>
          </w:p>
          <w:p>
            <w:pPr>
              <w:rPr>
                <w:rFonts w:hint="default" w:ascii="Times New Roman" w:hAnsi="Times New Roman" w:cs="Times New Roman"/>
              </w:rPr>
            </w:pPr>
            <w:r>
              <w:rPr>
                <w:rFonts w:hint="default" w:ascii="Times New Roman" w:hAnsi="Times New Roman" w:cs="Times New Roman"/>
              </w:rPr>
              <w:t>稀释剂：按比例抽取适量样品（需要时）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4" w:hRule="atLeast"/>
        </w:trPr>
        <w:tc>
          <w:tcPr>
            <w:tcW w:w="4219" w:type="dxa"/>
            <w:vAlign w:val="center"/>
          </w:tcPr>
          <w:p>
            <w:pPr>
              <w:jc w:val="center"/>
              <w:rPr>
                <w:rFonts w:hint="default" w:ascii="Times New Roman" w:hAnsi="Times New Roman" w:cs="Times New Roman"/>
              </w:rPr>
            </w:pPr>
            <w:r>
              <w:rPr>
                <w:rFonts w:hint="default" w:ascii="Times New Roman" w:hAnsi="Times New Roman" w:cs="Times New Roman"/>
              </w:rPr>
              <w:t>稀释剂</w:t>
            </w:r>
          </w:p>
        </w:tc>
        <w:tc>
          <w:tcPr>
            <w:tcW w:w="4394" w:type="dxa"/>
            <w:vAlign w:val="center"/>
          </w:tcPr>
          <w:p>
            <w:pPr>
              <w:rPr>
                <w:rFonts w:hint="default" w:ascii="Times New Roman" w:hAnsi="Times New Roman" w:cs="Times New Roman"/>
              </w:rPr>
            </w:pPr>
            <w:r>
              <w:rPr>
                <w:rFonts w:hint="default" w:ascii="Times New Roman" w:hAnsi="Times New Roman" w:cs="Times New Roman"/>
                <w:szCs w:val="21"/>
              </w:rPr>
              <w:t>不少于500ml/份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6" w:hRule="atLeast"/>
        </w:trPr>
        <w:tc>
          <w:tcPr>
            <w:tcW w:w="4219" w:type="dxa"/>
            <w:vAlign w:val="center"/>
          </w:tcPr>
          <w:p>
            <w:pPr>
              <w:jc w:val="center"/>
              <w:rPr>
                <w:rFonts w:hint="default" w:ascii="Times New Roman" w:hAnsi="Times New Roman" w:cs="Times New Roman"/>
              </w:rPr>
            </w:pPr>
            <w:r>
              <w:rPr>
                <w:rFonts w:hint="default" w:ascii="Times New Roman" w:hAnsi="Times New Roman" w:cs="Times New Roman"/>
              </w:rPr>
              <w:t>建筑涂料</w:t>
            </w:r>
          </w:p>
        </w:tc>
        <w:tc>
          <w:tcPr>
            <w:tcW w:w="4394" w:type="dxa"/>
            <w:vAlign w:val="center"/>
          </w:tcPr>
          <w:p>
            <w:pPr>
              <w:rPr>
                <w:rFonts w:hint="default" w:ascii="Times New Roman" w:hAnsi="Times New Roman" w:cs="Times New Roman"/>
              </w:rPr>
            </w:pPr>
            <w:r>
              <w:rPr>
                <w:rFonts w:hint="default" w:ascii="Times New Roman" w:hAnsi="Times New Roman" w:cs="Times New Roman"/>
                <w:szCs w:val="21"/>
              </w:rPr>
              <w:t>3kg/份</w:t>
            </w:r>
          </w:p>
        </w:tc>
      </w:tr>
    </w:tbl>
    <w:p>
      <w:pPr>
        <w:snapToGrid w:val="0"/>
        <w:spacing w:line="440" w:lineRule="exact"/>
        <w:rPr>
          <w:rFonts w:hint="default" w:ascii="Times New Roman" w:hAnsi="Times New Roman" w:eastAsia="黑体" w:cs="Times New Roman"/>
          <w:color w:val="000000"/>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pStyle w:val="2"/>
        <w:snapToGrid w:val="0"/>
        <w:spacing w:line="440" w:lineRule="exact"/>
        <w:ind w:firstLine="420"/>
        <w:rPr>
          <w:rFonts w:hint="default" w:ascii="Times New Roman" w:hAnsi="Times New Roman" w:cs="Times New Roman"/>
          <w:sz w:val="21"/>
          <w:szCs w:val="21"/>
        </w:rPr>
      </w:pPr>
      <w:bookmarkStart w:id="0" w:name="OLE_LINK2"/>
      <w:r>
        <w:rPr>
          <w:rFonts w:hint="default" w:ascii="Times New Roman" w:hAnsi="Times New Roman" w:cs="Times New Roman"/>
          <w:sz w:val="21"/>
          <w:szCs w:val="21"/>
        </w:rPr>
        <w:t>2.1  醇酸树脂涂料（GB/T 25251）</w:t>
      </w:r>
    </w:p>
    <w:bookmarkEnd w:id="0"/>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表2醇酸树脂涂料</w:t>
      </w:r>
    </w:p>
    <w:tbl>
      <w:tblPr>
        <w:tblStyle w:val="8"/>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9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7" w:hRule="atLeast"/>
        </w:trPr>
        <w:tc>
          <w:tcPr>
            <w:tcW w:w="959" w:type="dxa"/>
            <w:vAlign w:val="center"/>
          </w:tcPr>
          <w:p>
            <w:pPr>
              <w:jc w:val="center"/>
              <w:rPr>
                <w:rFonts w:hint="default" w:ascii="Times New Roman" w:hAnsi="Times New Roman" w:cs="Times New Roman"/>
              </w:rPr>
            </w:pPr>
            <w:r>
              <w:rPr>
                <w:rFonts w:hint="default" w:ascii="Times New Roman" w:hAnsi="Times New Roman" w:cs="Times New Roman"/>
              </w:rPr>
              <w:t>序号</w:t>
            </w:r>
          </w:p>
        </w:tc>
        <w:tc>
          <w:tcPr>
            <w:tcW w:w="4722" w:type="dxa"/>
            <w:vAlign w:val="center"/>
          </w:tcPr>
          <w:p>
            <w:pPr>
              <w:jc w:val="center"/>
              <w:rPr>
                <w:rFonts w:hint="default" w:ascii="Times New Roman" w:hAnsi="Times New Roman" w:cs="Times New Roman"/>
              </w:rPr>
            </w:pPr>
            <w:r>
              <w:rPr>
                <w:rFonts w:hint="default" w:ascii="Times New Roman" w:hAnsi="Times New Roman" w:cs="Times New Roman"/>
              </w:rPr>
              <w:t>检验项目</w:t>
            </w:r>
          </w:p>
        </w:tc>
        <w:tc>
          <w:tcPr>
            <w:tcW w:w="2932" w:type="dxa"/>
            <w:vAlign w:val="center"/>
          </w:tcPr>
          <w:p>
            <w:pPr>
              <w:jc w:val="center"/>
              <w:rPr>
                <w:rFonts w:hint="default" w:ascii="Times New Roman" w:hAnsi="Times New Roman" w:cs="Times New Roman"/>
              </w:rPr>
            </w:pPr>
            <w:r>
              <w:rPr>
                <w:rFonts w:hint="default" w:ascii="Times New Roman" w:hAnsi="Times New Roman" w:cs="Times New Roman"/>
              </w:rPr>
              <w:t>检验方法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6"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472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干燥时间</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1728-1979</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细度</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回粘性</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1762-1980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耐冲击性</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1732-1993</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光泽</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9754-2007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柔韧性</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1731-1993</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 GB/T 1731-2020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472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附着力</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9286-1998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硬度</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1730-2007</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6739-2006</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6739-2022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耐水性</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1733-1993</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不挥发物含量</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耐盐水性</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耐酸性</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耐挥发油性</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14</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耐人工气候老化性</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1865-2009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15</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耐盐雾</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1771-2007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16</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耐干热性</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4893.3-2005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4893.3-2020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17</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耐碱性</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18</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遮盖力</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1726-1979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19</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加速泛黄性</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HG/T 2576-1994附录A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20</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闪点</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5208-2008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21</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VOC含量</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22</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挥发性有机化合物（VOC）</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18581-2009 附录A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23</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苯含量</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18581-2009 附录B</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24</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甲苯与二甲苯（含乙苯）总和含量</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25</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甲苯、二甲苯、乙苯含量总和</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18581-2009附录B</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26</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氯代烃</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23992-2009</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18581-2009附录C</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27</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可溶性重金属</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23991-2009</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18582-2009附录D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28</w:t>
            </w:r>
          </w:p>
        </w:tc>
        <w:tc>
          <w:tcPr>
            <w:tcW w:w="4722" w:type="dxa"/>
            <w:vAlign w:val="center"/>
          </w:tcPr>
          <w:p>
            <w:pPr>
              <w:spacing w:line="360" w:lineRule="auto"/>
              <w:jc w:val="center"/>
              <w:rPr>
                <w:rFonts w:hint="default" w:ascii="Times New Roman" w:hAnsi="Times New Roman" w:cs="Times New Roman"/>
              </w:rPr>
            </w:pPr>
            <w:r>
              <w:rPr>
                <w:rFonts w:hint="default" w:ascii="Times New Roman" w:hAnsi="Times New Roman" w:cs="Times New Roman"/>
              </w:rPr>
              <w:t>总铅含量（限色漆）</w:t>
            </w:r>
          </w:p>
        </w:tc>
        <w:tc>
          <w:tcPr>
            <w:tcW w:w="2932" w:type="dxa"/>
            <w:vAlign w:val="center"/>
          </w:tcPr>
          <w:p>
            <w:pPr>
              <w:spacing w:line="360" w:lineRule="auto"/>
              <w:jc w:val="center"/>
              <w:rPr>
                <w:rFonts w:hint="default" w:ascii="Times New Roman" w:hAnsi="Times New Roman" w:cs="Times New Roman"/>
              </w:rPr>
            </w:pPr>
            <w:r>
              <w:rPr>
                <w:rFonts w:hint="default" w:ascii="Times New Roman" w:hAnsi="Times New Roman" w:cs="Times New Roman"/>
              </w:rPr>
              <w:t>GB/T 30647-2014</w:t>
            </w:r>
          </w:p>
        </w:tc>
      </w:tr>
    </w:tbl>
    <w:p>
      <w:pPr>
        <w:tabs>
          <w:tab w:val="left" w:pos="1515"/>
        </w:tabs>
        <w:jc w:val="left"/>
        <w:rPr>
          <w:rFonts w:hint="default" w:ascii="Times New Roman" w:hAnsi="Times New Roman" w:cs="Times New Roman"/>
        </w:rPr>
      </w:pPr>
      <w:r>
        <w:rPr>
          <w:rFonts w:hint="default" w:ascii="Times New Roman" w:hAnsi="Times New Roman" w:cs="Times New Roman"/>
        </w:rPr>
        <w:t>注：</w:t>
      </w:r>
      <w:r>
        <w:rPr>
          <w:rFonts w:hint="default" w:ascii="Times New Roman" w:hAnsi="Times New Roman" w:cs="Times New Roman"/>
          <w:color w:val="000000"/>
          <w:szCs w:val="21"/>
        </w:rPr>
        <w:t>具体检验项目按照相应产品的标准及种类、等级等内容确定；未列出的</w:t>
      </w:r>
      <w:r>
        <w:rPr>
          <w:rFonts w:hint="default" w:ascii="Times New Roman" w:hAnsi="Times New Roman" w:cs="Times New Roman"/>
          <w:szCs w:val="21"/>
        </w:rPr>
        <w:t>其他类别的油漆涂料检验项目按相应的国家产品标准检验。</w:t>
      </w:r>
    </w:p>
    <w:p>
      <w:pPr>
        <w:snapToGrid w:val="0"/>
        <w:spacing w:line="440" w:lineRule="exact"/>
        <w:ind w:firstLine="420"/>
        <w:jc w:val="left"/>
        <w:rPr>
          <w:rFonts w:hint="default" w:ascii="Times New Roman" w:hAnsi="Times New Roman" w:cs="Times New Roman"/>
          <w:szCs w:val="21"/>
        </w:rPr>
      </w:pPr>
    </w:p>
    <w:p>
      <w:pPr>
        <w:snapToGrid w:val="0"/>
        <w:spacing w:line="440" w:lineRule="exact"/>
        <w:ind w:firstLine="420"/>
        <w:jc w:val="left"/>
        <w:rPr>
          <w:rFonts w:hint="default" w:ascii="Times New Roman" w:hAnsi="Times New Roman" w:cs="Times New Roman"/>
          <w:szCs w:val="21"/>
        </w:rPr>
      </w:pPr>
      <w:r>
        <w:rPr>
          <w:rFonts w:hint="default" w:ascii="Times New Roman" w:hAnsi="Times New Roman" w:cs="Times New Roman"/>
          <w:szCs w:val="21"/>
        </w:rPr>
        <w:t>2.2聚氨酯漆</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表3聚氨酯漆</w:t>
      </w:r>
    </w:p>
    <w:tbl>
      <w:tblPr>
        <w:tblStyle w:val="8"/>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5245"/>
        <w:gridCol w:w="24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2" w:hRule="atLeast"/>
        </w:trPr>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干燥时间</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GB/T1728-1979</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细度</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耐冲击性(冲击强度)</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1732-1993</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光泽</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9754-2007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柔韧性</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1731-1993</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弯曲试验</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6742-2007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附着力（划格试验）</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9286-1998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硬度</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6739-2006</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6739-2022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耐水性</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GB/T 1733-1993                                                      </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耐碱性</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GB/T 9274-1988     </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耐盐水性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耐酸性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耐汽油性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14</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不挥发物含量(固体含量)</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15</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耐干热</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4893.3-2005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4893.3-2020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16</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耐醇性</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4893.3-2020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17</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耐磨性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1768-2006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18</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耐黄变性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23983-2009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19</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闪点</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5208-2008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959" w:type="dxa"/>
            <w:vAlign w:val="center"/>
          </w:tcPr>
          <w:p>
            <w:pPr>
              <w:spacing w:line="360" w:lineRule="auto"/>
              <w:jc w:val="center"/>
              <w:rPr>
                <w:rFonts w:hint="default" w:ascii="Times New Roman" w:hAnsi="Times New Roman" w:cs="Times New Roman"/>
                <w:b/>
                <w:bCs/>
                <w:color w:val="000000"/>
                <w:szCs w:val="21"/>
              </w:rPr>
            </w:pPr>
            <w:r>
              <w:rPr>
                <w:rFonts w:hint="default" w:ascii="Times New Roman" w:hAnsi="Times New Roman" w:cs="Times New Roman"/>
                <w:color w:val="000000"/>
                <w:szCs w:val="21"/>
              </w:rPr>
              <w:t>20</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VOC含量</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21</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挥发性有机化合物（VOC）</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18581-2009 附录A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22</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苯含量</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18581-2009 附录B</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23</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甲苯与二甲苯（含乙苯）总和含量</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24</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甲苯、二甲苯、乙苯含量总和</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18581-2009附录B</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25</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氯代烃</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23992-2009</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18581-2009附录C</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26</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游离二异氰酸酯（TDI、HDI）含量总和</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18446-2009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27</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可溶性重金属</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23991-2009</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18582-2009附录D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28</w:t>
            </w:r>
          </w:p>
        </w:tc>
        <w:tc>
          <w:tcPr>
            <w:tcW w:w="5245" w:type="dxa"/>
            <w:vAlign w:val="center"/>
          </w:tcPr>
          <w:p>
            <w:pPr>
              <w:spacing w:line="360" w:lineRule="auto"/>
              <w:jc w:val="center"/>
              <w:rPr>
                <w:rFonts w:hint="default" w:ascii="Times New Roman" w:hAnsi="Times New Roman" w:cs="Times New Roman"/>
                <w:highlight w:val="yellow"/>
              </w:rPr>
            </w:pPr>
            <w:r>
              <w:rPr>
                <w:rFonts w:hint="default" w:ascii="Times New Roman" w:hAnsi="Times New Roman" w:cs="Times New Roman"/>
              </w:rPr>
              <w:t>总铅含量（限色漆）</w:t>
            </w:r>
          </w:p>
        </w:tc>
        <w:tc>
          <w:tcPr>
            <w:tcW w:w="2409" w:type="dxa"/>
            <w:vAlign w:val="center"/>
          </w:tcPr>
          <w:p>
            <w:pPr>
              <w:spacing w:line="360" w:lineRule="auto"/>
              <w:jc w:val="center"/>
              <w:rPr>
                <w:rFonts w:hint="default" w:ascii="Times New Roman" w:hAnsi="Times New Roman" w:cs="Times New Roman"/>
              </w:rPr>
            </w:pPr>
            <w:r>
              <w:rPr>
                <w:rFonts w:hint="default" w:ascii="Times New Roman" w:hAnsi="Times New Roman" w:cs="Times New Roman"/>
              </w:rPr>
              <w:t>GB/T 30647-2014</w:t>
            </w:r>
          </w:p>
        </w:tc>
      </w:tr>
    </w:tbl>
    <w:p>
      <w:pPr>
        <w:tabs>
          <w:tab w:val="left" w:pos="1515"/>
        </w:tabs>
        <w:jc w:val="left"/>
        <w:rPr>
          <w:rFonts w:hint="default" w:ascii="Times New Roman" w:hAnsi="Times New Roman" w:cs="Times New Roman"/>
        </w:rPr>
      </w:pPr>
      <w:r>
        <w:rPr>
          <w:rFonts w:hint="default" w:ascii="Times New Roman" w:hAnsi="Times New Roman" w:cs="Times New Roman"/>
          <w:color w:val="000000"/>
          <w:szCs w:val="21"/>
        </w:rPr>
        <w:t>注：具体检验项目按照相应产品的标准及种类、等级等内容确定；未列出的</w:t>
      </w:r>
      <w:r>
        <w:rPr>
          <w:rFonts w:hint="default" w:ascii="Times New Roman" w:hAnsi="Times New Roman" w:cs="Times New Roman"/>
          <w:szCs w:val="21"/>
        </w:rPr>
        <w:t>其他类别的油漆涂料检验项目按相应的国家产品标准检验。</w:t>
      </w:r>
    </w:p>
    <w:p>
      <w:pPr>
        <w:rPr>
          <w:rFonts w:hint="default" w:ascii="Times New Roman" w:hAnsi="Times New Roman" w:cs="Times New Roman"/>
        </w:rPr>
      </w:pPr>
    </w:p>
    <w:p>
      <w:pPr>
        <w:snapToGrid w:val="0"/>
        <w:spacing w:line="440" w:lineRule="exact"/>
        <w:ind w:firstLine="420" w:firstLineChars="200"/>
        <w:jc w:val="left"/>
        <w:rPr>
          <w:rFonts w:hint="default" w:ascii="Times New Roman" w:hAnsi="Times New Roman" w:cs="Times New Roman"/>
          <w:szCs w:val="21"/>
        </w:rPr>
      </w:pPr>
      <w:r>
        <w:rPr>
          <w:rFonts w:hint="default" w:ascii="Times New Roman" w:hAnsi="Times New Roman" w:cs="Times New Roman"/>
          <w:szCs w:val="21"/>
        </w:rPr>
        <w:t>2.3氨基漆</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表4氨基漆</w:t>
      </w:r>
    </w:p>
    <w:tbl>
      <w:tblPr>
        <w:tblStyle w:val="8"/>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5245"/>
        <w:gridCol w:w="24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52"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2"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干燥时间</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GB/T1728-1979</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细度</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耐冲击性(冲击强度)</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1732-1993</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光泽</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9754-2007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柔韧性</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1731-1993</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弯曲试验</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6742-2007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附着力(划格试验)</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9286-1998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硬度</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6739-2006</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6739-2022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耐水性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5209-1985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耐碱性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耐酸性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耐挥发油性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不挥发物含量(固体含量)</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14</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耐湿热性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1740-2007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15</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耐盐雾性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1771-2007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16</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耐热性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1735-2009</w:t>
            </w:r>
          </w:p>
        </w:tc>
      </w:tr>
    </w:tbl>
    <w:p>
      <w:pPr>
        <w:tabs>
          <w:tab w:val="left" w:pos="1515"/>
        </w:tabs>
        <w:jc w:val="left"/>
        <w:rPr>
          <w:rFonts w:hint="default" w:ascii="Times New Roman" w:hAnsi="Times New Roman" w:cs="Times New Roman"/>
        </w:rPr>
      </w:pPr>
      <w:r>
        <w:rPr>
          <w:rFonts w:hint="default" w:ascii="Times New Roman" w:hAnsi="Times New Roman" w:cs="Times New Roman"/>
        </w:rPr>
        <w:t>注：</w:t>
      </w:r>
      <w:r>
        <w:rPr>
          <w:rFonts w:hint="default" w:ascii="Times New Roman" w:hAnsi="Times New Roman" w:cs="Times New Roman"/>
          <w:color w:val="000000"/>
          <w:szCs w:val="21"/>
        </w:rPr>
        <w:t>具体检验项目按照相应产品的标准及种类、等级等内容确定；未列出的</w:t>
      </w:r>
      <w:r>
        <w:rPr>
          <w:rFonts w:hint="default" w:ascii="Times New Roman" w:hAnsi="Times New Roman" w:cs="Times New Roman"/>
          <w:szCs w:val="21"/>
        </w:rPr>
        <w:t>其他类别的油漆涂料检验项目按相应的国家产品标准检验。</w:t>
      </w:r>
    </w:p>
    <w:p>
      <w:pPr>
        <w:rPr>
          <w:rFonts w:hint="default" w:ascii="Times New Roman" w:hAnsi="Times New Roman" w:cs="Times New Roman"/>
        </w:rPr>
      </w:pPr>
    </w:p>
    <w:p>
      <w:pPr>
        <w:snapToGrid w:val="0"/>
        <w:spacing w:line="440" w:lineRule="exact"/>
        <w:ind w:firstLine="420" w:firstLineChars="200"/>
        <w:jc w:val="left"/>
        <w:rPr>
          <w:rFonts w:hint="default" w:ascii="Times New Roman" w:hAnsi="Times New Roman" w:cs="Times New Roman"/>
          <w:szCs w:val="21"/>
        </w:rPr>
      </w:pPr>
      <w:r>
        <w:rPr>
          <w:rFonts w:hint="default" w:ascii="Times New Roman" w:hAnsi="Times New Roman" w:cs="Times New Roman"/>
          <w:szCs w:val="21"/>
        </w:rPr>
        <w:t>2.4 酚醛漆</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表5酚醛漆</w:t>
      </w:r>
    </w:p>
    <w:tbl>
      <w:tblPr>
        <w:tblStyle w:val="8"/>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5245"/>
        <w:gridCol w:w="24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8"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干燥时间</w:t>
            </w:r>
          </w:p>
        </w:tc>
        <w:tc>
          <w:tcPr>
            <w:tcW w:w="2409"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GB/T1728-1979</w:t>
            </w:r>
            <w:r>
              <w:rPr>
                <w:rFonts w:hint="default" w:ascii="Times New Roman" w:hAnsi="Times New Roman" w:cs="Times New Roman"/>
              </w:rPr>
              <w:t xml:space="preserve"> </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细度</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耐冲击性</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1732-1993</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附着力</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1720-1979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硬度</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1730-2007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耐盐水性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遮盖力</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1726-1979</w:t>
            </w:r>
          </w:p>
        </w:tc>
      </w:tr>
    </w:tbl>
    <w:p>
      <w:pPr>
        <w:tabs>
          <w:tab w:val="left" w:pos="1515"/>
        </w:tabs>
        <w:jc w:val="left"/>
        <w:rPr>
          <w:rFonts w:hint="default" w:ascii="Times New Roman" w:hAnsi="Times New Roman" w:cs="Times New Roman"/>
        </w:rPr>
      </w:pPr>
      <w:r>
        <w:rPr>
          <w:rFonts w:hint="default" w:ascii="Times New Roman" w:hAnsi="Times New Roman" w:cs="Times New Roman"/>
        </w:rPr>
        <w:t>注：</w:t>
      </w:r>
      <w:r>
        <w:rPr>
          <w:rFonts w:hint="default" w:ascii="Times New Roman" w:hAnsi="Times New Roman" w:cs="Times New Roman"/>
          <w:color w:val="000000"/>
          <w:szCs w:val="21"/>
        </w:rPr>
        <w:t>具体检验项目按照相应产品的标准及种类、等级等内容确定；未列出的</w:t>
      </w:r>
      <w:r>
        <w:rPr>
          <w:rFonts w:hint="default" w:ascii="Times New Roman" w:hAnsi="Times New Roman" w:cs="Times New Roman"/>
          <w:szCs w:val="21"/>
        </w:rPr>
        <w:t>其他类别的油漆涂料检验项目按相应的国家产品标准检验。</w:t>
      </w:r>
    </w:p>
    <w:p>
      <w:pPr>
        <w:tabs>
          <w:tab w:val="left" w:pos="1515"/>
        </w:tabs>
        <w:jc w:val="left"/>
        <w:rPr>
          <w:rFonts w:hint="default" w:ascii="Times New Roman" w:hAnsi="Times New Roman" w:cs="Times New Roman"/>
        </w:rPr>
      </w:pPr>
    </w:p>
    <w:p>
      <w:pPr>
        <w:snapToGrid w:val="0"/>
        <w:spacing w:line="440" w:lineRule="exact"/>
        <w:ind w:firstLine="420" w:firstLineChars="200"/>
        <w:jc w:val="left"/>
        <w:rPr>
          <w:rFonts w:hint="default" w:ascii="Times New Roman" w:hAnsi="Times New Roman" w:cs="Times New Roman"/>
          <w:szCs w:val="21"/>
        </w:rPr>
      </w:pPr>
      <w:r>
        <w:rPr>
          <w:rFonts w:hint="default" w:ascii="Times New Roman" w:hAnsi="Times New Roman" w:cs="Times New Roman"/>
          <w:szCs w:val="21"/>
        </w:rPr>
        <w:t>2.5 环氧漆</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表6环氧漆</w:t>
      </w:r>
    </w:p>
    <w:tbl>
      <w:tblPr>
        <w:tblStyle w:val="8"/>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5245"/>
        <w:gridCol w:w="24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8"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干燥时间</w:t>
            </w:r>
          </w:p>
        </w:tc>
        <w:tc>
          <w:tcPr>
            <w:tcW w:w="2409"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GB/T1728-1979</w:t>
            </w:r>
            <w:r>
              <w:rPr>
                <w:rFonts w:hint="default" w:ascii="Times New Roman" w:hAnsi="Times New Roman" w:cs="Times New Roman"/>
              </w:rPr>
              <w:t xml:space="preserve"> </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细度</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耐冲击性</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1732-1993</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柔韧性</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1731-1993</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弯曲试验</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6742-2007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划格试验</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9286-1998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耐盐水性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耐水性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耐碱性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耐酸性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耐挥发油性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不挥发物含量(固体含量、不挥发分)</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耐湿热性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1740-2007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14</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耐盐雾性</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1771-2007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15</w:t>
            </w:r>
          </w:p>
        </w:tc>
        <w:tc>
          <w:tcPr>
            <w:tcW w:w="5245"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硬度</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6739-2006</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6739-2022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16</w:t>
            </w:r>
          </w:p>
        </w:tc>
        <w:tc>
          <w:tcPr>
            <w:tcW w:w="5245"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附着力</w:t>
            </w:r>
          </w:p>
        </w:tc>
        <w:tc>
          <w:tcPr>
            <w:tcW w:w="240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5210-2006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17</w:t>
            </w:r>
          </w:p>
        </w:tc>
        <w:tc>
          <w:tcPr>
            <w:tcW w:w="5245"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不挥发分中金属锌含量</w:t>
            </w:r>
          </w:p>
        </w:tc>
        <w:tc>
          <w:tcPr>
            <w:tcW w:w="240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HG/T3668–2020 </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G/T3668–2009 附录B</w:t>
            </w:r>
          </w:p>
        </w:tc>
      </w:tr>
    </w:tbl>
    <w:p>
      <w:pPr>
        <w:tabs>
          <w:tab w:val="left" w:pos="1515"/>
        </w:tabs>
        <w:jc w:val="left"/>
        <w:rPr>
          <w:rFonts w:hint="default" w:ascii="Times New Roman" w:hAnsi="Times New Roman" w:cs="Times New Roman"/>
        </w:rPr>
      </w:pPr>
      <w:r>
        <w:rPr>
          <w:rFonts w:hint="default" w:ascii="Times New Roman" w:hAnsi="Times New Roman" w:cs="Times New Roman"/>
        </w:rPr>
        <w:t>注：</w:t>
      </w:r>
      <w:r>
        <w:rPr>
          <w:rFonts w:hint="default" w:ascii="Times New Roman" w:hAnsi="Times New Roman" w:cs="Times New Roman"/>
          <w:color w:val="000000"/>
          <w:szCs w:val="21"/>
        </w:rPr>
        <w:t>具体检验项目按照相应产品的标准及种类、等级等内容确定；未列出的</w:t>
      </w:r>
      <w:r>
        <w:rPr>
          <w:rFonts w:hint="default" w:ascii="Times New Roman" w:hAnsi="Times New Roman" w:cs="Times New Roman"/>
          <w:szCs w:val="21"/>
        </w:rPr>
        <w:t>其他类别的油漆涂料检验项目按相应的国家产品标准检验。</w:t>
      </w:r>
    </w:p>
    <w:p>
      <w:pPr>
        <w:tabs>
          <w:tab w:val="left" w:pos="1515"/>
        </w:tabs>
        <w:jc w:val="left"/>
        <w:rPr>
          <w:rFonts w:hint="default" w:ascii="Times New Roman" w:hAnsi="Times New Roman" w:cs="Times New Roman"/>
          <w:szCs w:val="21"/>
        </w:rPr>
      </w:pPr>
    </w:p>
    <w:p>
      <w:pPr>
        <w:tabs>
          <w:tab w:val="left" w:pos="1515"/>
        </w:tabs>
        <w:jc w:val="left"/>
        <w:rPr>
          <w:rFonts w:hint="default" w:ascii="Times New Roman" w:hAnsi="Times New Roman" w:cs="Times New Roman"/>
          <w:szCs w:val="21"/>
        </w:rPr>
      </w:pPr>
      <w:r>
        <w:rPr>
          <w:rFonts w:hint="default" w:ascii="Times New Roman" w:hAnsi="Times New Roman" w:cs="Times New Roman"/>
          <w:szCs w:val="21"/>
        </w:rPr>
        <w:t>2.6硝基漆</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表7硝基漆</w:t>
      </w:r>
    </w:p>
    <w:tbl>
      <w:tblPr>
        <w:tblStyle w:val="8"/>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9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7"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472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干燥时间</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GB/T1728-1979</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细度</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附着力</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1720-1979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划格试验</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9286-1998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光泽</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9754-2007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回粘性</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1762-1980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耐热性</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1735-2009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耐水性</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GB/T 9274-1988 </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4722"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耐挥发性溶剂</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4722"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不挥发物含量(固体含量)</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耐干热性</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4893.3-2005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4893.3-2020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耐碱性</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4893.1-2005</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VOC含量</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14</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挥发性有机化合物（VOC）</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18581-2009 附录A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15</w:t>
            </w:r>
          </w:p>
        </w:tc>
        <w:tc>
          <w:tcPr>
            <w:tcW w:w="472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苯含量</w:t>
            </w:r>
          </w:p>
        </w:tc>
        <w:tc>
          <w:tcPr>
            <w:tcW w:w="293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18581-2009 附录B</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16</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甲苯与二甲苯（含乙苯）总和含量</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17</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甲苯、二甲苯、乙苯含量总和</w:t>
            </w:r>
          </w:p>
        </w:tc>
        <w:tc>
          <w:tcPr>
            <w:tcW w:w="293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18581-2009附录B</w:t>
            </w:r>
          </w:p>
        </w:tc>
      </w:tr>
    </w:tbl>
    <w:p>
      <w:pPr>
        <w:tabs>
          <w:tab w:val="left" w:pos="1515"/>
        </w:tabs>
        <w:jc w:val="left"/>
        <w:rPr>
          <w:rFonts w:hint="default" w:ascii="Times New Roman" w:hAnsi="Times New Roman" w:cs="Times New Roman"/>
        </w:rPr>
      </w:pPr>
      <w:r>
        <w:rPr>
          <w:rFonts w:hint="default" w:ascii="Times New Roman" w:hAnsi="Times New Roman" w:cs="Times New Roman"/>
        </w:rPr>
        <w:t>注：</w:t>
      </w:r>
      <w:r>
        <w:rPr>
          <w:rFonts w:hint="default" w:ascii="Times New Roman" w:hAnsi="Times New Roman" w:cs="Times New Roman"/>
          <w:color w:val="000000"/>
          <w:szCs w:val="21"/>
        </w:rPr>
        <w:t>具体检验项目按照相应的标准内容确定；未列出的</w:t>
      </w:r>
      <w:r>
        <w:rPr>
          <w:rFonts w:hint="default" w:ascii="Times New Roman" w:hAnsi="Times New Roman" w:cs="Times New Roman"/>
          <w:szCs w:val="21"/>
        </w:rPr>
        <w:t>其他类别的油漆涂料检验项目按相应的国家产品标准检验。</w:t>
      </w:r>
    </w:p>
    <w:p>
      <w:pPr>
        <w:snapToGrid w:val="0"/>
        <w:spacing w:line="440" w:lineRule="exact"/>
        <w:ind w:firstLine="417" w:firstLineChars="199"/>
        <w:rPr>
          <w:rFonts w:hint="default" w:ascii="Times New Roman" w:hAnsi="Times New Roman" w:cs="Times New Roman"/>
          <w:szCs w:val="21"/>
        </w:rPr>
      </w:pPr>
    </w:p>
    <w:p>
      <w:pPr>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2.7有机硅漆</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表8有机硅漆</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84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0"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472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8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干燥时间</w:t>
            </w:r>
          </w:p>
        </w:tc>
        <w:tc>
          <w:tcPr>
            <w:tcW w:w="2841"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GB/T1728-1979</w:t>
            </w:r>
            <w:r>
              <w:rPr>
                <w:rFonts w:hint="default" w:ascii="Times New Roman" w:hAnsi="Times New Roman" w:cs="Times New Roman"/>
              </w:rPr>
              <w:t xml:space="preserve"> </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柔韧性</w:t>
            </w:r>
          </w:p>
        </w:tc>
        <w:tc>
          <w:tcPr>
            <w:tcW w:w="28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1731-1993</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耐冲击性（冲击强度）</w:t>
            </w:r>
          </w:p>
        </w:tc>
        <w:tc>
          <w:tcPr>
            <w:tcW w:w="28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GB/T 1732-1993 </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划格试验</w:t>
            </w:r>
          </w:p>
        </w:tc>
        <w:tc>
          <w:tcPr>
            <w:tcW w:w="28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9286-1998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附着力</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1720-1979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耐水性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1733-1993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耐碱性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耐酸性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耐汽油性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弯曲试验</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6742-2007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耐热性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1735-2009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不挥发物含量(固体含量)</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1730-2007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4722" w:type="dxa"/>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耐湿热性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1725-2007</w:t>
            </w:r>
          </w:p>
        </w:tc>
      </w:tr>
    </w:tbl>
    <w:p>
      <w:pPr>
        <w:tabs>
          <w:tab w:val="left" w:pos="1515"/>
        </w:tabs>
        <w:jc w:val="left"/>
        <w:rPr>
          <w:rFonts w:hint="default" w:ascii="Times New Roman" w:hAnsi="Times New Roman" w:cs="Times New Roman"/>
        </w:rPr>
      </w:pPr>
      <w:r>
        <w:rPr>
          <w:rFonts w:hint="default" w:ascii="Times New Roman" w:hAnsi="Times New Roman" w:cs="Times New Roman"/>
        </w:rPr>
        <w:t>注：</w:t>
      </w:r>
      <w:r>
        <w:rPr>
          <w:rFonts w:hint="default" w:ascii="Times New Roman" w:hAnsi="Times New Roman" w:cs="Times New Roman"/>
          <w:color w:val="000000"/>
          <w:szCs w:val="21"/>
        </w:rPr>
        <w:t>具体检验项目按照相应的标准内容确定；未列出的</w:t>
      </w:r>
      <w:r>
        <w:rPr>
          <w:rFonts w:hint="default" w:ascii="Times New Roman" w:hAnsi="Times New Roman" w:cs="Times New Roman"/>
          <w:szCs w:val="21"/>
        </w:rPr>
        <w:t>其他类别的油漆涂料检验项目按相应的国家产品标准检验。</w:t>
      </w:r>
    </w:p>
    <w:p>
      <w:pPr>
        <w:snapToGrid w:val="0"/>
        <w:spacing w:line="440" w:lineRule="exact"/>
        <w:ind w:firstLine="420" w:firstLineChars="200"/>
        <w:jc w:val="left"/>
        <w:rPr>
          <w:rFonts w:hint="default" w:ascii="Times New Roman" w:hAnsi="Times New Roman" w:cs="Times New Roman"/>
          <w:szCs w:val="21"/>
        </w:rPr>
      </w:pPr>
    </w:p>
    <w:p>
      <w:pPr>
        <w:snapToGrid w:val="0"/>
        <w:spacing w:line="440" w:lineRule="exact"/>
        <w:ind w:firstLine="420" w:firstLineChars="200"/>
        <w:jc w:val="left"/>
        <w:rPr>
          <w:rFonts w:hint="default" w:ascii="Times New Roman" w:hAnsi="Times New Roman" w:cs="Times New Roman"/>
          <w:szCs w:val="21"/>
        </w:rPr>
      </w:pPr>
      <w:r>
        <w:rPr>
          <w:rFonts w:hint="default" w:ascii="Times New Roman" w:hAnsi="Times New Roman" w:cs="Times New Roman"/>
          <w:szCs w:val="21"/>
        </w:rPr>
        <w:t>2.8稀释剂</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表9稀释剂</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84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6"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472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8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颜色</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1722-1992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溶解性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HG/T 3378-2022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水分</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HG/T 3378-2022</w:t>
            </w:r>
          </w:p>
        </w:tc>
      </w:tr>
    </w:tbl>
    <w:p>
      <w:pPr>
        <w:snapToGrid w:val="0"/>
        <w:spacing w:line="440" w:lineRule="exact"/>
        <w:ind w:firstLine="420" w:firstLineChars="200"/>
        <w:jc w:val="left"/>
        <w:rPr>
          <w:rFonts w:hint="default" w:ascii="Times New Roman" w:hAnsi="Times New Roman" w:cs="Times New Roman"/>
          <w:szCs w:val="21"/>
        </w:rPr>
      </w:pPr>
    </w:p>
    <w:p>
      <w:pPr>
        <w:snapToGrid w:val="0"/>
        <w:spacing w:line="440" w:lineRule="exact"/>
        <w:ind w:firstLine="420" w:firstLineChars="200"/>
        <w:jc w:val="left"/>
        <w:rPr>
          <w:rFonts w:hint="default" w:ascii="Times New Roman" w:hAnsi="Times New Roman" w:cs="Times New Roman"/>
          <w:szCs w:val="21"/>
        </w:rPr>
      </w:pPr>
      <w:r>
        <w:rPr>
          <w:rFonts w:hint="default" w:ascii="Times New Roman" w:hAnsi="Times New Roman" w:cs="Times New Roman"/>
          <w:szCs w:val="21"/>
        </w:rPr>
        <w:t>2.9水性聚氨酯涂料</w:t>
      </w:r>
    </w:p>
    <w:p>
      <w:pPr>
        <w:snapToGrid w:val="0"/>
        <w:spacing w:line="440" w:lineRule="exact"/>
        <w:jc w:val="center"/>
        <w:rPr>
          <w:rFonts w:hint="default" w:ascii="Times New Roman" w:hAnsi="Times New Roman" w:cs="Times New Roman"/>
          <w:szCs w:val="21"/>
        </w:rPr>
      </w:pPr>
      <w:r>
        <w:rPr>
          <w:rFonts w:hint="default" w:ascii="Times New Roman" w:hAnsi="Times New Roman" w:cs="Times New Roman"/>
          <w:szCs w:val="21"/>
        </w:rPr>
        <w:t>表10水性聚氨酯涂料</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84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0"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472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8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细度</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不挥发物含量</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贮存稳定性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HG/T 4761-2014 5.4.5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干燥时间</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1728-1979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铅笔硬度</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6739-2006</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6739-2022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划格试验</w:t>
            </w:r>
          </w:p>
        </w:tc>
        <w:tc>
          <w:tcPr>
            <w:tcW w:w="28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9286-1998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弯曲试验</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6742-2007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耐冲击性</w:t>
            </w:r>
          </w:p>
        </w:tc>
        <w:tc>
          <w:tcPr>
            <w:tcW w:w="28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 GB/T 1732-1993</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 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光泽</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9754-2007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耐干热性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4893.3-2005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耐水性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1733-1993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耐酸性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472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耐碱性</w:t>
            </w:r>
          </w:p>
        </w:tc>
        <w:tc>
          <w:tcPr>
            <w:tcW w:w="284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9265-2009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14</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耐盐雾性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1771-2007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15</w:t>
            </w:r>
          </w:p>
        </w:tc>
        <w:tc>
          <w:tcPr>
            <w:tcW w:w="472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涂层耐温变性</w:t>
            </w:r>
          </w:p>
        </w:tc>
        <w:tc>
          <w:tcPr>
            <w:tcW w:w="284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JG/T 25-2017</w:t>
            </w:r>
          </w:p>
        </w:tc>
      </w:tr>
    </w:tbl>
    <w:p>
      <w:pPr>
        <w:tabs>
          <w:tab w:val="left" w:pos="1515"/>
        </w:tabs>
        <w:jc w:val="left"/>
        <w:rPr>
          <w:rFonts w:hint="default" w:ascii="Times New Roman" w:hAnsi="Times New Roman" w:cs="Times New Roman"/>
        </w:rPr>
      </w:pPr>
      <w:r>
        <w:rPr>
          <w:rFonts w:hint="default" w:ascii="Times New Roman" w:hAnsi="Times New Roman" w:cs="Times New Roman"/>
        </w:rPr>
        <w:t>注：</w:t>
      </w:r>
      <w:r>
        <w:rPr>
          <w:rFonts w:hint="default" w:ascii="Times New Roman" w:hAnsi="Times New Roman" w:cs="Times New Roman"/>
          <w:color w:val="000000"/>
          <w:szCs w:val="21"/>
        </w:rPr>
        <w:t>具体检验项目按照相应的标准内容确定；未列出的</w:t>
      </w:r>
      <w:r>
        <w:rPr>
          <w:rFonts w:hint="default" w:ascii="Times New Roman" w:hAnsi="Times New Roman" w:cs="Times New Roman"/>
          <w:szCs w:val="21"/>
        </w:rPr>
        <w:t>其他类别的油漆涂料检验项目按相应的国家产品标准检验。</w:t>
      </w:r>
    </w:p>
    <w:p>
      <w:pPr>
        <w:pStyle w:val="2"/>
        <w:snapToGrid w:val="0"/>
        <w:spacing w:line="440" w:lineRule="exact"/>
        <w:rPr>
          <w:rFonts w:hint="default" w:ascii="Times New Roman" w:hAnsi="Times New Roman" w:cs="Times New Roman"/>
          <w:sz w:val="21"/>
          <w:szCs w:val="21"/>
        </w:rPr>
      </w:pPr>
      <w:r>
        <w:rPr>
          <w:rFonts w:hint="default" w:ascii="Times New Roman" w:hAnsi="Times New Roman" w:cs="Times New Roman"/>
          <w:color w:val="000000"/>
          <w:szCs w:val="21"/>
        </w:rPr>
        <w:t>2.10</w:t>
      </w:r>
      <w:r>
        <w:rPr>
          <w:rFonts w:hint="default" w:ascii="Times New Roman" w:hAnsi="Times New Roman" w:cs="Times New Roman"/>
          <w:sz w:val="21"/>
          <w:szCs w:val="21"/>
        </w:rPr>
        <w:t>合成树脂乳液砂壁状建筑涂料</w:t>
      </w:r>
    </w:p>
    <w:p>
      <w:pPr>
        <w:adjustRightInd w:val="0"/>
        <w:snapToGrid w:val="0"/>
        <w:jc w:val="center"/>
        <w:rPr>
          <w:rFonts w:hint="default" w:ascii="Times New Roman" w:hAnsi="Times New Roman" w:cs="Times New Roman"/>
          <w:color w:val="000000"/>
          <w:szCs w:val="21"/>
        </w:rPr>
      </w:pP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表11 </w:t>
      </w:r>
      <w:r>
        <w:rPr>
          <w:rFonts w:hint="default" w:ascii="Times New Roman" w:hAnsi="Times New Roman" w:cs="Times New Roman"/>
          <w:szCs w:val="21"/>
        </w:rPr>
        <w:t>合成树脂乳液砂壁状建筑涂料</w:t>
      </w:r>
    </w:p>
    <w:tbl>
      <w:tblPr>
        <w:tblStyle w:val="7"/>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9"/>
        <w:gridCol w:w="4961"/>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496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55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4961" w:type="dxa"/>
            <w:vAlign w:val="center"/>
          </w:tcPr>
          <w:p>
            <w:pPr>
              <w:jc w:val="center"/>
              <w:rPr>
                <w:rFonts w:hint="default" w:ascii="Times New Roman" w:hAnsi="Times New Roman" w:cs="Times New Roman"/>
              </w:rPr>
            </w:pPr>
            <w:r>
              <w:rPr>
                <w:rFonts w:hint="default" w:ascii="Times New Roman" w:hAnsi="Times New Roman" w:cs="Times New Roman"/>
              </w:rPr>
              <w:t>施工性</w:t>
            </w:r>
          </w:p>
        </w:tc>
        <w:tc>
          <w:tcPr>
            <w:tcW w:w="2552" w:type="dxa"/>
            <w:vAlign w:val="center"/>
          </w:tcPr>
          <w:p>
            <w:pPr>
              <w:jc w:val="center"/>
              <w:rPr>
                <w:rFonts w:hint="default" w:ascii="Times New Roman" w:hAnsi="Times New Roman" w:cs="Times New Roman"/>
              </w:rPr>
            </w:pPr>
            <w:r>
              <w:rPr>
                <w:rFonts w:hint="default" w:ascii="Times New Roman" w:hAnsi="Times New Roman" w:cs="Times New Roman"/>
              </w:rPr>
              <w:t xml:space="preserve">JG/T 24-2018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4961" w:type="dxa"/>
            <w:vAlign w:val="center"/>
          </w:tcPr>
          <w:p>
            <w:pPr>
              <w:jc w:val="center"/>
              <w:rPr>
                <w:rFonts w:hint="default" w:ascii="Times New Roman" w:hAnsi="Times New Roman" w:cs="Times New Roman"/>
              </w:rPr>
            </w:pPr>
            <w:r>
              <w:rPr>
                <w:rFonts w:hint="default" w:ascii="Times New Roman" w:hAnsi="Times New Roman" w:cs="Times New Roman"/>
              </w:rPr>
              <w:t>干燥时间（表干）</w:t>
            </w:r>
          </w:p>
        </w:tc>
        <w:tc>
          <w:tcPr>
            <w:tcW w:w="2552" w:type="dxa"/>
            <w:vAlign w:val="center"/>
          </w:tcPr>
          <w:p>
            <w:pPr>
              <w:jc w:val="center"/>
              <w:rPr>
                <w:rFonts w:hint="default" w:ascii="Times New Roman" w:hAnsi="Times New Roman" w:cs="Times New Roman"/>
              </w:rPr>
            </w:pPr>
            <w:r>
              <w:rPr>
                <w:rFonts w:hint="default" w:ascii="Times New Roman" w:hAnsi="Times New Roman" w:cs="Times New Roman"/>
              </w:rPr>
              <w:t>GB/T 1728-1979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4961" w:type="dxa"/>
            <w:vAlign w:val="center"/>
          </w:tcPr>
          <w:p>
            <w:pPr>
              <w:spacing w:line="360" w:lineRule="auto"/>
              <w:jc w:val="center"/>
              <w:rPr>
                <w:rFonts w:hint="default" w:ascii="Times New Roman" w:hAnsi="Times New Roman" w:cs="Times New Roman"/>
                <w:szCs w:val="21"/>
              </w:rPr>
            </w:pPr>
            <w:r>
              <w:rPr>
                <w:rFonts w:hint="default" w:ascii="Times New Roman" w:hAnsi="Times New Roman" w:cs="Times New Roman"/>
              </w:rPr>
              <w:t>初期干燥抗裂性</w:t>
            </w:r>
          </w:p>
        </w:tc>
        <w:tc>
          <w:tcPr>
            <w:tcW w:w="2552" w:type="dxa"/>
            <w:vAlign w:val="center"/>
          </w:tcPr>
          <w:p>
            <w:pPr>
              <w:jc w:val="center"/>
              <w:rPr>
                <w:rFonts w:hint="default" w:ascii="Times New Roman" w:hAnsi="Times New Roman" w:cs="Times New Roman"/>
              </w:rPr>
            </w:pPr>
            <w:r>
              <w:rPr>
                <w:rFonts w:hint="default" w:ascii="Times New Roman" w:hAnsi="Times New Roman" w:cs="Times New Roman"/>
              </w:rPr>
              <w:t>JG/T 24-2018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496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rPr>
              <w:t>低温稳定性（3次循环）</w:t>
            </w:r>
          </w:p>
        </w:tc>
        <w:tc>
          <w:tcPr>
            <w:tcW w:w="2552" w:type="dxa"/>
            <w:vAlign w:val="center"/>
          </w:tcPr>
          <w:p>
            <w:pPr>
              <w:spacing w:line="360" w:lineRule="auto"/>
              <w:jc w:val="center"/>
              <w:rPr>
                <w:rFonts w:hint="default" w:ascii="Times New Roman" w:hAnsi="Times New Roman" w:cs="Times New Roman"/>
              </w:rPr>
            </w:pPr>
            <w:r>
              <w:rPr>
                <w:rFonts w:hint="default" w:ascii="Times New Roman" w:hAnsi="Times New Roman" w:cs="Times New Roman"/>
              </w:rPr>
              <w:t>GB/T 9268-2008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496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rPr>
              <w:t>热贮存稳定性（15d）</w:t>
            </w:r>
          </w:p>
        </w:tc>
        <w:tc>
          <w:tcPr>
            <w:tcW w:w="255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JG/T 24-2018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496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rPr>
              <w:t>吸水量（2h）</w:t>
            </w:r>
          </w:p>
        </w:tc>
        <w:tc>
          <w:tcPr>
            <w:tcW w:w="255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JG/T 157-2009</w:t>
            </w:r>
          </w:p>
        </w:tc>
      </w:tr>
    </w:tbl>
    <w:p>
      <w:pPr>
        <w:adjustRightInd w:val="0"/>
        <w:snapToGrid w:val="0"/>
        <w:jc w:val="left"/>
        <w:rPr>
          <w:rFonts w:hint="default" w:ascii="Times New Roman" w:hAnsi="Times New Roman" w:cs="Times New Roman"/>
          <w:color w:val="000000"/>
          <w:szCs w:val="21"/>
        </w:rPr>
      </w:pPr>
    </w:p>
    <w:p>
      <w:pPr>
        <w:pStyle w:val="2"/>
        <w:snapToGrid w:val="0"/>
        <w:spacing w:line="440" w:lineRule="exact"/>
        <w:rPr>
          <w:rFonts w:hint="default" w:ascii="Times New Roman" w:hAnsi="Times New Roman" w:cs="Times New Roman"/>
          <w:sz w:val="21"/>
          <w:szCs w:val="21"/>
        </w:rPr>
      </w:pPr>
      <w:r>
        <w:rPr>
          <w:rFonts w:hint="default" w:ascii="Times New Roman" w:hAnsi="Times New Roman" w:cs="Times New Roman"/>
          <w:color w:val="000000"/>
          <w:szCs w:val="21"/>
        </w:rPr>
        <w:t>2.11</w:t>
      </w:r>
      <w:r>
        <w:rPr>
          <w:rFonts w:hint="default" w:ascii="Times New Roman" w:hAnsi="Times New Roman" w:cs="Times New Roman"/>
          <w:sz w:val="21"/>
          <w:szCs w:val="21"/>
        </w:rPr>
        <w:t>丙烯酸树脂涂料</w:t>
      </w:r>
    </w:p>
    <w:p>
      <w:pPr>
        <w:adjustRightInd w:val="0"/>
        <w:snapToGrid w:val="0"/>
        <w:jc w:val="center"/>
        <w:rPr>
          <w:rFonts w:hint="default" w:ascii="Times New Roman" w:hAnsi="Times New Roman" w:cs="Times New Roman"/>
          <w:szCs w:val="21"/>
        </w:rPr>
      </w:pPr>
      <w:r>
        <w:rPr>
          <w:rFonts w:hint="default" w:ascii="Times New Roman" w:hAnsi="Times New Roman" w:cs="Times New Roman"/>
          <w:color w:val="000000"/>
          <w:szCs w:val="21"/>
        </w:rPr>
        <w:t>表12</w:t>
      </w:r>
      <w:r>
        <w:rPr>
          <w:rFonts w:hint="default" w:ascii="Times New Roman" w:hAnsi="Times New Roman" w:cs="Times New Roman"/>
          <w:szCs w:val="21"/>
        </w:rPr>
        <w:t>丙烯酸树脂涂料</w:t>
      </w:r>
    </w:p>
    <w:p>
      <w:pPr>
        <w:adjustRightInd w:val="0"/>
        <w:snapToGrid w:val="0"/>
        <w:jc w:val="center"/>
        <w:rPr>
          <w:rFonts w:hint="default" w:ascii="Times New Roman" w:hAnsi="Times New Roman" w:cs="Times New Roman"/>
          <w:color w:val="000000"/>
          <w:szCs w:val="21"/>
        </w:rPr>
      </w:pPr>
    </w:p>
    <w:tbl>
      <w:tblPr>
        <w:tblStyle w:val="7"/>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9"/>
        <w:gridCol w:w="4961"/>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4961"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255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4961" w:type="dxa"/>
            <w:vAlign w:val="center"/>
          </w:tcPr>
          <w:p>
            <w:pPr>
              <w:jc w:val="center"/>
              <w:rPr>
                <w:rFonts w:hint="default" w:ascii="Times New Roman" w:hAnsi="Times New Roman" w:cs="Times New Roman"/>
              </w:rPr>
            </w:pPr>
            <w:r>
              <w:rPr>
                <w:rFonts w:hint="default" w:ascii="Times New Roman" w:hAnsi="Times New Roman" w:cs="Times New Roman"/>
                <w:szCs w:val="21"/>
              </w:rPr>
              <w:t>干燥时间</w:t>
            </w:r>
          </w:p>
        </w:tc>
        <w:tc>
          <w:tcPr>
            <w:tcW w:w="2552" w:type="dxa"/>
            <w:vAlign w:val="center"/>
          </w:tcPr>
          <w:p>
            <w:pPr>
              <w:jc w:val="center"/>
              <w:rPr>
                <w:rFonts w:hint="default" w:ascii="Times New Roman" w:hAnsi="Times New Roman" w:cs="Times New Roman"/>
              </w:rPr>
            </w:pPr>
            <w:r>
              <w:rPr>
                <w:rFonts w:hint="default" w:ascii="Times New Roman" w:hAnsi="Times New Roman" w:cs="Times New Roman"/>
              </w:rPr>
              <w:t>GB/T 1728-1979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4961" w:type="dxa"/>
            <w:vAlign w:val="center"/>
          </w:tcPr>
          <w:p>
            <w:pPr>
              <w:jc w:val="center"/>
              <w:rPr>
                <w:rFonts w:hint="default" w:ascii="Times New Roman" w:hAnsi="Times New Roman" w:cs="Times New Roman"/>
              </w:rPr>
            </w:pPr>
            <w:r>
              <w:rPr>
                <w:rFonts w:hint="default" w:ascii="Times New Roman" w:hAnsi="Times New Roman" w:cs="Times New Roman"/>
                <w:szCs w:val="21"/>
              </w:rPr>
              <w:t>耐冲击性</w:t>
            </w:r>
          </w:p>
        </w:tc>
        <w:tc>
          <w:tcPr>
            <w:tcW w:w="255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GB/T 1732-1993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rPr>
        <w:tc>
          <w:tcPr>
            <w:tcW w:w="959"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4961" w:type="dxa"/>
            <w:vAlign w:val="center"/>
          </w:tcPr>
          <w:p>
            <w:pPr>
              <w:spacing w:line="360" w:lineRule="auto"/>
              <w:jc w:val="center"/>
              <w:rPr>
                <w:rFonts w:hint="default" w:ascii="Times New Roman" w:hAnsi="Times New Roman" w:cs="Times New Roman"/>
                <w:szCs w:val="21"/>
              </w:rPr>
            </w:pPr>
            <w:r>
              <w:rPr>
                <w:rFonts w:hint="default" w:ascii="Times New Roman" w:hAnsi="Times New Roman" w:cs="Times New Roman"/>
                <w:szCs w:val="21"/>
              </w:rPr>
              <w:t>光泽（60°）</w:t>
            </w:r>
          </w:p>
        </w:tc>
        <w:tc>
          <w:tcPr>
            <w:tcW w:w="2552" w:type="dxa"/>
            <w:vAlign w:val="center"/>
          </w:tcPr>
          <w:p>
            <w:pPr>
              <w:jc w:val="center"/>
              <w:rPr>
                <w:rFonts w:hint="default" w:ascii="Times New Roman" w:hAnsi="Times New Roman" w:cs="Times New Roman"/>
              </w:rPr>
            </w:pPr>
            <w:r>
              <w:rPr>
                <w:rFonts w:hint="default" w:ascii="Times New Roman" w:hAnsi="Times New Roman" w:cs="Times New Roman"/>
                <w:color w:val="000000"/>
                <w:szCs w:val="21"/>
              </w:rPr>
              <w:t>GB/T 9754-2007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496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szCs w:val="21"/>
              </w:rPr>
              <w:t>弯曲试验</w:t>
            </w:r>
          </w:p>
        </w:tc>
        <w:tc>
          <w:tcPr>
            <w:tcW w:w="2552" w:type="dxa"/>
            <w:vAlign w:val="center"/>
          </w:tcPr>
          <w:p>
            <w:pPr>
              <w:spacing w:line="360" w:lineRule="auto"/>
              <w:jc w:val="center"/>
              <w:rPr>
                <w:rFonts w:hint="default" w:ascii="Times New Roman" w:hAnsi="Times New Roman" w:cs="Times New Roman"/>
              </w:rPr>
            </w:pPr>
            <w:r>
              <w:rPr>
                <w:rFonts w:hint="default" w:ascii="Times New Roman" w:hAnsi="Times New Roman" w:cs="Times New Roman"/>
                <w:color w:val="000000"/>
                <w:szCs w:val="21"/>
              </w:rPr>
              <w:t>GB/T 6742-2007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496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szCs w:val="21"/>
              </w:rPr>
              <w:t>划格试验（划格间距1mm）</w:t>
            </w:r>
          </w:p>
        </w:tc>
        <w:tc>
          <w:tcPr>
            <w:tcW w:w="2552" w:type="dxa"/>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9286-1998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4961"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szCs w:val="21"/>
              </w:rPr>
              <w:t>铅笔硬度（擦伤）</w:t>
            </w:r>
          </w:p>
        </w:tc>
        <w:tc>
          <w:tcPr>
            <w:tcW w:w="255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6739-2006</w:t>
            </w:r>
          </w:p>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6739-2022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4961" w:type="dxa"/>
            <w:vAlign w:val="center"/>
          </w:tcPr>
          <w:p>
            <w:pPr>
              <w:spacing w:line="360" w:lineRule="auto"/>
              <w:jc w:val="center"/>
              <w:rPr>
                <w:rFonts w:hint="default" w:ascii="Times New Roman" w:hAnsi="Times New Roman" w:cs="Times New Roman"/>
                <w:szCs w:val="21"/>
              </w:rPr>
            </w:pPr>
            <w:r>
              <w:rPr>
                <w:rFonts w:hint="default" w:ascii="Times New Roman" w:hAnsi="Times New Roman" w:cs="Times New Roman"/>
                <w:szCs w:val="21"/>
              </w:rPr>
              <w:t>耐水性</w:t>
            </w:r>
          </w:p>
        </w:tc>
        <w:tc>
          <w:tcPr>
            <w:tcW w:w="255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rPr>
              <w:t>GB/T 1733 -1993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4961" w:type="dxa"/>
            <w:vAlign w:val="center"/>
          </w:tcPr>
          <w:p>
            <w:pPr>
              <w:spacing w:line="360" w:lineRule="auto"/>
              <w:jc w:val="center"/>
              <w:rPr>
                <w:rFonts w:hint="default" w:ascii="Times New Roman" w:hAnsi="Times New Roman" w:cs="Times New Roman"/>
                <w:szCs w:val="21"/>
              </w:rPr>
            </w:pPr>
            <w:r>
              <w:rPr>
                <w:rFonts w:hint="default" w:ascii="Times New Roman" w:hAnsi="Times New Roman" w:cs="Times New Roman"/>
                <w:szCs w:val="21"/>
              </w:rPr>
              <w:t>耐盐水性（3%NaCl溶液）</w:t>
            </w:r>
          </w:p>
        </w:tc>
        <w:tc>
          <w:tcPr>
            <w:tcW w:w="255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9274-1988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4961" w:type="dxa"/>
            <w:vAlign w:val="center"/>
          </w:tcPr>
          <w:p>
            <w:pPr>
              <w:spacing w:line="360" w:lineRule="auto"/>
              <w:jc w:val="center"/>
              <w:rPr>
                <w:rFonts w:hint="default" w:ascii="Times New Roman" w:hAnsi="Times New Roman" w:cs="Times New Roman"/>
                <w:szCs w:val="21"/>
              </w:rPr>
            </w:pPr>
            <w:r>
              <w:rPr>
                <w:rFonts w:hint="default" w:ascii="Times New Roman" w:hAnsi="Times New Roman" w:cs="Times New Roman"/>
                <w:szCs w:val="21"/>
              </w:rPr>
              <w:t>不挥发物含量</w:t>
            </w:r>
          </w:p>
        </w:tc>
        <w:tc>
          <w:tcPr>
            <w:tcW w:w="2552" w:type="dxa"/>
            <w:vAlign w:val="center"/>
          </w:tcPr>
          <w:p>
            <w:pPr>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1725-2007</w:t>
            </w:r>
          </w:p>
        </w:tc>
      </w:tr>
    </w:tbl>
    <w:p>
      <w:pPr>
        <w:adjustRightInd w:val="0"/>
        <w:snapToGrid w:val="0"/>
        <w:jc w:val="left"/>
        <w:rPr>
          <w:rFonts w:hint="default" w:ascii="Times New Roman" w:hAnsi="Times New Roman" w:cs="Times New Roman"/>
          <w:color w:val="000000"/>
          <w:szCs w:val="21"/>
        </w:rPr>
      </w:pP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pStyle w:val="11"/>
        <w:spacing w:line="440" w:lineRule="exact"/>
        <w:ind w:firstLine="420" w:firstLineChars="200"/>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注：1、木器涂料抽查时有害物质限量项目仅为受检样品标注为室内装饰装修用涂料时才进行检测。</w:t>
      </w:r>
    </w:p>
    <w:p>
      <w:pPr>
        <w:snapToGrid w:val="0"/>
        <w:spacing w:line="360" w:lineRule="auto"/>
        <w:ind w:firstLine="840" w:firstLineChars="400"/>
        <w:jc w:val="left"/>
        <w:rPr>
          <w:rFonts w:hint="default" w:ascii="Times New Roman" w:hAnsi="Times New Roman" w:cs="Times New Roman"/>
          <w:color w:val="000000"/>
          <w:szCs w:val="21"/>
        </w:rPr>
      </w:pPr>
      <w:r>
        <w:rPr>
          <w:rFonts w:hint="default" w:ascii="Times New Roman" w:hAnsi="Times New Roman" w:cs="Times New Roman"/>
          <w:color w:val="000000"/>
          <w:szCs w:val="21"/>
        </w:rPr>
        <w:t>2、耐黄变性项目的检测仅限于标称具有耐黄变等类似功能的产品。仅白色漆测加速泛黄性。</w:t>
      </w:r>
    </w:p>
    <w:p>
      <w:pPr>
        <w:spacing w:line="360" w:lineRule="auto"/>
        <w:ind w:firstLine="840" w:firstLineChars="400"/>
        <w:rPr>
          <w:rFonts w:hint="default" w:ascii="Times New Roman" w:hAnsi="Times New Roman" w:cs="Times New Roman"/>
          <w:color w:val="000000"/>
          <w:szCs w:val="21"/>
        </w:rPr>
      </w:pPr>
      <w:r>
        <w:rPr>
          <w:rFonts w:hint="default" w:ascii="Times New Roman" w:hAnsi="Times New Roman" w:cs="Times New Roman"/>
          <w:color w:val="000000"/>
          <w:szCs w:val="21"/>
        </w:rPr>
        <w:t>3、新标准实施前生产的产品按旧标准进行检验判定。</w:t>
      </w: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3.1 依据标准</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GB/T 9779-2015 复层建筑涂料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 18581-2009 室内装饰装修材料 溶剂型木器涂料中有害物质限量</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 18581-2020 木器涂料中有害物质限量</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 18582-2008室内装饰装修材料 内墙涂料中有害物质限量</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 18582-2020 建筑用墙面涂料中有害物质限量</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GB/T 23995-2009 室内装饰装修用溶剂型醇酸木器涂料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GB/T 23996-2009 室内装饰装修用溶剂型金属板涂料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GB/T 23997-2009 室内装饰装修用溶剂型聚氨酯木器涂料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GB/T 23998-2009 室内装饰装修用溶剂型硝基木器涂料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GB/T 23999-2009 室内装饰装修用水性木器涂料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 24410-2009  室内装饰装修材料 水性木器涂料中有害物质限量</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GB/T 25249-2010  氨基醇酸树脂涂料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GB/T 25251-2010  醇酸树脂涂料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GB/T 25252-2010  酚醛树脂防锈涂料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GB/T 25264-2010  溶剂型丙烯酸树脂涂料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GB/T 27806-2011  环氧沥青防腐涂料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2239-2012  环氧酯底漆</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2240-2012  潮（湿）气固化聚氨酯涂料（单组分）</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2245-2012  硝基铅笔漆</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2454-2014  溶剂型聚氨酯涂料（双组分）</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3362-2003  铝粉有机硅烘干耐热漆（双组分）</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3668-2020  富锌底漆</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3371-2012  氨基烘干绝缘漆</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3378-2022  涂料用稀释剂</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3792-2014  交联型氟树脂涂料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3829-2006  地坪涂料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4343-2012  水性多彩建筑涂料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4566-2013  环氧树脂底漆</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4758-2014 水性丙烯酸树脂涂料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HG/T 4761-2014 水性聚氨酯涂料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JG/T 24-2018   合成树脂乳液砂壁状建筑涂料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JG/T 26-2002   外墙无机建筑涂料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JG/T 224-2007  建筑用钢结构防腐涂料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JC/T 423-1991  水溶性内墙涂料</w:t>
      </w:r>
    </w:p>
    <w:p>
      <w:pPr>
        <w:pStyle w:val="2"/>
        <w:snapToGrid w:val="0"/>
        <w:spacing w:line="440" w:lineRule="exact"/>
        <w:ind w:firstLine="420"/>
        <w:rPr>
          <w:rFonts w:hint="default" w:ascii="Times New Roman" w:hAnsi="Times New Roman" w:cs="Times New Roman"/>
          <w:sz w:val="21"/>
          <w:szCs w:val="21"/>
        </w:rPr>
      </w:pPr>
      <w:r>
        <w:rPr>
          <w:rFonts w:hint="default" w:ascii="Times New Roman" w:hAnsi="Times New Roman" w:cs="Times New Roman"/>
          <w:sz w:val="21"/>
          <w:szCs w:val="21"/>
        </w:rPr>
        <w:t>JT/T 722-2008  公路桥梁钢结构防腐涂装技术条件</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未列出的</w:t>
      </w:r>
      <w:r>
        <w:rPr>
          <w:rFonts w:hint="default" w:ascii="Times New Roman" w:hAnsi="Times New Roman" w:cs="Times New Roman"/>
          <w:szCs w:val="21"/>
        </w:rPr>
        <w:t>的油漆涂料产品执行相应的国家产品标准。</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3.2 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FF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440" w:lineRule="exact"/>
        <w:jc w:val="center"/>
        <w:rPr>
          <w:rFonts w:hint="default" w:ascii="Times New Roman" w:hAnsi="Times New Roman" w:cs="Times New Roman"/>
          <w:szCs w:val="21"/>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w:t>
      </w:r>
      <w:bookmarkStart w:id="1" w:name="_GoBack"/>
      <w:bookmarkEnd w:id="1"/>
      <w:r>
        <w:rPr>
          <w:rFonts w:hint="default" w:ascii="Times New Roman" w:hAnsi="Times New Roman" w:cs="Times New Roman" w:eastAsiaTheme="minorEastAsia"/>
          <w:color w:val="000000"/>
          <w:szCs w:val="21"/>
        </w:rPr>
        <w:t>《贵州省市场监管局关于发布2022年版贵州省产品质量监督抽查实施细则（第二批）的公告</w:t>
      </w:r>
      <w:r>
        <w:rPr>
          <w:rFonts w:hint="default" w:ascii="Times New Roman" w:hAnsi="Times New Roman" w:cs="Times New Roman"/>
          <w:color w:val="000000"/>
          <w:szCs w:val="21"/>
        </w:rPr>
        <w:t>》中的《贵州省油漆、涂料产品质量监督抽查实施细则（2022年版）》。</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Arial">
    <w:altName w:val="Times New Roman"/>
    <w:panose1 w:val="020B0604020202020204"/>
    <w:charset w:val="00"/>
    <w:family w:val="swiss"/>
    <w:pitch w:val="default"/>
    <w:sig w:usb0="00000000" w:usb1="00000000" w:usb2="00000009" w:usb3="00000000" w:csb0="000001F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长城大标宋体">
    <w:panose1 w:val="02010609010101010101"/>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293512"/>
    </w:sdtPr>
    <w:sdtContent>
      <w:p>
        <w:pPr>
          <w:pStyle w:val="5"/>
          <w:jc w:val="center"/>
        </w:pPr>
        <w:r>
          <w:fldChar w:fldCharType="begin"/>
        </w:r>
        <w:r>
          <w:instrText xml:space="preserve"> PAGE   \* MERGEFORMAT </w:instrText>
        </w:r>
        <w:r>
          <w:fldChar w:fldCharType="separate"/>
        </w:r>
        <w:r>
          <w:rPr>
            <w:lang w:val="zh-CN"/>
          </w:rPr>
          <w:t>10</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D71D6"/>
    <w:rsid w:val="00014102"/>
    <w:rsid w:val="00014523"/>
    <w:rsid w:val="000172C5"/>
    <w:rsid w:val="000464FE"/>
    <w:rsid w:val="000873F4"/>
    <w:rsid w:val="000A3539"/>
    <w:rsid w:val="000A594C"/>
    <w:rsid w:val="00106A83"/>
    <w:rsid w:val="00123141"/>
    <w:rsid w:val="00142B90"/>
    <w:rsid w:val="00156B2B"/>
    <w:rsid w:val="001679F1"/>
    <w:rsid w:val="00176B8C"/>
    <w:rsid w:val="00181ABD"/>
    <w:rsid w:val="00187F58"/>
    <w:rsid w:val="00197503"/>
    <w:rsid w:val="001A1A83"/>
    <w:rsid w:val="001A6830"/>
    <w:rsid w:val="001B7E1B"/>
    <w:rsid w:val="00257CF7"/>
    <w:rsid w:val="00263B09"/>
    <w:rsid w:val="0027189F"/>
    <w:rsid w:val="002A2CEB"/>
    <w:rsid w:val="002C36DE"/>
    <w:rsid w:val="002E3BD5"/>
    <w:rsid w:val="003069C6"/>
    <w:rsid w:val="00315FA9"/>
    <w:rsid w:val="003243D1"/>
    <w:rsid w:val="003A1ADE"/>
    <w:rsid w:val="003A6A6C"/>
    <w:rsid w:val="003D01EE"/>
    <w:rsid w:val="003D4D72"/>
    <w:rsid w:val="004251B3"/>
    <w:rsid w:val="00431E0E"/>
    <w:rsid w:val="004374AC"/>
    <w:rsid w:val="0046266E"/>
    <w:rsid w:val="00486F76"/>
    <w:rsid w:val="004A6EFB"/>
    <w:rsid w:val="004C17C4"/>
    <w:rsid w:val="004D4BCF"/>
    <w:rsid w:val="00505BB2"/>
    <w:rsid w:val="00544763"/>
    <w:rsid w:val="005A49B6"/>
    <w:rsid w:val="005E325A"/>
    <w:rsid w:val="005E3DFC"/>
    <w:rsid w:val="005F7F2C"/>
    <w:rsid w:val="006128A7"/>
    <w:rsid w:val="006138EE"/>
    <w:rsid w:val="00667B94"/>
    <w:rsid w:val="0067022A"/>
    <w:rsid w:val="006A0F08"/>
    <w:rsid w:val="006B120B"/>
    <w:rsid w:val="006F045C"/>
    <w:rsid w:val="00701CCB"/>
    <w:rsid w:val="007266C6"/>
    <w:rsid w:val="00734AE0"/>
    <w:rsid w:val="0074586B"/>
    <w:rsid w:val="007529EE"/>
    <w:rsid w:val="007714C3"/>
    <w:rsid w:val="00772281"/>
    <w:rsid w:val="007A2152"/>
    <w:rsid w:val="007B3346"/>
    <w:rsid w:val="007D71D6"/>
    <w:rsid w:val="00801560"/>
    <w:rsid w:val="00804CCE"/>
    <w:rsid w:val="00817E8E"/>
    <w:rsid w:val="008241B8"/>
    <w:rsid w:val="00830639"/>
    <w:rsid w:val="00847F9F"/>
    <w:rsid w:val="0088105A"/>
    <w:rsid w:val="008A4869"/>
    <w:rsid w:val="008C3F11"/>
    <w:rsid w:val="008C44C4"/>
    <w:rsid w:val="00904CC8"/>
    <w:rsid w:val="00912CB6"/>
    <w:rsid w:val="00915DB4"/>
    <w:rsid w:val="00915DC8"/>
    <w:rsid w:val="00916168"/>
    <w:rsid w:val="00945C14"/>
    <w:rsid w:val="009472EC"/>
    <w:rsid w:val="00982AC5"/>
    <w:rsid w:val="009C53D1"/>
    <w:rsid w:val="009D6C7D"/>
    <w:rsid w:val="009E61C6"/>
    <w:rsid w:val="009F1822"/>
    <w:rsid w:val="00A152E4"/>
    <w:rsid w:val="00A44429"/>
    <w:rsid w:val="00A54EDA"/>
    <w:rsid w:val="00A576CC"/>
    <w:rsid w:val="00A67026"/>
    <w:rsid w:val="00A9035F"/>
    <w:rsid w:val="00AB66D1"/>
    <w:rsid w:val="00B363AA"/>
    <w:rsid w:val="00B41704"/>
    <w:rsid w:val="00B62423"/>
    <w:rsid w:val="00B75708"/>
    <w:rsid w:val="00B85BFA"/>
    <w:rsid w:val="00B948D4"/>
    <w:rsid w:val="00BA683E"/>
    <w:rsid w:val="00BD2037"/>
    <w:rsid w:val="00BE6031"/>
    <w:rsid w:val="00C14E01"/>
    <w:rsid w:val="00C304B7"/>
    <w:rsid w:val="00C31C28"/>
    <w:rsid w:val="00C507A7"/>
    <w:rsid w:val="00C55F0B"/>
    <w:rsid w:val="00C72096"/>
    <w:rsid w:val="00C85CF5"/>
    <w:rsid w:val="00CD76CC"/>
    <w:rsid w:val="00D0388E"/>
    <w:rsid w:val="00D06904"/>
    <w:rsid w:val="00D12888"/>
    <w:rsid w:val="00D20103"/>
    <w:rsid w:val="00D214B8"/>
    <w:rsid w:val="00D22346"/>
    <w:rsid w:val="00D31A4F"/>
    <w:rsid w:val="00D327EC"/>
    <w:rsid w:val="00D454B4"/>
    <w:rsid w:val="00D477A3"/>
    <w:rsid w:val="00D71497"/>
    <w:rsid w:val="00DB4010"/>
    <w:rsid w:val="00DB49EC"/>
    <w:rsid w:val="00DB6518"/>
    <w:rsid w:val="00DD5F00"/>
    <w:rsid w:val="00DD76B2"/>
    <w:rsid w:val="00E12D65"/>
    <w:rsid w:val="00E41BBD"/>
    <w:rsid w:val="00E560D9"/>
    <w:rsid w:val="00E643D0"/>
    <w:rsid w:val="00E91EE2"/>
    <w:rsid w:val="00E94F32"/>
    <w:rsid w:val="00E95E46"/>
    <w:rsid w:val="00EA0C7E"/>
    <w:rsid w:val="00ED05BE"/>
    <w:rsid w:val="00EF7CA4"/>
    <w:rsid w:val="00F0502E"/>
    <w:rsid w:val="00F31132"/>
    <w:rsid w:val="00F43626"/>
    <w:rsid w:val="00F45015"/>
    <w:rsid w:val="00F63335"/>
    <w:rsid w:val="00F675B8"/>
    <w:rsid w:val="00FE7658"/>
    <w:rsid w:val="3BF29288"/>
    <w:rsid w:val="A3F7FA0C"/>
    <w:rsid w:val="F7BBCB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360" w:lineRule="auto"/>
      <w:ind w:firstLine="480" w:firstLineChars="200"/>
    </w:pPr>
    <w:rPr>
      <w:rFonts w:ascii="宋体" w:hAnsi="宋体"/>
      <w:sz w:val="24"/>
      <w:szCs w:val="20"/>
    </w:rPr>
  </w:style>
  <w:style w:type="paragraph" w:styleId="3">
    <w:name w:val="Plain Text"/>
    <w:basedOn w:val="1"/>
    <w:link w:val="14"/>
    <w:qFormat/>
    <w:uiPriority w:val="99"/>
    <w:rPr>
      <w:rFonts w:ascii="宋体" w:hAnsi="Courier New" w:eastAsiaTheme="minorEastAsia" w:cstheme="minorBidi"/>
      <w:szCs w:val="22"/>
    </w:r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0">
    <w:name w:val="正文文本缩进 Char"/>
    <w:basedOn w:val="9"/>
    <w:link w:val="2"/>
    <w:qFormat/>
    <w:uiPriority w:val="0"/>
    <w:rPr>
      <w:rFonts w:ascii="宋体" w:hAnsi="宋体" w:eastAsia="宋体" w:cs="Times New Roman"/>
      <w:sz w:val="24"/>
      <w:szCs w:val="20"/>
    </w:rPr>
  </w:style>
  <w:style w:type="paragraph" w:customStyle="1" w:styleId="11">
    <w:name w:val="Default"/>
    <w:qFormat/>
    <w:uiPriority w:val="0"/>
    <w:pPr>
      <w:widowControl w:val="0"/>
      <w:autoSpaceDE w:val="0"/>
      <w:autoSpaceDN w:val="0"/>
    </w:pPr>
    <w:rPr>
      <w:rFonts w:hint="eastAsia" w:ascii="Arial" w:hAnsi="Arial" w:eastAsia="Arial" w:cs="Times New Roman"/>
      <w:color w:val="000000"/>
      <w:sz w:val="24"/>
      <w:lang w:val="en-US" w:eastAsia="zh-CN" w:bidi="ar-SA"/>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 w:type="character" w:customStyle="1" w:styleId="14">
    <w:name w:val="纯文本 Char"/>
    <w:link w:val="3"/>
    <w:qFormat/>
    <w:locked/>
    <w:uiPriority w:val="99"/>
    <w:rPr>
      <w:rFonts w:ascii="宋体" w:hAnsi="Courier New"/>
    </w:rPr>
  </w:style>
  <w:style w:type="character" w:customStyle="1" w:styleId="15">
    <w:name w:val="纯文本 Char1"/>
    <w:basedOn w:val="9"/>
    <w:semiHidden/>
    <w:qFormat/>
    <w:uiPriority w:val="99"/>
    <w:rPr>
      <w:rFonts w:ascii="宋体" w:hAnsi="Courier New" w:eastAsia="宋体" w:cs="Courier New"/>
      <w:szCs w:val="21"/>
    </w:rPr>
  </w:style>
  <w:style w:type="character" w:customStyle="1" w:styleId="16">
    <w:name w:val="批注框文本 Char"/>
    <w:basedOn w:val="9"/>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1143</Words>
  <Characters>6519</Characters>
  <Lines>54</Lines>
  <Paragraphs>15</Paragraphs>
  <TotalTime>0</TotalTime>
  <ScaleCrop>false</ScaleCrop>
  <LinksUpToDate>false</LinksUpToDate>
  <CharactersWithSpaces>7647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2023-05-05T16:18:00Z</dcterms:created>
  <dc:creator>雷鸣</dc:creator>
  <cp:lastModifiedBy>ysgz</cp:lastModifiedBy>
  <dcterms:modified xsi:type="dcterms:W3CDTF">2023-07-20T17:57:28Z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