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default" w:ascii="Times New Roman" w:hAnsi="Times New Roman" w:eastAsia="方正小标宋_GBK" w:cs="Times New Roman"/>
          <w:sz w:val="32"/>
          <w:szCs w:val="32"/>
        </w:rPr>
      </w:pPr>
      <w:bookmarkStart w:id="0" w:name="_GoBack"/>
      <w:r>
        <w:rPr>
          <w:rFonts w:hint="default" w:ascii="Times New Roman" w:hAnsi="Times New Roman" w:eastAsia="方正小标宋_GBK" w:cs="Times New Roman"/>
          <w:sz w:val="32"/>
          <w:szCs w:val="32"/>
        </w:rPr>
        <w:t>贵州省胶鞋产品质量监督抽查实施细则</w:t>
      </w:r>
    </w:p>
    <w:p>
      <w:pPr>
        <w:adjustRightInd w:val="0"/>
        <w:snapToGrid w:val="0"/>
        <w:spacing w:line="594" w:lineRule="exact"/>
        <w:jc w:val="center"/>
        <w:rPr>
          <w:rFonts w:hint="default" w:ascii="Times New Roman" w:hAnsi="Times New Roman" w:eastAsia="方正小标宋简体" w:cs="Times New Roman"/>
          <w:sz w:val="32"/>
          <w:szCs w:val="32"/>
        </w:rPr>
      </w:pPr>
      <w:r>
        <w:rPr>
          <w:rFonts w:hint="default" w:ascii="Times New Roman" w:hAnsi="Times New Roman" w:eastAsia="楷体_GB2312" w:cs="Times New Roman"/>
          <w:sz w:val="32"/>
          <w:szCs w:val="32"/>
        </w:rPr>
        <w:t>（2023年版）</w:t>
      </w:r>
    </w:p>
    <w:p>
      <w:pPr>
        <w:adjustRightInd w:val="0"/>
        <w:snapToGrid w:val="0"/>
        <w:spacing w:line="440" w:lineRule="exact"/>
        <w:rPr>
          <w:rFonts w:hint="default" w:ascii="Times New Roman" w:hAnsi="Times New Roman" w:eastAsia="黑体" w:cs="Times New Roman"/>
          <w:szCs w:val="21"/>
        </w:rPr>
      </w:pPr>
      <w:r>
        <w:rPr>
          <w:rFonts w:hint="default" w:ascii="Times New Roman" w:hAnsi="Times New Roman" w:eastAsia="黑体" w:cs="Times New Roman"/>
          <w:szCs w:val="21"/>
        </w:rPr>
        <w:t>1 抽样方法</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每批次抽取样品</w:t>
      </w:r>
      <w:r>
        <w:rPr>
          <w:rFonts w:hint="default" w:ascii="Times New Roman" w:hAnsi="Times New Roman" w:cs="Times New Roman"/>
          <w:szCs w:val="21"/>
        </w:rPr>
        <w:t>3</w:t>
      </w:r>
      <w:r>
        <w:rPr>
          <w:rFonts w:hint="default" w:ascii="Times New Roman" w:hAnsi="Times New Roman" w:cs="Times New Roman"/>
          <w:szCs w:val="21"/>
        </w:rPr>
        <w:t>双，其中</w:t>
      </w:r>
      <w:r>
        <w:rPr>
          <w:rFonts w:hint="default" w:ascii="Times New Roman" w:hAnsi="Times New Roman" w:cs="Times New Roman"/>
          <w:szCs w:val="21"/>
        </w:rPr>
        <w:t>2</w:t>
      </w:r>
      <w:r>
        <w:rPr>
          <w:rFonts w:hint="default" w:ascii="Times New Roman" w:hAnsi="Times New Roman" w:cs="Times New Roman"/>
          <w:szCs w:val="21"/>
        </w:rPr>
        <w:t>双作为检验样品，1双作为备用样品。</w:t>
      </w:r>
    </w:p>
    <w:p>
      <w:pPr>
        <w:adjustRightInd w:val="0"/>
        <w:snapToGrid w:val="0"/>
        <w:spacing w:line="440" w:lineRule="exact"/>
        <w:rPr>
          <w:rFonts w:hint="default" w:ascii="Times New Roman" w:hAnsi="Times New Roman" w:cs="Times New Roman"/>
          <w:szCs w:val="21"/>
        </w:rPr>
      </w:pPr>
    </w:p>
    <w:p>
      <w:pPr>
        <w:adjustRightInd w:val="0"/>
        <w:snapToGrid w:val="0"/>
        <w:spacing w:line="440" w:lineRule="exact"/>
        <w:rPr>
          <w:rFonts w:hint="default" w:ascii="Times New Roman" w:hAnsi="Times New Roman" w:eastAsia="黑体" w:cs="Times New Roman"/>
          <w:szCs w:val="21"/>
        </w:rPr>
      </w:pPr>
      <w:r>
        <w:rPr>
          <w:rFonts w:hint="default" w:ascii="Times New Roman" w:hAnsi="Times New Roman" w:eastAsia="黑体" w:cs="Times New Roman"/>
          <w:szCs w:val="21"/>
        </w:rPr>
        <w:t>2 检验依据</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w:t>
      </w:r>
      <w:r>
        <w:rPr>
          <w:rFonts w:hint="default" w:ascii="Times New Roman" w:hAnsi="Times New Roman" w:cs="Times New Roman"/>
          <w:szCs w:val="21"/>
        </w:rPr>
        <w:t>1</w:t>
      </w:r>
      <w:r>
        <w:rPr>
          <w:rFonts w:hint="default" w:ascii="Times New Roman" w:hAnsi="Times New Roman" w:cs="Times New Roman"/>
          <w:szCs w:val="21"/>
        </w:rPr>
        <w:t xml:space="preserve"> 普通运动鞋</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571"/>
        <w:gridCol w:w="2554"/>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7" w:type="pct"/>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248" w:type="pct"/>
            <w:gridSpan w:val="2"/>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135" w:type="pct"/>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外底拉伸强度</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外底拉断伸长率</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外底磨耗量</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1689-1998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外底硬度</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围条与鞋帮粘合强度</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6</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整鞋屈挠性能</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HG/T 2871-2008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外底厚度</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HG/T 2017-2011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pH值</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游离甲醛</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w:t>
            </w:r>
          </w:p>
        </w:tc>
        <w:tc>
          <w:tcPr>
            <w:tcW w:w="856" w:type="pct"/>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可萃取的重金属</w:t>
            </w:r>
          </w:p>
        </w:tc>
        <w:tc>
          <w:tcPr>
            <w:tcW w:w="139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铅</w:t>
            </w:r>
          </w:p>
        </w:tc>
        <w:tc>
          <w:tcPr>
            <w:tcW w:w="2135" w:type="pct"/>
            <w:vMerge w:val="restar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rFonts w:hint="default" w:ascii="Times New Roman" w:hAnsi="Times New Roman" w:cs="Times New Roman"/>
                <w:szCs w:val="21"/>
              </w:rPr>
            </w:pPr>
          </w:p>
        </w:tc>
        <w:tc>
          <w:tcPr>
            <w:tcW w:w="856" w:type="pct"/>
            <w:vMerge w:val="continue"/>
            <w:vAlign w:val="center"/>
          </w:tcPr>
          <w:p>
            <w:pPr>
              <w:adjustRightInd w:val="0"/>
              <w:snapToGrid w:val="0"/>
              <w:jc w:val="center"/>
              <w:rPr>
                <w:rFonts w:hint="default" w:ascii="Times New Roman" w:hAnsi="Times New Roman" w:cs="Times New Roman"/>
                <w:szCs w:val="21"/>
              </w:rPr>
            </w:pPr>
          </w:p>
        </w:tc>
        <w:tc>
          <w:tcPr>
            <w:tcW w:w="139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镉</w:t>
            </w:r>
          </w:p>
        </w:tc>
        <w:tc>
          <w:tcPr>
            <w:tcW w:w="2135" w:type="pct"/>
            <w:vMerge w:val="continue"/>
            <w:vAlign w:val="center"/>
          </w:tcPr>
          <w:p>
            <w:pPr>
              <w:spacing w:line="32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rFonts w:hint="default" w:ascii="Times New Roman" w:hAnsi="Times New Roman" w:cs="Times New Roman"/>
                <w:szCs w:val="21"/>
              </w:rPr>
            </w:pPr>
          </w:p>
        </w:tc>
        <w:tc>
          <w:tcPr>
            <w:tcW w:w="856" w:type="pct"/>
            <w:vMerge w:val="continue"/>
            <w:vAlign w:val="center"/>
          </w:tcPr>
          <w:p>
            <w:pPr>
              <w:adjustRightInd w:val="0"/>
              <w:snapToGrid w:val="0"/>
              <w:jc w:val="center"/>
              <w:rPr>
                <w:rFonts w:hint="default" w:ascii="Times New Roman" w:hAnsi="Times New Roman" w:cs="Times New Roman"/>
                <w:szCs w:val="21"/>
              </w:rPr>
            </w:pPr>
          </w:p>
        </w:tc>
        <w:tc>
          <w:tcPr>
            <w:tcW w:w="139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砷</w:t>
            </w:r>
          </w:p>
        </w:tc>
        <w:tc>
          <w:tcPr>
            <w:tcW w:w="2135" w:type="pct"/>
            <w:vMerge w:val="continue"/>
            <w:vAlign w:val="center"/>
          </w:tcPr>
          <w:p>
            <w:pPr>
              <w:spacing w:line="32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11</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可分解有害芳香胺染料</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12</w:t>
            </w:r>
          </w:p>
        </w:tc>
        <w:tc>
          <w:tcPr>
            <w:tcW w:w="856" w:type="pct"/>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含氯酚</w:t>
            </w:r>
          </w:p>
        </w:tc>
        <w:tc>
          <w:tcPr>
            <w:tcW w:w="139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五氯苯酚</w:t>
            </w:r>
          </w:p>
        </w:tc>
        <w:tc>
          <w:tcPr>
            <w:tcW w:w="2135" w:type="pct"/>
            <w:vMerge w:val="restar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rFonts w:hint="default" w:ascii="Times New Roman" w:hAnsi="Times New Roman" w:cs="Times New Roman"/>
                <w:szCs w:val="21"/>
              </w:rPr>
            </w:pPr>
          </w:p>
        </w:tc>
        <w:tc>
          <w:tcPr>
            <w:tcW w:w="856" w:type="pct"/>
            <w:vMerge w:val="continue"/>
            <w:vAlign w:val="center"/>
          </w:tcPr>
          <w:p>
            <w:pPr>
              <w:adjustRightInd w:val="0"/>
              <w:snapToGrid w:val="0"/>
              <w:jc w:val="center"/>
              <w:rPr>
                <w:rFonts w:hint="default" w:ascii="Times New Roman" w:hAnsi="Times New Roman" w:cs="Times New Roman"/>
                <w:szCs w:val="21"/>
              </w:rPr>
            </w:pPr>
          </w:p>
        </w:tc>
        <w:tc>
          <w:tcPr>
            <w:tcW w:w="1392"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2,3,5,6-四氯苯酚</w:t>
            </w:r>
          </w:p>
        </w:tc>
        <w:tc>
          <w:tcPr>
            <w:tcW w:w="2135" w:type="pct"/>
            <w:vMerge w:val="continue"/>
            <w:vAlign w:val="center"/>
          </w:tcPr>
          <w:p>
            <w:pPr>
              <w:spacing w:line="32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13</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N-亚硝基胺</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24153-2009</w:t>
            </w:r>
          </w:p>
        </w:tc>
      </w:tr>
    </w:tbl>
    <w:p>
      <w:pPr>
        <w:snapToGrid w:val="0"/>
        <w:spacing w:line="440" w:lineRule="exact"/>
        <w:jc w:val="center"/>
        <w:rPr>
          <w:rFonts w:hint="default" w:ascii="Times New Roman" w:hAnsi="Times New Roman" w:cs="Times New Roman"/>
          <w:szCs w:val="21"/>
        </w:rPr>
      </w:pP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w:t>
      </w:r>
      <w:r>
        <w:rPr>
          <w:rFonts w:hint="default" w:ascii="Times New Roman" w:hAnsi="Times New Roman" w:cs="Times New Roman"/>
          <w:szCs w:val="21"/>
        </w:rPr>
        <w:t>2</w:t>
      </w:r>
      <w:r>
        <w:rPr>
          <w:rFonts w:hint="default" w:ascii="Times New Roman" w:hAnsi="Times New Roman" w:cs="Times New Roman"/>
          <w:szCs w:val="21"/>
        </w:rPr>
        <w:t>轻便胶鞋、劳动鞋</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811"/>
        <w:gridCol w:w="2314"/>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248" w:type="pct"/>
            <w:gridSpan w:val="2"/>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135" w:type="pct"/>
            <w:vAlign w:val="center"/>
          </w:tcPr>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外底拉伸强度</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外底拉断伸长率</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外底磨耗量</w:t>
            </w:r>
            <w:r>
              <w:rPr>
                <w:rFonts w:hint="default" w:ascii="Times New Roman" w:hAnsi="Times New Roman" w:cs="Times New Roman"/>
                <w:szCs w:val="21"/>
              </w:rPr>
              <w:t>/磨耗体积</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1689-1998</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1689-2014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外底硬度</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外底厚度</w:t>
            </w:r>
          </w:p>
        </w:tc>
        <w:tc>
          <w:tcPr>
            <w:tcW w:w="2135"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6</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围条与鞋帮粘合强度</w:t>
            </w:r>
            <w:r>
              <w:rPr>
                <w:rFonts w:hint="default" w:ascii="Times New Roman" w:hAnsi="Times New Roman" w:cs="Times New Roman"/>
                <w:szCs w:val="21"/>
              </w:rPr>
              <w:t>/</w:t>
            </w:r>
            <w:r>
              <w:rPr>
                <w:rFonts w:hint="default" w:ascii="Times New Roman" w:hAnsi="Times New Roman" w:cs="Times New Roman"/>
                <w:szCs w:val="21"/>
              </w:rPr>
              <w:t>粘合强度</w:t>
            </w:r>
          </w:p>
        </w:tc>
        <w:tc>
          <w:tcPr>
            <w:tcW w:w="2135"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szCs w:val="21"/>
              </w:rPr>
              <w:t>GB/T 532-2008</w:t>
            </w:r>
            <w:r>
              <w:rPr>
                <w:rFonts w:hint="default" w:ascii="Times New Roman" w:hAnsi="Times New Roman" w:cs="Times New Roman"/>
              </w:rPr>
              <w:t xml:space="preserve"> </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HG/T 4805-2015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pH值</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游离甲醛</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987" w:type="pct"/>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可萃取的重金属</w:t>
            </w:r>
          </w:p>
        </w:tc>
        <w:tc>
          <w:tcPr>
            <w:tcW w:w="1261"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铅</w:t>
            </w:r>
          </w:p>
        </w:tc>
        <w:tc>
          <w:tcPr>
            <w:tcW w:w="2135" w:type="pct"/>
            <w:vMerge w:val="restar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rFonts w:hint="default" w:ascii="Times New Roman" w:hAnsi="Times New Roman" w:cs="Times New Roman"/>
                <w:szCs w:val="21"/>
              </w:rPr>
            </w:pPr>
          </w:p>
        </w:tc>
        <w:tc>
          <w:tcPr>
            <w:tcW w:w="987" w:type="pct"/>
            <w:vMerge w:val="continue"/>
            <w:vAlign w:val="center"/>
          </w:tcPr>
          <w:p>
            <w:pPr>
              <w:adjustRightInd w:val="0"/>
              <w:snapToGrid w:val="0"/>
              <w:jc w:val="center"/>
              <w:rPr>
                <w:rFonts w:hint="default" w:ascii="Times New Roman" w:hAnsi="Times New Roman" w:cs="Times New Roman"/>
                <w:szCs w:val="21"/>
              </w:rPr>
            </w:pPr>
          </w:p>
        </w:tc>
        <w:tc>
          <w:tcPr>
            <w:tcW w:w="1261"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镉</w:t>
            </w:r>
          </w:p>
        </w:tc>
        <w:tc>
          <w:tcPr>
            <w:tcW w:w="2135" w:type="pct"/>
            <w:vMerge w:val="continue"/>
            <w:vAlign w:val="center"/>
          </w:tcPr>
          <w:p>
            <w:pPr>
              <w:spacing w:line="32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rFonts w:hint="default" w:ascii="Times New Roman" w:hAnsi="Times New Roman" w:cs="Times New Roman"/>
                <w:szCs w:val="21"/>
              </w:rPr>
            </w:pPr>
          </w:p>
        </w:tc>
        <w:tc>
          <w:tcPr>
            <w:tcW w:w="987" w:type="pct"/>
            <w:vMerge w:val="continue"/>
            <w:vAlign w:val="center"/>
          </w:tcPr>
          <w:p>
            <w:pPr>
              <w:adjustRightInd w:val="0"/>
              <w:snapToGrid w:val="0"/>
              <w:jc w:val="center"/>
              <w:rPr>
                <w:rFonts w:hint="default" w:ascii="Times New Roman" w:hAnsi="Times New Roman" w:cs="Times New Roman"/>
                <w:szCs w:val="21"/>
              </w:rPr>
            </w:pPr>
          </w:p>
        </w:tc>
        <w:tc>
          <w:tcPr>
            <w:tcW w:w="1261"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砷</w:t>
            </w:r>
          </w:p>
        </w:tc>
        <w:tc>
          <w:tcPr>
            <w:tcW w:w="2135" w:type="pct"/>
            <w:vMerge w:val="continue"/>
            <w:vAlign w:val="center"/>
          </w:tcPr>
          <w:p>
            <w:pPr>
              <w:spacing w:line="32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r>
              <w:rPr>
                <w:rFonts w:hint="default" w:ascii="Times New Roman" w:hAnsi="Times New Roman" w:cs="Times New Roman"/>
                <w:szCs w:val="21"/>
              </w:rPr>
              <w:t>0</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可分解有害芳香胺染料</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r>
              <w:rPr>
                <w:rFonts w:hint="default" w:ascii="Times New Roman" w:hAnsi="Times New Roman" w:cs="Times New Roman"/>
                <w:szCs w:val="21"/>
              </w:rPr>
              <w:t>1</w:t>
            </w:r>
          </w:p>
        </w:tc>
        <w:tc>
          <w:tcPr>
            <w:tcW w:w="987" w:type="pct"/>
            <w:vMerge w:val="restar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含氯酚</w:t>
            </w:r>
          </w:p>
        </w:tc>
        <w:tc>
          <w:tcPr>
            <w:tcW w:w="1261"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五氯苯酚</w:t>
            </w:r>
          </w:p>
        </w:tc>
        <w:tc>
          <w:tcPr>
            <w:tcW w:w="2135" w:type="pct"/>
            <w:vMerge w:val="restar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rFonts w:hint="default" w:ascii="Times New Roman" w:hAnsi="Times New Roman" w:cs="Times New Roman"/>
                <w:szCs w:val="21"/>
              </w:rPr>
            </w:pPr>
          </w:p>
        </w:tc>
        <w:tc>
          <w:tcPr>
            <w:tcW w:w="987" w:type="pct"/>
            <w:vMerge w:val="continue"/>
            <w:vAlign w:val="center"/>
          </w:tcPr>
          <w:p>
            <w:pPr>
              <w:adjustRightInd w:val="0"/>
              <w:snapToGrid w:val="0"/>
              <w:jc w:val="center"/>
              <w:rPr>
                <w:rFonts w:hint="default" w:ascii="Times New Roman" w:hAnsi="Times New Roman" w:cs="Times New Roman"/>
                <w:szCs w:val="21"/>
              </w:rPr>
            </w:pPr>
          </w:p>
        </w:tc>
        <w:tc>
          <w:tcPr>
            <w:tcW w:w="1261"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2,3,5,6-四氯苯酚</w:t>
            </w:r>
          </w:p>
        </w:tc>
        <w:tc>
          <w:tcPr>
            <w:tcW w:w="2135" w:type="pct"/>
            <w:vMerge w:val="continue"/>
            <w:vAlign w:val="center"/>
          </w:tcPr>
          <w:p>
            <w:pPr>
              <w:spacing w:line="32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w:t>
            </w:r>
            <w:r>
              <w:rPr>
                <w:rFonts w:hint="default" w:ascii="Times New Roman" w:hAnsi="Times New Roman" w:cs="Times New Roman"/>
                <w:szCs w:val="21"/>
              </w:rPr>
              <w:t>2</w:t>
            </w:r>
          </w:p>
        </w:tc>
        <w:tc>
          <w:tcPr>
            <w:tcW w:w="2248" w:type="pct"/>
            <w:gridSpan w:val="2"/>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N-亚硝基胺</w:t>
            </w:r>
          </w:p>
        </w:tc>
        <w:tc>
          <w:tcPr>
            <w:tcW w:w="2135" w:type="pct"/>
            <w:vAlign w:val="center"/>
          </w:tcPr>
          <w:p>
            <w:pPr>
              <w:spacing w:line="320" w:lineRule="exact"/>
              <w:jc w:val="center"/>
              <w:rPr>
                <w:rFonts w:hint="default" w:ascii="Times New Roman" w:hAnsi="Times New Roman" w:cs="Times New Roman"/>
                <w:szCs w:val="21"/>
              </w:rPr>
            </w:pPr>
            <w:r>
              <w:rPr>
                <w:rFonts w:hint="default" w:ascii="Times New Roman" w:hAnsi="Times New Roman" w:cs="Times New Roman"/>
                <w:szCs w:val="21"/>
              </w:rPr>
              <w:t>GB/T 24153-2009</w:t>
            </w:r>
          </w:p>
        </w:tc>
      </w:tr>
    </w:tbl>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hint="default" w:ascii="Times New Roman" w:hAnsi="Times New Roman" w:eastAsia="黑体" w:cs="Times New Roman"/>
          <w:szCs w:val="21"/>
        </w:rPr>
      </w:pPr>
      <w:r>
        <w:rPr>
          <w:rFonts w:hint="default" w:ascii="Times New Roman" w:hAnsi="Times New Roman" w:eastAsia="黑体" w:cs="Times New Roman"/>
          <w:szCs w:val="21"/>
        </w:rPr>
        <w:t>3 判定规则</w:t>
      </w:r>
    </w:p>
    <w:p>
      <w:pPr>
        <w:adjustRightInd w:val="0"/>
        <w:snapToGrid w:val="0"/>
        <w:spacing w:line="440" w:lineRule="exact"/>
        <w:rPr>
          <w:rFonts w:hint="default" w:ascii="Times New Roman" w:hAnsi="Times New Roman" w:cs="Times New Roman"/>
          <w:szCs w:val="21"/>
        </w:rPr>
      </w:pPr>
      <w:r>
        <w:rPr>
          <w:rFonts w:hint="default" w:ascii="Times New Roman" w:hAnsi="Times New Roman" w:cs="Times New Roman"/>
          <w:szCs w:val="21"/>
        </w:rPr>
        <w:t>3.1依据标准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GB 25038-2010 </w:t>
      </w:r>
      <w:r>
        <w:rPr>
          <w:rFonts w:hint="default" w:ascii="Times New Roman" w:hAnsi="Times New Roman" w:cs="Times New Roman"/>
          <w:szCs w:val="21"/>
        </w:rPr>
        <w:t xml:space="preserve">  </w:t>
      </w:r>
      <w:r>
        <w:rPr>
          <w:rFonts w:hint="default" w:ascii="Times New Roman" w:hAnsi="Times New Roman" w:cs="Times New Roman"/>
          <w:szCs w:val="21"/>
        </w:rPr>
        <w:t>胶鞋健康安全技术规范</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HG/T 2017-2011 </w:t>
      </w:r>
      <w:r>
        <w:rPr>
          <w:rFonts w:hint="default" w:ascii="Times New Roman" w:hAnsi="Times New Roman" w:cs="Times New Roman"/>
          <w:szCs w:val="21"/>
        </w:rPr>
        <w:t xml:space="preserve"> </w:t>
      </w:r>
      <w:r>
        <w:rPr>
          <w:rFonts w:hint="default" w:ascii="Times New Roman" w:hAnsi="Times New Roman" w:cs="Times New Roman"/>
          <w:szCs w:val="21"/>
        </w:rPr>
        <w:t>普通运动鞋</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HG/T 2018-2014 </w:t>
      </w:r>
      <w:r>
        <w:rPr>
          <w:rFonts w:hint="default" w:ascii="Times New Roman" w:hAnsi="Times New Roman" w:cs="Times New Roman"/>
          <w:szCs w:val="21"/>
        </w:rPr>
        <w:t xml:space="preserve"> </w:t>
      </w:r>
      <w:r>
        <w:rPr>
          <w:rFonts w:hint="default" w:ascii="Times New Roman" w:hAnsi="Times New Roman" w:cs="Times New Roman"/>
          <w:szCs w:val="21"/>
        </w:rPr>
        <w:t>轻便胶鞋</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HG/T 2495-2020</w:t>
      </w:r>
      <w:r>
        <w:rPr>
          <w:rFonts w:hint="default" w:ascii="Times New Roman" w:hAnsi="Times New Roman" w:cs="Times New Roman"/>
          <w:szCs w:val="21"/>
        </w:rPr>
        <w:t xml:space="preserve"> </w:t>
      </w:r>
      <w:r>
        <w:rPr>
          <w:rFonts w:hint="default" w:ascii="Times New Roman" w:hAnsi="Times New Roman" w:cs="Times New Roman"/>
          <w:szCs w:val="21"/>
        </w:rPr>
        <w:t xml:space="preserve"> 劳动鞋</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HG/T 2495-2007 </w:t>
      </w:r>
      <w:r>
        <w:rPr>
          <w:rFonts w:hint="default" w:ascii="Times New Roman" w:hAnsi="Times New Roman" w:cs="Times New Roman"/>
          <w:szCs w:val="21"/>
        </w:rPr>
        <w:t xml:space="preserve"> </w:t>
      </w:r>
      <w:r>
        <w:rPr>
          <w:rFonts w:hint="default" w:ascii="Times New Roman" w:hAnsi="Times New Roman" w:cs="Times New Roman"/>
          <w:szCs w:val="21"/>
        </w:rPr>
        <w:t>劳动鞋</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现行有效的企业标准、团体标准、地方标准及产品明示质量要求</w:t>
      </w:r>
    </w:p>
    <w:p>
      <w:pPr>
        <w:adjustRightInd w:val="0"/>
        <w:snapToGrid w:val="0"/>
        <w:spacing w:line="440" w:lineRule="exact"/>
        <w:rPr>
          <w:rFonts w:hint="default" w:ascii="Times New Roman" w:hAnsi="Times New Roman" w:cs="Times New Roman"/>
          <w:szCs w:val="21"/>
        </w:rPr>
      </w:pPr>
      <w:r>
        <w:rPr>
          <w:rFonts w:hint="default" w:ascii="Times New Roman" w:hAnsi="Times New Roman" w:cs="Times New Roman"/>
          <w:szCs w:val="21"/>
        </w:rPr>
        <w:t>3.2判定原则</w:t>
      </w:r>
    </w:p>
    <w:p>
      <w:pPr>
        <w:adjustRightInd w:val="0"/>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若被检产品明示的质量要求缺少本细则中检验项目依据的推荐性标准要求时，该项目不参与判定。</w:t>
      </w:r>
    </w:p>
    <w:p>
      <w:pPr>
        <w:adjustRightInd w:val="0"/>
        <w:snapToGrid w:val="0"/>
        <w:spacing w:line="440" w:lineRule="exact"/>
        <w:ind w:firstLine="417" w:firstLineChars="199"/>
        <w:rPr>
          <w:rFonts w:hint="default" w:ascii="Times New Roman" w:hAnsi="Times New Roman" w:cs="Times New Roman"/>
          <w:szCs w:val="21"/>
        </w:rPr>
      </w:pPr>
    </w:p>
    <w:p>
      <w:pPr>
        <w:spacing w:line="440" w:lineRule="exact"/>
        <w:rPr>
          <w:rFonts w:hint="default" w:ascii="Times New Roman" w:hAnsi="Times New Roman" w:eastAsia="黑体" w:cs="Times New Roman"/>
          <w:szCs w:val="21"/>
        </w:rPr>
      </w:pPr>
      <w:r>
        <w:rPr>
          <w:rFonts w:hint="default" w:ascii="Times New Roman" w:hAnsi="Times New Roman" w:eastAsia="黑体" w:cs="Times New Roman"/>
          <w:szCs w:val="21"/>
        </w:rPr>
        <w:t xml:space="preserve">4 </w:t>
      </w:r>
      <w:r>
        <w:rPr>
          <w:rFonts w:hint="default" w:ascii="Times New Roman" w:hAnsi="Times New Roman" w:eastAsia="黑体" w:cs="Times New Roman"/>
          <w:szCs w:val="21"/>
        </w:rPr>
        <w:t>附则</w:t>
      </w:r>
    </w:p>
    <w:p>
      <w:pPr>
        <w:spacing w:line="440" w:lineRule="exact"/>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本细则代替《贵州省市场监管局关于发布2022年版贵州省产品质量监督抽查实施细则（第二批）的公告》中的《贵州省胶鞋产品质量监督抽查实施细则（2022版）》。</w:t>
      </w:r>
    </w:p>
    <w:p>
      <w:pPr>
        <w:adjustRightInd w:val="0"/>
        <w:snapToGrid w:val="0"/>
        <w:spacing w:line="440" w:lineRule="exact"/>
        <w:ind w:firstLine="417" w:firstLineChars="199"/>
        <w:rPr>
          <w:rFonts w:hint="default" w:ascii="Times New Roman" w:hAnsi="Times New Roman" w:cs="Times New Roman"/>
          <w:szCs w:val="21"/>
        </w:rPr>
      </w:pPr>
    </w:p>
    <w:bookmarkEnd w:id="0"/>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67102"/>
    <w:rsid w:val="000724E0"/>
    <w:rsid w:val="00081CBD"/>
    <w:rsid w:val="000976DE"/>
    <w:rsid w:val="000D4520"/>
    <w:rsid w:val="0011126F"/>
    <w:rsid w:val="00120E56"/>
    <w:rsid w:val="00121AD2"/>
    <w:rsid w:val="00133CE4"/>
    <w:rsid w:val="00160226"/>
    <w:rsid w:val="00160AC0"/>
    <w:rsid w:val="00172A27"/>
    <w:rsid w:val="001752B3"/>
    <w:rsid w:val="0018045F"/>
    <w:rsid w:val="001809DD"/>
    <w:rsid w:val="00181027"/>
    <w:rsid w:val="001B1B80"/>
    <w:rsid w:val="001C3716"/>
    <w:rsid w:val="001C5B9E"/>
    <w:rsid w:val="001E2A58"/>
    <w:rsid w:val="001E5FDD"/>
    <w:rsid w:val="001F3B67"/>
    <w:rsid w:val="00200F7E"/>
    <w:rsid w:val="00204381"/>
    <w:rsid w:val="00225A77"/>
    <w:rsid w:val="00232530"/>
    <w:rsid w:val="00253624"/>
    <w:rsid w:val="00271173"/>
    <w:rsid w:val="002813F3"/>
    <w:rsid w:val="00283868"/>
    <w:rsid w:val="002A0EB6"/>
    <w:rsid w:val="002C427E"/>
    <w:rsid w:val="002D7664"/>
    <w:rsid w:val="002D7F8A"/>
    <w:rsid w:val="002E0D1D"/>
    <w:rsid w:val="002E31EC"/>
    <w:rsid w:val="002E54BA"/>
    <w:rsid w:val="00302CE5"/>
    <w:rsid w:val="00315F5D"/>
    <w:rsid w:val="003203A3"/>
    <w:rsid w:val="00365CBE"/>
    <w:rsid w:val="00370478"/>
    <w:rsid w:val="003846D6"/>
    <w:rsid w:val="003A7D30"/>
    <w:rsid w:val="003B2104"/>
    <w:rsid w:val="003B6032"/>
    <w:rsid w:val="003C388C"/>
    <w:rsid w:val="003D5B53"/>
    <w:rsid w:val="003E61BF"/>
    <w:rsid w:val="003F3CB0"/>
    <w:rsid w:val="003F61BC"/>
    <w:rsid w:val="00403495"/>
    <w:rsid w:val="004104AC"/>
    <w:rsid w:val="004360C9"/>
    <w:rsid w:val="00445E86"/>
    <w:rsid w:val="00457AD3"/>
    <w:rsid w:val="00474E04"/>
    <w:rsid w:val="004C5716"/>
    <w:rsid w:val="004D0C5A"/>
    <w:rsid w:val="004D1178"/>
    <w:rsid w:val="004D6938"/>
    <w:rsid w:val="004E1396"/>
    <w:rsid w:val="004E17A6"/>
    <w:rsid w:val="004F6A1B"/>
    <w:rsid w:val="005059B8"/>
    <w:rsid w:val="005246DF"/>
    <w:rsid w:val="0052772B"/>
    <w:rsid w:val="00532956"/>
    <w:rsid w:val="00532C7D"/>
    <w:rsid w:val="005547B9"/>
    <w:rsid w:val="00563EBC"/>
    <w:rsid w:val="005B2B74"/>
    <w:rsid w:val="005F410D"/>
    <w:rsid w:val="0061401E"/>
    <w:rsid w:val="00653ACE"/>
    <w:rsid w:val="0068044B"/>
    <w:rsid w:val="00683D59"/>
    <w:rsid w:val="00686C1D"/>
    <w:rsid w:val="006C39AE"/>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7B3B70"/>
    <w:rsid w:val="00847CA2"/>
    <w:rsid w:val="00854A39"/>
    <w:rsid w:val="00857E92"/>
    <w:rsid w:val="00885E49"/>
    <w:rsid w:val="00895BEA"/>
    <w:rsid w:val="008A3497"/>
    <w:rsid w:val="008A784B"/>
    <w:rsid w:val="008C2891"/>
    <w:rsid w:val="00917A54"/>
    <w:rsid w:val="00920531"/>
    <w:rsid w:val="00947017"/>
    <w:rsid w:val="009508C0"/>
    <w:rsid w:val="009672B3"/>
    <w:rsid w:val="00983208"/>
    <w:rsid w:val="00986DAA"/>
    <w:rsid w:val="009C0FEB"/>
    <w:rsid w:val="009E1DB3"/>
    <w:rsid w:val="009F79F0"/>
    <w:rsid w:val="00A01D94"/>
    <w:rsid w:val="00A12535"/>
    <w:rsid w:val="00A14555"/>
    <w:rsid w:val="00A23744"/>
    <w:rsid w:val="00A4025E"/>
    <w:rsid w:val="00A43553"/>
    <w:rsid w:val="00A47A81"/>
    <w:rsid w:val="00A53F64"/>
    <w:rsid w:val="00A82E3B"/>
    <w:rsid w:val="00A85372"/>
    <w:rsid w:val="00A92655"/>
    <w:rsid w:val="00A96C53"/>
    <w:rsid w:val="00AA32FA"/>
    <w:rsid w:val="00AB58F6"/>
    <w:rsid w:val="00AB7EC8"/>
    <w:rsid w:val="00AC5391"/>
    <w:rsid w:val="00AD4B7A"/>
    <w:rsid w:val="00AE1D84"/>
    <w:rsid w:val="00AF22EF"/>
    <w:rsid w:val="00AF3D2A"/>
    <w:rsid w:val="00B023F6"/>
    <w:rsid w:val="00B22E26"/>
    <w:rsid w:val="00B23213"/>
    <w:rsid w:val="00B23618"/>
    <w:rsid w:val="00B44C01"/>
    <w:rsid w:val="00B4598B"/>
    <w:rsid w:val="00B47302"/>
    <w:rsid w:val="00B8665C"/>
    <w:rsid w:val="00B92E75"/>
    <w:rsid w:val="00BB6DAB"/>
    <w:rsid w:val="00BD79CA"/>
    <w:rsid w:val="00BE523F"/>
    <w:rsid w:val="00BE6F40"/>
    <w:rsid w:val="00BF2B8C"/>
    <w:rsid w:val="00BF3D4C"/>
    <w:rsid w:val="00C137F6"/>
    <w:rsid w:val="00C13E31"/>
    <w:rsid w:val="00C21CDF"/>
    <w:rsid w:val="00C26074"/>
    <w:rsid w:val="00C34172"/>
    <w:rsid w:val="00C40B45"/>
    <w:rsid w:val="00C44E9C"/>
    <w:rsid w:val="00C75FB6"/>
    <w:rsid w:val="00C83B0A"/>
    <w:rsid w:val="00C95495"/>
    <w:rsid w:val="00CB2C68"/>
    <w:rsid w:val="00CB766A"/>
    <w:rsid w:val="00CB7D9D"/>
    <w:rsid w:val="00CD5D2C"/>
    <w:rsid w:val="00CE1E0C"/>
    <w:rsid w:val="00CE277E"/>
    <w:rsid w:val="00CE412B"/>
    <w:rsid w:val="00CF7F32"/>
    <w:rsid w:val="00D016B3"/>
    <w:rsid w:val="00D25729"/>
    <w:rsid w:val="00D31D57"/>
    <w:rsid w:val="00D47B37"/>
    <w:rsid w:val="00D56867"/>
    <w:rsid w:val="00D62093"/>
    <w:rsid w:val="00D710BD"/>
    <w:rsid w:val="00D735DB"/>
    <w:rsid w:val="00D80BE1"/>
    <w:rsid w:val="00DA5E7F"/>
    <w:rsid w:val="00DE3787"/>
    <w:rsid w:val="00E02A7F"/>
    <w:rsid w:val="00E07880"/>
    <w:rsid w:val="00E12C14"/>
    <w:rsid w:val="00E17038"/>
    <w:rsid w:val="00E23D31"/>
    <w:rsid w:val="00E32408"/>
    <w:rsid w:val="00E454C0"/>
    <w:rsid w:val="00E57DD6"/>
    <w:rsid w:val="00E62061"/>
    <w:rsid w:val="00E65655"/>
    <w:rsid w:val="00E710E0"/>
    <w:rsid w:val="00E7720E"/>
    <w:rsid w:val="00E82621"/>
    <w:rsid w:val="00E94B8D"/>
    <w:rsid w:val="00EA11A5"/>
    <w:rsid w:val="00EB05D5"/>
    <w:rsid w:val="00EC5582"/>
    <w:rsid w:val="00EE701C"/>
    <w:rsid w:val="00EF0F70"/>
    <w:rsid w:val="00EF127A"/>
    <w:rsid w:val="00EF4681"/>
    <w:rsid w:val="00EF7D98"/>
    <w:rsid w:val="00F02CFF"/>
    <w:rsid w:val="00F041CC"/>
    <w:rsid w:val="00F047B9"/>
    <w:rsid w:val="00F13300"/>
    <w:rsid w:val="00F137FF"/>
    <w:rsid w:val="00F15460"/>
    <w:rsid w:val="00F24D81"/>
    <w:rsid w:val="00F37FFC"/>
    <w:rsid w:val="00F427D1"/>
    <w:rsid w:val="00F509FF"/>
    <w:rsid w:val="00F55BB7"/>
    <w:rsid w:val="00F77C9A"/>
    <w:rsid w:val="00FB576C"/>
    <w:rsid w:val="00FC4DB1"/>
    <w:rsid w:val="00FD2AA6"/>
    <w:rsid w:val="00FD6D81"/>
    <w:rsid w:val="00FD75C6"/>
    <w:rsid w:val="00FE7E8A"/>
    <w:rsid w:val="00FF5126"/>
    <w:rsid w:val="00FF58B0"/>
    <w:rsid w:val="0385268A"/>
    <w:rsid w:val="06AC3180"/>
    <w:rsid w:val="123767B7"/>
    <w:rsid w:val="1C0C4212"/>
    <w:rsid w:val="227F6C37"/>
    <w:rsid w:val="28C25756"/>
    <w:rsid w:val="2B0013F2"/>
    <w:rsid w:val="2EC2549B"/>
    <w:rsid w:val="30F44350"/>
    <w:rsid w:val="373175D4"/>
    <w:rsid w:val="3F241496"/>
    <w:rsid w:val="3F332F51"/>
    <w:rsid w:val="45397ECA"/>
    <w:rsid w:val="4B16063C"/>
    <w:rsid w:val="4CEC5FD7"/>
    <w:rsid w:val="54786C3F"/>
    <w:rsid w:val="65282E3C"/>
    <w:rsid w:val="67302690"/>
    <w:rsid w:val="6AFF3292"/>
    <w:rsid w:val="707E5095"/>
    <w:rsid w:val="70FE4E7D"/>
    <w:rsid w:val="DEF7D0E4"/>
    <w:rsid w:val="E6DA984F"/>
    <w:rsid w:val="F1D3BC38"/>
    <w:rsid w:val="F7F3B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Char"/>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Char"/>
    <w:link w:val="5"/>
    <w:semiHidden/>
    <w:qFormat/>
    <w:uiPriority w:val="99"/>
    <w:rPr>
      <w:kern w:val="2"/>
      <w:sz w:val="18"/>
      <w:szCs w:val="18"/>
    </w:rPr>
  </w:style>
  <w:style w:type="character" w:customStyle="1" w:styleId="14">
    <w:name w:val="页脚 Char"/>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Char"/>
    <w:basedOn w:val="8"/>
    <w:link w:val="2"/>
    <w:semiHidden/>
    <w:qFormat/>
    <w:uiPriority w:val="99"/>
    <w:rPr>
      <w:kern w:val="2"/>
      <w:sz w:val="21"/>
      <w:szCs w:val="24"/>
    </w:rPr>
  </w:style>
  <w:style w:type="character" w:customStyle="1" w:styleId="18">
    <w:name w:val="批注主题 Char"/>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233</Words>
  <Characters>1330</Characters>
  <Lines>11</Lines>
  <Paragraphs>3</Paragraphs>
  <TotalTime>22</TotalTime>
  <ScaleCrop>false</ScaleCrop>
  <LinksUpToDate>false</LinksUpToDate>
  <CharactersWithSpaces>1560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2021-08-03T23:30:00Z</dcterms:created>
  <dc:creator>Legend User</dc:creator>
  <cp:lastModifiedBy>ysgz</cp:lastModifiedBy>
  <cp:lastPrinted>2020-02-13T10:19:00Z</cp:lastPrinted>
  <dcterms:modified xsi:type="dcterms:W3CDTF">2023-07-21T09:37:32Z</dcterms:modified>
  <dc:title>××产品质量监督抽查实施细则</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6562026FDD214330B305281673E4C39D</vt:lpwstr>
  </property>
</Properties>
</file>