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宋体" w:eastAsia="方正小标宋_GBK" w:cs="方正仿宋简体"/>
          <w:color w:val="000000"/>
          <w:kern w:val="0"/>
          <w:sz w:val="32"/>
          <w:szCs w:val="32"/>
        </w:rPr>
      </w:pPr>
      <w:r>
        <w:rPr>
          <w:rFonts w:hint="eastAsia" w:ascii="方正小标宋_GBK" w:hAnsi="方正小标宋_GBK" w:eastAsia="方正小标宋_GBK" w:cs="方正小标宋_GBK"/>
          <w:color w:val="000000"/>
          <w:kern w:val="0"/>
          <w:sz w:val="32"/>
          <w:szCs w:val="32"/>
        </w:rPr>
        <w:t>贵州省</w:t>
      </w:r>
      <w:r>
        <w:rPr>
          <w:rFonts w:hint="eastAsia" w:ascii="方正小标宋_GBK" w:hAnsi="方正小标宋_GBK" w:eastAsia="方正小标宋_GBK" w:cs="方正小标宋_GBK"/>
          <w:color w:val="000000"/>
          <w:kern w:val="0"/>
          <w:sz w:val="32"/>
          <w:szCs w:val="32"/>
        </w:rPr>
        <w:t>氧化铝</w:t>
      </w:r>
      <w:r>
        <w:rPr>
          <w:rFonts w:hint="eastAsia" w:ascii="方正小标宋_GBK" w:hAnsi="方正小标宋_GBK" w:eastAsia="方正小标宋_GBK" w:cs="方正小标宋_GBK"/>
          <w:color w:val="000000"/>
          <w:kern w:val="0"/>
          <w:sz w:val="32"/>
          <w:szCs w:val="32"/>
        </w:rPr>
        <w:t>产品质量监督抽查实施细则</w:t>
      </w:r>
    </w:p>
    <w:p>
      <w:pPr>
        <w:adjustRightInd w:val="0"/>
        <w:snapToGrid w:val="0"/>
        <w:spacing w:line="594" w:lineRule="exact"/>
        <w:jc w:val="center"/>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（2023年版）</w:t>
      </w:r>
    </w:p>
    <w:p>
      <w:pPr>
        <w:adjustRightInd w:val="0"/>
        <w:snapToGrid w:val="0"/>
        <w:spacing w:line="594" w:lineRule="exact"/>
        <w:jc w:val="center"/>
        <w:rPr>
          <w:rFonts w:ascii="方正小标宋_GBK" w:hAnsi="宋体" w:eastAsia="方正小标宋_GBK" w:cs="方正仿宋简体"/>
          <w:color w:val="000000"/>
          <w:kern w:val="0"/>
          <w:sz w:val="32"/>
          <w:szCs w:val="32"/>
        </w:rPr>
      </w:pPr>
    </w:p>
    <w:p>
      <w:pPr>
        <w:snapToGrid w:val="0"/>
        <w:spacing w:line="440" w:lineRule="exact"/>
        <w:rPr>
          <w:rFonts w:eastAsia="黑体"/>
          <w:bCs/>
          <w:szCs w:val="21"/>
        </w:rPr>
      </w:pPr>
      <w:r>
        <w:rPr>
          <w:rFonts w:eastAsia="黑体"/>
          <w:bCs/>
          <w:szCs w:val="21"/>
        </w:rPr>
        <w:t>1</w:t>
      </w:r>
      <w:r>
        <w:rPr>
          <w:rFonts w:hint="eastAsia" w:eastAsia="黑体"/>
          <w:bCs/>
          <w:szCs w:val="21"/>
        </w:rPr>
        <w:t>.</w:t>
      </w:r>
      <w:r>
        <w:rPr>
          <w:rFonts w:eastAsia="黑体"/>
          <w:bCs/>
          <w:szCs w:val="21"/>
        </w:rPr>
        <w:t>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rPr>
          <w:color w:val="000000"/>
          <w:szCs w:val="21"/>
        </w:rPr>
        <w:t>在同一批次或同一生产日期（同一牌号）的产品中，随机抽取样品 4 kg</w:t>
      </w:r>
      <w:r>
        <w:rPr>
          <w:rFonts w:hint="eastAsia"/>
          <w:color w:val="000000"/>
          <w:szCs w:val="21"/>
        </w:rPr>
        <w:t>，经</w:t>
      </w:r>
      <w:r>
        <w:rPr>
          <w:color w:val="000000"/>
          <w:szCs w:val="21"/>
        </w:rPr>
        <w:t>充分混合</w:t>
      </w:r>
      <w:r>
        <w:rPr>
          <w:rFonts w:hint="eastAsia"/>
          <w:color w:val="000000"/>
          <w:szCs w:val="21"/>
        </w:rPr>
        <w:t>后</w:t>
      </w:r>
      <w:r>
        <w:rPr>
          <w:color w:val="000000"/>
          <w:szCs w:val="21"/>
        </w:rPr>
        <w:t xml:space="preserve">缩分成 </w:t>
      </w:r>
      <w:r>
        <w:rPr>
          <w:rFonts w:hint="eastAsia"/>
          <w:color w:val="000000"/>
          <w:szCs w:val="21"/>
        </w:rPr>
        <w:t>1</w:t>
      </w:r>
      <w:r>
        <w:rPr>
          <w:color w:val="000000"/>
          <w:szCs w:val="21"/>
        </w:rPr>
        <w:t xml:space="preserve"> kg的样品，再将其分成两份，其中一份</w:t>
      </w:r>
      <w:r>
        <w:rPr>
          <w:rFonts w:hint="eastAsia"/>
          <w:color w:val="000000"/>
          <w:szCs w:val="21"/>
        </w:rPr>
        <w:t>500g</w:t>
      </w:r>
      <w:r>
        <w:rPr>
          <w:color w:val="000000"/>
          <w:szCs w:val="21"/>
        </w:rPr>
        <w:t>作为检测样品，另一份</w:t>
      </w:r>
      <w:r>
        <w:rPr>
          <w:rFonts w:hint="eastAsia"/>
          <w:color w:val="000000"/>
          <w:szCs w:val="21"/>
        </w:rPr>
        <w:t>500g</w:t>
      </w:r>
      <w:r>
        <w:rPr>
          <w:color w:val="000000"/>
          <w:szCs w:val="21"/>
        </w:rPr>
        <w:t>作为备份样品。</w:t>
      </w:r>
    </w:p>
    <w:p>
      <w:pPr>
        <w:snapToGrid w:val="0"/>
        <w:spacing w:line="440" w:lineRule="exact"/>
        <w:ind w:firstLine="420" w:firstLineChars="200"/>
        <w:rPr>
          <w:color w:val="000000"/>
          <w:szCs w:val="21"/>
        </w:rPr>
      </w:pPr>
    </w:p>
    <w:p>
      <w:pPr>
        <w:snapToGrid w:val="0"/>
        <w:spacing w:line="360" w:lineRule="auto"/>
        <w:rPr>
          <w:rFonts w:eastAsia="黑体"/>
          <w:bCs/>
          <w:color w:val="000000"/>
          <w:szCs w:val="21"/>
        </w:rPr>
      </w:pPr>
      <w:r>
        <w:rPr>
          <w:rFonts w:eastAsia="黑体"/>
          <w:bCs/>
          <w:color w:val="000000"/>
          <w:szCs w:val="21"/>
        </w:rPr>
        <w:t>2</w:t>
      </w:r>
      <w:r>
        <w:rPr>
          <w:rFonts w:hint="eastAsia" w:eastAsia="黑体"/>
          <w:bCs/>
          <w:color w:val="000000"/>
          <w:szCs w:val="21"/>
        </w:rPr>
        <w:t>.</w:t>
      </w:r>
      <w:r>
        <w:rPr>
          <w:rFonts w:eastAsia="黑体"/>
          <w:bCs/>
          <w:color w:val="000000"/>
          <w:szCs w:val="21"/>
        </w:rPr>
        <w:t>检验依据</w:t>
      </w:r>
    </w:p>
    <w:tbl>
      <w:tblPr>
        <w:tblStyle w:val="6"/>
        <w:tblW w:w="46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2"/>
        <w:gridCol w:w="2256"/>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blHeader/>
          <w:jc w:val="center"/>
        </w:trPr>
        <w:tc>
          <w:tcPr>
            <w:tcW w:w="2721" w:type="pct"/>
            <w:gridSpan w:val="2"/>
            <w:vMerge w:val="restart"/>
            <w:vAlign w:val="center"/>
          </w:tcPr>
          <w:p>
            <w:pPr>
              <w:snapToGrid w:val="0"/>
              <w:spacing w:line="400" w:lineRule="exact"/>
              <w:jc w:val="center"/>
              <w:rPr>
                <w:szCs w:val="21"/>
              </w:rPr>
            </w:pPr>
            <w:r>
              <w:rPr>
                <w:szCs w:val="21"/>
              </w:rPr>
              <w:t>检验项目</w:t>
            </w:r>
          </w:p>
        </w:tc>
        <w:tc>
          <w:tcPr>
            <w:tcW w:w="2279" w:type="pct"/>
            <w:vMerge w:val="restart"/>
            <w:vAlign w:val="center"/>
          </w:tcPr>
          <w:p>
            <w:pPr>
              <w:snapToGrid w:val="0"/>
              <w:spacing w:line="40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7" w:hRule="exact"/>
          <w:tblHeader/>
          <w:jc w:val="center"/>
        </w:trPr>
        <w:tc>
          <w:tcPr>
            <w:tcW w:w="2721" w:type="pct"/>
            <w:gridSpan w:val="2"/>
            <w:vMerge w:val="continue"/>
            <w:vAlign w:val="center"/>
          </w:tcPr>
          <w:p>
            <w:pPr>
              <w:snapToGrid w:val="0"/>
              <w:spacing w:line="400" w:lineRule="exact"/>
              <w:ind w:firstLine="420"/>
              <w:jc w:val="center"/>
              <w:rPr>
                <w:szCs w:val="21"/>
              </w:rPr>
            </w:pPr>
          </w:p>
        </w:tc>
        <w:tc>
          <w:tcPr>
            <w:tcW w:w="2279" w:type="pct"/>
            <w:vMerge w:val="continue"/>
            <w:vAlign w:val="center"/>
          </w:tcPr>
          <w:p>
            <w:pPr>
              <w:snapToGrid w:val="0"/>
              <w:spacing w:line="400" w:lineRule="exact"/>
              <w:ind w:firstLine="42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1403" w:type="pct"/>
            <w:vMerge w:val="restart"/>
            <w:vAlign w:val="center"/>
          </w:tcPr>
          <w:p>
            <w:pPr>
              <w:snapToGrid w:val="0"/>
              <w:jc w:val="center"/>
              <w:rPr>
                <w:szCs w:val="21"/>
              </w:rPr>
            </w:pPr>
            <w:bookmarkStart w:id="0" w:name="_GoBack" w:colFirst="1" w:colLast="2"/>
            <w:r>
              <w:rPr>
                <w:szCs w:val="21"/>
              </w:rPr>
              <w:t>化学成分</w:t>
            </w:r>
          </w:p>
        </w:tc>
        <w:tc>
          <w:tcPr>
            <w:tcW w:w="1318" w:type="pct"/>
            <w:vAlign w:val="center"/>
          </w:tcPr>
          <w:p>
            <w:pPr>
              <w:adjustRightInd w:val="0"/>
              <w:snapToGrid w:val="0"/>
              <w:spacing w:line="440" w:lineRule="exact"/>
              <w:jc w:val="center"/>
              <w:rPr>
                <w:color w:val="auto"/>
                <w:szCs w:val="21"/>
              </w:rPr>
            </w:pPr>
            <w:r>
              <w:rPr>
                <w:color w:val="auto"/>
                <w:szCs w:val="21"/>
              </w:rPr>
              <w:t>Al</w:t>
            </w:r>
            <w:r>
              <w:rPr>
                <w:color w:val="auto"/>
                <w:szCs w:val="21"/>
                <w:vertAlign w:val="subscript"/>
              </w:rPr>
              <w:t>2</w:t>
            </w:r>
            <w:r>
              <w:rPr>
                <w:color w:val="auto"/>
                <w:szCs w:val="21"/>
              </w:rPr>
              <w:t>O</w:t>
            </w:r>
            <w:r>
              <w:rPr>
                <w:color w:val="auto"/>
                <w:szCs w:val="21"/>
                <w:vertAlign w:val="subscript"/>
              </w:rPr>
              <w:t>3</w:t>
            </w:r>
          </w:p>
        </w:tc>
        <w:tc>
          <w:tcPr>
            <w:tcW w:w="2279" w:type="pct"/>
            <w:vAlign w:val="center"/>
          </w:tcPr>
          <w:p>
            <w:pPr>
              <w:snapToGrid w:val="0"/>
              <w:spacing w:line="440" w:lineRule="exact"/>
              <w:jc w:val="center"/>
              <w:rPr>
                <w:color w:val="auto"/>
                <w:szCs w:val="21"/>
              </w:rPr>
            </w:pPr>
            <w:r>
              <w:rPr>
                <w:color w:val="auto"/>
                <w:szCs w:val="21"/>
              </w:rPr>
              <w:t>GB/T 24487-20</w:t>
            </w:r>
            <w:r>
              <w:rPr>
                <w:rFonts w:hint="eastAsia"/>
                <w:color w:val="auto"/>
                <w:szCs w:val="21"/>
              </w:rPr>
              <w:t>22</w:t>
            </w:r>
          </w:p>
          <w:p>
            <w:pPr>
              <w:snapToGrid w:val="0"/>
              <w:spacing w:line="440" w:lineRule="exact"/>
              <w:jc w:val="center"/>
              <w:rPr>
                <w:color w:val="auto"/>
                <w:szCs w:val="21"/>
              </w:rPr>
            </w:pPr>
            <w:r>
              <w:rPr>
                <w:color w:val="auto"/>
                <w:szCs w:val="21"/>
              </w:rPr>
              <w:t>GB/T 6609.34-200</w:t>
            </w:r>
            <w:r>
              <w:rPr>
                <w:rFonts w:hint="eastAsia"/>
                <w:color w:val="auto"/>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1403" w:type="pct"/>
            <w:vMerge w:val="continue"/>
            <w:vAlign w:val="center"/>
          </w:tcPr>
          <w:p>
            <w:pPr>
              <w:snapToGrid w:val="0"/>
              <w:jc w:val="center"/>
              <w:rPr>
                <w:szCs w:val="21"/>
              </w:rPr>
            </w:pPr>
          </w:p>
        </w:tc>
        <w:tc>
          <w:tcPr>
            <w:tcW w:w="1318" w:type="pct"/>
            <w:vAlign w:val="center"/>
          </w:tcPr>
          <w:p>
            <w:pPr>
              <w:snapToGrid w:val="0"/>
              <w:jc w:val="center"/>
              <w:rPr>
                <w:color w:val="auto"/>
                <w:szCs w:val="21"/>
              </w:rPr>
            </w:pPr>
            <w:r>
              <w:rPr>
                <w:color w:val="auto"/>
                <w:szCs w:val="21"/>
              </w:rPr>
              <w:t>SiO</w:t>
            </w:r>
            <w:r>
              <w:rPr>
                <w:color w:val="auto"/>
                <w:szCs w:val="21"/>
                <w:vertAlign w:val="subscript"/>
              </w:rPr>
              <w:t>2</w:t>
            </w:r>
          </w:p>
        </w:tc>
        <w:tc>
          <w:tcPr>
            <w:tcW w:w="2279" w:type="pct"/>
            <w:vAlign w:val="center"/>
          </w:tcPr>
          <w:p>
            <w:pPr>
              <w:snapToGrid w:val="0"/>
              <w:jc w:val="center"/>
              <w:rPr>
                <w:color w:val="auto"/>
                <w:szCs w:val="21"/>
              </w:rPr>
            </w:pPr>
            <w:r>
              <w:rPr>
                <w:color w:val="auto"/>
                <w:szCs w:val="21"/>
              </w:rPr>
              <w:t>GB/T 6609.3-2004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1403" w:type="pct"/>
            <w:vMerge w:val="continue"/>
            <w:vAlign w:val="center"/>
          </w:tcPr>
          <w:p>
            <w:pPr>
              <w:snapToGrid w:val="0"/>
              <w:jc w:val="center"/>
              <w:rPr>
                <w:szCs w:val="21"/>
              </w:rPr>
            </w:pPr>
          </w:p>
        </w:tc>
        <w:tc>
          <w:tcPr>
            <w:tcW w:w="1318" w:type="pct"/>
            <w:vAlign w:val="center"/>
          </w:tcPr>
          <w:p>
            <w:pPr>
              <w:adjustRightInd w:val="0"/>
              <w:snapToGrid w:val="0"/>
              <w:spacing w:line="440" w:lineRule="exact"/>
              <w:jc w:val="center"/>
              <w:rPr>
                <w:color w:val="auto"/>
                <w:szCs w:val="21"/>
              </w:rPr>
            </w:pPr>
            <w:r>
              <w:rPr>
                <w:color w:val="auto"/>
                <w:szCs w:val="21"/>
              </w:rPr>
              <w:t>Fe</w:t>
            </w:r>
            <w:r>
              <w:rPr>
                <w:color w:val="auto"/>
                <w:szCs w:val="21"/>
                <w:vertAlign w:val="subscript"/>
              </w:rPr>
              <w:t>2</w:t>
            </w:r>
            <w:r>
              <w:rPr>
                <w:color w:val="auto"/>
                <w:szCs w:val="21"/>
              </w:rPr>
              <w:t>O</w:t>
            </w:r>
            <w:r>
              <w:rPr>
                <w:color w:val="auto"/>
                <w:szCs w:val="21"/>
                <w:vertAlign w:val="subscript"/>
              </w:rPr>
              <w:t>3</w:t>
            </w:r>
          </w:p>
        </w:tc>
        <w:tc>
          <w:tcPr>
            <w:tcW w:w="2279" w:type="pct"/>
            <w:vAlign w:val="center"/>
          </w:tcPr>
          <w:p>
            <w:pPr>
              <w:snapToGrid w:val="0"/>
              <w:jc w:val="center"/>
              <w:rPr>
                <w:color w:val="auto"/>
                <w:szCs w:val="21"/>
              </w:rPr>
            </w:pPr>
            <w:r>
              <w:rPr>
                <w:color w:val="auto"/>
                <w:szCs w:val="21"/>
              </w:rPr>
              <w:t>GB/T6609.4-2004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1403" w:type="pct"/>
            <w:vMerge w:val="continue"/>
            <w:vAlign w:val="center"/>
          </w:tcPr>
          <w:p>
            <w:pPr>
              <w:snapToGrid w:val="0"/>
              <w:jc w:val="center"/>
              <w:rPr>
                <w:szCs w:val="21"/>
              </w:rPr>
            </w:pPr>
          </w:p>
        </w:tc>
        <w:tc>
          <w:tcPr>
            <w:tcW w:w="1318" w:type="pct"/>
            <w:vAlign w:val="center"/>
          </w:tcPr>
          <w:p>
            <w:pPr>
              <w:snapToGrid w:val="0"/>
              <w:jc w:val="center"/>
              <w:rPr>
                <w:color w:val="auto"/>
                <w:szCs w:val="21"/>
              </w:rPr>
            </w:pPr>
            <w:r>
              <w:rPr>
                <w:color w:val="auto"/>
                <w:szCs w:val="21"/>
              </w:rPr>
              <w:t>Na</w:t>
            </w:r>
            <w:r>
              <w:rPr>
                <w:color w:val="auto"/>
                <w:szCs w:val="21"/>
                <w:vertAlign w:val="subscript"/>
              </w:rPr>
              <w:t>2</w:t>
            </w:r>
            <w:r>
              <w:rPr>
                <w:color w:val="auto"/>
                <w:szCs w:val="21"/>
              </w:rPr>
              <w:t>O</w:t>
            </w:r>
          </w:p>
        </w:tc>
        <w:tc>
          <w:tcPr>
            <w:tcW w:w="2279" w:type="pct"/>
            <w:vAlign w:val="center"/>
          </w:tcPr>
          <w:p>
            <w:pPr>
              <w:snapToGrid w:val="0"/>
              <w:jc w:val="center"/>
              <w:rPr>
                <w:color w:val="auto"/>
                <w:szCs w:val="21"/>
              </w:rPr>
            </w:pPr>
            <w:r>
              <w:rPr>
                <w:color w:val="auto"/>
                <w:szCs w:val="21"/>
              </w:rPr>
              <w:t>GB/T6609.5-2004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1403" w:type="pct"/>
            <w:vMerge w:val="continue"/>
            <w:vAlign w:val="center"/>
          </w:tcPr>
          <w:p>
            <w:pPr>
              <w:snapToGrid w:val="0"/>
              <w:jc w:val="center"/>
              <w:rPr>
                <w:szCs w:val="21"/>
              </w:rPr>
            </w:pPr>
          </w:p>
        </w:tc>
        <w:tc>
          <w:tcPr>
            <w:tcW w:w="1318" w:type="pct"/>
            <w:vAlign w:val="center"/>
          </w:tcPr>
          <w:p>
            <w:pPr>
              <w:snapToGrid w:val="0"/>
              <w:jc w:val="center"/>
              <w:rPr>
                <w:color w:val="auto"/>
                <w:szCs w:val="21"/>
              </w:rPr>
            </w:pPr>
            <w:r>
              <w:rPr>
                <w:rFonts w:hint="eastAsia"/>
                <w:color w:val="auto"/>
                <w:szCs w:val="21"/>
              </w:rPr>
              <w:t>CaO</w:t>
            </w:r>
          </w:p>
        </w:tc>
        <w:tc>
          <w:tcPr>
            <w:tcW w:w="2279" w:type="pct"/>
            <w:vAlign w:val="center"/>
          </w:tcPr>
          <w:p>
            <w:pPr>
              <w:snapToGrid w:val="0"/>
              <w:jc w:val="center"/>
              <w:rPr>
                <w:color w:val="auto"/>
                <w:szCs w:val="21"/>
              </w:rPr>
            </w:pPr>
            <w:r>
              <w:rPr>
                <w:color w:val="auto"/>
                <w:szCs w:val="21"/>
              </w:rPr>
              <w:t>GB/T6609.</w:t>
            </w:r>
            <w:r>
              <w:rPr>
                <w:rFonts w:hint="eastAsia"/>
                <w:color w:val="auto"/>
                <w:szCs w:val="21"/>
              </w:rPr>
              <w:t>13</w:t>
            </w:r>
            <w:r>
              <w:rPr>
                <w:color w:val="auto"/>
                <w:szCs w:val="21"/>
              </w:rPr>
              <w:t>-2004</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1403" w:type="pct"/>
            <w:vMerge w:val="continue"/>
            <w:vAlign w:val="center"/>
          </w:tcPr>
          <w:p>
            <w:pPr>
              <w:snapToGrid w:val="0"/>
              <w:jc w:val="center"/>
              <w:rPr>
                <w:szCs w:val="21"/>
              </w:rPr>
            </w:pPr>
          </w:p>
        </w:tc>
        <w:tc>
          <w:tcPr>
            <w:tcW w:w="1318" w:type="pct"/>
            <w:vAlign w:val="center"/>
          </w:tcPr>
          <w:p>
            <w:pPr>
              <w:snapToGrid w:val="0"/>
              <w:jc w:val="center"/>
              <w:rPr>
                <w:szCs w:val="21"/>
              </w:rPr>
            </w:pPr>
            <w:r>
              <w:rPr>
                <w:rFonts w:hint="eastAsia"/>
                <w:szCs w:val="21"/>
              </w:rPr>
              <w:t>灼减</w:t>
            </w:r>
          </w:p>
        </w:tc>
        <w:tc>
          <w:tcPr>
            <w:tcW w:w="2279" w:type="pct"/>
            <w:vAlign w:val="center"/>
          </w:tcPr>
          <w:p>
            <w:pPr>
              <w:snapToGrid w:val="0"/>
              <w:spacing w:line="320" w:lineRule="exact"/>
              <w:jc w:val="center"/>
              <w:rPr>
                <w:szCs w:val="21"/>
              </w:rPr>
            </w:pPr>
            <w:r>
              <w:rPr>
                <w:szCs w:val="21"/>
              </w:rPr>
              <w:t>GB/T 6609.2-20</w:t>
            </w:r>
            <w:r>
              <w:rPr>
                <w:rFonts w:hint="eastAsia"/>
                <w:szCs w:val="21"/>
              </w:rPr>
              <w:t>09</w:t>
            </w:r>
          </w:p>
          <w:p>
            <w:pPr>
              <w:snapToGrid w:val="0"/>
              <w:spacing w:line="320" w:lineRule="exact"/>
              <w:jc w:val="center"/>
              <w:rPr>
                <w:szCs w:val="21"/>
              </w:rPr>
            </w:pPr>
            <w:r>
              <w:rPr>
                <w:szCs w:val="21"/>
              </w:rPr>
              <w:t>GB/T 6609.2-20</w:t>
            </w:r>
            <w:r>
              <w:rPr>
                <w:rFonts w:hint="eastAsia"/>
                <w:szCs w:val="21"/>
              </w:rPr>
              <w:t>22</w:t>
            </w:r>
          </w:p>
        </w:tc>
      </w:tr>
    </w:tbl>
    <w:p>
      <w:pPr>
        <w:adjustRightInd w:val="0"/>
        <w:snapToGrid w:val="0"/>
        <w:jc w:val="center"/>
        <w:rPr>
          <w:szCs w:val="21"/>
        </w:rPr>
      </w:pPr>
    </w:p>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color w:val="000000"/>
          <w:szCs w:val="21"/>
        </w:rPr>
      </w:pPr>
    </w:p>
    <w:p>
      <w:pPr>
        <w:spacing w:line="440" w:lineRule="exact"/>
        <w:rPr>
          <w:rFonts w:eastAsia="黑体"/>
          <w:color w:val="000000"/>
          <w:szCs w:val="21"/>
        </w:rPr>
      </w:pPr>
      <w:r>
        <w:rPr>
          <w:rFonts w:eastAsia="黑体"/>
          <w:color w:val="000000"/>
          <w:szCs w:val="21"/>
        </w:rPr>
        <w:t>3</w:t>
      </w:r>
      <w:r>
        <w:rPr>
          <w:rFonts w:hint="eastAsia" w:eastAsia="黑体"/>
          <w:color w:val="000000"/>
          <w:szCs w:val="21"/>
        </w:rPr>
        <w:t>.</w:t>
      </w:r>
      <w:r>
        <w:rPr>
          <w:rFonts w:eastAsia="黑体"/>
          <w:color w:val="000000"/>
          <w:szCs w:val="21"/>
        </w:rPr>
        <w:t>判定规则</w:t>
      </w:r>
    </w:p>
    <w:p>
      <w:pPr>
        <w:snapToGrid w:val="0"/>
        <w:spacing w:line="440" w:lineRule="exact"/>
        <w:rPr>
          <w:szCs w:val="21"/>
        </w:rPr>
      </w:pPr>
      <w:r>
        <w:rPr>
          <w:szCs w:val="21"/>
        </w:rPr>
        <w:t>3.1</w:t>
      </w:r>
      <w:r>
        <w:rPr>
          <w:color w:val="000000"/>
          <w:szCs w:val="21"/>
        </w:rPr>
        <w:t>依据标准</w:t>
      </w:r>
    </w:p>
    <w:p>
      <w:pPr>
        <w:snapToGrid w:val="0"/>
        <w:spacing w:line="440" w:lineRule="exact"/>
        <w:ind w:firstLine="420" w:firstLineChars="200"/>
        <w:rPr>
          <w:szCs w:val="21"/>
        </w:rPr>
      </w:pPr>
      <w:r>
        <w:rPr>
          <w:szCs w:val="21"/>
        </w:rPr>
        <w:t>GB/T 24487-2009 氧化铝</w:t>
      </w:r>
    </w:p>
    <w:p>
      <w:pPr>
        <w:snapToGrid w:val="0"/>
        <w:spacing w:line="440" w:lineRule="exact"/>
        <w:ind w:firstLine="420" w:firstLineChars="200"/>
        <w:rPr>
          <w:szCs w:val="21"/>
        </w:rPr>
      </w:pPr>
      <w:r>
        <w:rPr>
          <w:szCs w:val="21"/>
        </w:rPr>
        <w:t>GB/T 24487-20</w:t>
      </w:r>
      <w:r>
        <w:rPr>
          <w:rFonts w:hint="eastAsia"/>
          <w:szCs w:val="21"/>
        </w:rPr>
        <w:t>22</w:t>
      </w:r>
      <w:r>
        <w:rPr>
          <w:szCs w:val="21"/>
        </w:rPr>
        <w:t xml:space="preserve"> 氧化铝</w:t>
      </w:r>
    </w:p>
    <w:p>
      <w:pPr>
        <w:snapToGrid w:val="0"/>
        <w:spacing w:line="440" w:lineRule="exact"/>
        <w:ind w:firstLine="420" w:firstLineChars="200"/>
        <w:rPr>
          <w:szCs w:val="21"/>
        </w:rPr>
      </w:pPr>
      <w:r>
        <w:rPr>
          <w:rFonts w:hint="eastAsia"/>
          <w:szCs w:val="21"/>
        </w:rPr>
        <w:t>注：2022年10月1日前生产的产品执行</w:t>
      </w:r>
      <w:r>
        <w:rPr>
          <w:szCs w:val="21"/>
        </w:rPr>
        <w:t>GB/T 24487-2009及相应检验方法</w:t>
      </w:r>
      <w:r>
        <w:rPr>
          <w:rFonts w:hint="eastAsia"/>
          <w:szCs w:val="21"/>
        </w:rPr>
        <w:t>， 2022年10月1日后生产的产品执行</w:t>
      </w:r>
      <w:r>
        <w:rPr>
          <w:szCs w:val="21"/>
        </w:rPr>
        <w:t>GB/T 24487-20</w:t>
      </w:r>
      <w:r>
        <w:rPr>
          <w:rFonts w:hint="eastAsia"/>
          <w:szCs w:val="21"/>
        </w:rPr>
        <w:t>22</w:t>
      </w:r>
      <w:r>
        <w:rPr>
          <w:szCs w:val="21"/>
        </w:rPr>
        <w:t>及相应检验方法</w:t>
      </w:r>
      <w:r>
        <w:rPr>
          <w:rFonts w:hint="eastAsia"/>
          <w:szCs w:val="21"/>
        </w:rPr>
        <w:t>。</w:t>
      </w:r>
    </w:p>
    <w:p>
      <w:pPr>
        <w:snapToGrid w:val="0"/>
        <w:spacing w:line="440" w:lineRule="exact"/>
        <w:ind w:firstLine="420" w:firstLineChars="200"/>
        <w:rPr>
          <w:szCs w:val="21"/>
        </w:rPr>
      </w:pPr>
    </w:p>
    <w:p>
      <w:pPr>
        <w:snapToGrid w:val="0"/>
        <w:spacing w:line="440" w:lineRule="exact"/>
        <w:ind w:firstLine="420" w:firstLineChars="200"/>
        <w:rPr>
          <w:szCs w:val="21"/>
        </w:rPr>
      </w:pPr>
      <w:r>
        <w:rPr>
          <w:color w:val="000000"/>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color w:val="000000"/>
          <w:szCs w:val="21"/>
        </w:rPr>
      </w:pPr>
      <w:r>
        <w:rPr>
          <w:color w:val="000000"/>
          <w:szCs w:val="21"/>
        </w:rPr>
        <w:t>若被检产品明示的质量要求缺少本细则中检验项目依据的推荐性标准要求时，该项目不参与判定。</w:t>
      </w:r>
    </w:p>
    <w:p>
      <w:pPr>
        <w:autoSpaceDE w:val="0"/>
        <w:autoSpaceDN w:val="0"/>
        <w:spacing w:line="440" w:lineRule="exact"/>
        <w:rPr>
          <w:rFonts w:ascii="黑体" w:hAnsi="黑体" w:eastAsia="黑体" w:cs="黑体"/>
          <w:color w:val="000000"/>
          <w:szCs w:val="21"/>
        </w:rPr>
      </w:pPr>
    </w:p>
    <w:p>
      <w:pPr>
        <w:autoSpaceDE w:val="0"/>
        <w:autoSpaceDN w:val="0"/>
        <w:spacing w:line="440" w:lineRule="exact"/>
        <w:rPr>
          <w:rFonts w:eastAsia="黑体"/>
          <w:color w:val="000000"/>
          <w:szCs w:val="21"/>
        </w:rPr>
      </w:pPr>
      <w:r>
        <w:rPr>
          <w:rFonts w:hint="eastAsia" w:ascii="黑体" w:hAnsi="黑体" w:eastAsia="黑体" w:cs="黑体"/>
          <w:color w:val="000000"/>
          <w:szCs w:val="21"/>
        </w:rPr>
        <w:t>4</w:t>
      </w:r>
      <w:r>
        <w:rPr>
          <w:rFonts w:hint="eastAsia" w:eastAsia="黑体"/>
          <w:color w:val="000000"/>
          <w:szCs w:val="21"/>
        </w:rPr>
        <w:t>.附则</w:t>
      </w:r>
    </w:p>
    <w:p>
      <w:pPr>
        <w:spacing w:line="440" w:lineRule="exact"/>
        <w:rPr>
          <w:color w:val="000000"/>
          <w:szCs w:val="21"/>
        </w:rPr>
      </w:pPr>
      <w:r>
        <w:rPr>
          <w:rFonts w:hint="eastAsia"/>
          <w:color w:val="000000"/>
          <w:szCs w:val="21"/>
        </w:rPr>
        <w:t xml:space="preserve">     本细则代替《贵州省市场监管局关于发布2022年版贵州省产品质量监督抽查实施细则（第一批）的公告》（黔市监公告〔2022〕46号）中的《贵州省氧化铝产品质量监督抽查实施细则（2022年版）》。</w:t>
      </w:r>
    </w:p>
    <w:p>
      <w:pPr>
        <w:snapToGrid w:val="0"/>
        <w:spacing w:line="440" w:lineRule="exact"/>
        <w:rPr>
          <w:rFonts w:ascii="宋体" w:hAnsi="宋体"/>
          <w:color w:val="FF0000"/>
          <w:szCs w:val="21"/>
        </w:rPr>
      </w:pPr>
    </w:p>
    <w:p>
      <w:pPr>
        <w:snapToGrid w:val="0"/>
        <w:spacing w:line="440" w:lineRule="exact"/>
        <w:ind w:firstLine="420" w:firstLineChars="200"/>
        <w:rPr>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JmNTdhNzEzOThhMTM4OGY0MWQ5Zjg1YWJlMTg5ZjAifQ=="/>
  </w:docVars>
  <w:rsids>
    <w:rsidRoot w:val="00172A27"/>
    <w:rsid w:val="00000BA1"/>
    <w:rsid w:val="00014E0E"/>
    <w:rsid w:val="00020CF4"/>
    <w:rsid w:val="00051A44"/>
    <w:rsid w:val="00056BC2"/>
    <w:rsid w:val="00057B96"/>
    <w:rsid w:val="000658E3"/>
    <w:rsid w:val="000819EC"/>
    <w:rsid w:val="00081CBD"/>
    <w:rsid w:val="000870C8"/>
    <w:rsid w:val="00096B72"/>
    <w:rsid w:val="000976DE"/>
    <w:rsid w:val="000A0EC1"/>
    <w:rsid w:val="000C2FFA"/>
    <w:rsid w:val="000D5C13"/>
    <w:rsid w:val="000E5421"/>
    <w:rsid w:val="000E615A"/>
    <w:rsid w:val="000F08D7"/>
    <w:rsid w:val="000F3882"/>
    <w:rsid w:val="000F74F8"/>
    <w:rsid w:val="001508AB"/>
    <w:rsid w:val="00172A27"/>
    <w:rsid w:val="001809DD"/>
    <w:rsid w:val="001A3112"/>
    <w:rsid w:val="001B6966"/>
    <w:rsid w:val="001C1DAF"/>
    <w:rsid w:val="001C2219"/>
    <w:rsid w:val="001C7DA6"/>
    <w:rsid w:val="001D5523"/>
    <w:rsid w:val="001E2F37"/>
    <w:rsid w:val="00200132"/>
    <w:rsid w:val="0021206D"/>
    <w:rsid w:val="00223CF3"/>
    <w:rsid w:val="0023147A"/>
    <w:rsid w:val="002425B3"/>
    <w:rsid w:val="00247EE7"/>
    <w:rsid w:val="00247EFF"/>
    <w:rsid w:val="002523ED"/>
    <w:rsid w:val="00253624"/>
    <w:rsid w:val="00255EA3"/>
    <w:rsid w:val="00256C6A"/>
    <w:rsid w:val="00266857"/>
    <w:rsid w:val="00277A12"/>
    <w:rsid w:val="002926D4"/>
    <w:rsid w:val="00294A67"/>
    <w:rsid w:val="002B614F"/>
    <w:rsid w:val="002C4328"/>
    <w:rsid w:val="002D65BC"/>
    <w:rsid w:val="002D7F8A"/>
    <w:rsid w:val="002E0D1D"/>
    <w:rsid w:val="0030415D"/>
    <w:rsid w:val="00307803"/>
    <w:rsid w:val="003151CB"/>
    <w:rsid w:val="003203A3"/>
    <w:rsid w:val="00326B5F"/>
    <w:rsid w:val="00341CB6"/>
    <w:rsid w:val="003445E0"/>
    <w:rsid w:val="003626E0"/>
    <w:rsid w:val="003A5F68"/>
    <w:rsid w:val="003C388C"/>
    <w:rsid w:val="003D464F"/>
    <w:rsid w:val="003E3241"/>
    <w:rsid w:val="003E61BF"/>
    <w:rsid w:val="003F1DE0"/>
    <w:rsid w:val="003F2F70"/>
    <w:rsid w:val="003F2FE8"/>
    <w:rsid w:val="00400C03"/>
    <w:rsid w:val="00415F20"/>
    <w:rsid w:val="00440807"/>
    <w:rsid w:val="00445E86"/>
    <w:rsid w:val="0045178C"/>
    <w:rsid w:val="004543B3"/>
    <w:rsid w:val="004614BB"/>
    <w:rsid w:val="00461D4A"/>
    <w:rsid w:val="00463FFB"/>
    <w:rsid w:val="00474E04"/>
    <w:rsid w:val="004A6F8B"/>
    <w:rsid w:val="004B208E"/>
    <w:rsid w:val="004B624C"/>
    <w:rsid w:val="004C28AC"/>
    <w:rsid w:val="004C3101"/>
    <w:rsid w:val="004C41DF"/>
    <w:rsid w:val="004D0C5A"/>
    <w:rsid w:val="004E1396"/>
    <w:rsid w:val="00510C4E"/>
    <w:rsid w:val="0051240E"/>
    <w:rsid w:val="00523F8E"/>
    <w:rsid w:val="0053497F"/>
    <w:rsid w:val="005363E4"/>
    <w:rsid w:val="00563EBC"/>
    <w:rsid w:val="00583C2C"/>
    <w:rsid w:val="005920D8"/>
    <w:rsid w:val="005B2412"/>
    <w:rsid w:val="005C1C46"/>
    <w:rsid w:val="005E4BAE"/>
    <w:rsid w:val="00600EEA"/>
    <w:rsid w:val="006111AF"/>
    <w:rsid w:val="0064706A"/>
    <w:rsid w:val="006500CA"/>
    <w:rsid w:val="00662431"/>
    <w:rsid w:val="00680303"/>
    <w:rsid w:val="006C3C32"/>
    <w:rsid w:val="006D62F2"/>
    <w:rsid w:val="006E5B6A"/>
    <w:rsid w:val="006F0971"/>
    <w:rsid w:val="0070201F"/>
    <w:rsid w:val="00711891"/>
    <w:rsid w:val="0072334C"/>
    <w:rsid w:val="00742BF4"/>
    <w:rsid w:val="007510BF"/>
    <w:rsid w:val="00752ABE"/>
    <w:rsid w:val="0076262F"/>
    <w:rsid w:val="007662CD"/>
    <w:rsid w:val="0077325B"/>
    <w:rsid w:val="00780DF6"/>
    <w:rsid w:val="0078296C"/>
    <w:rsid w:val="007A0336"/>
    <w:rsid w:val="007B5400"/>
    <w:rsid w:val="007C1BA6"/>
    <w:rsid w:val="007D0F90"/>
    <w:rsid w:val="007D2D6B"/>
    <w:rsid w:val="007D6900"/>
    <w:rsid w:val="007E0569"/>
    <w:rsid w:val="007F01CB"/>
    <w:rsid w:val="008207F1"/>
    <w:rsid w:val="00827EB7"/>
    <w:rsid w:val="00834956"/>
    <w:rsid w:val="00850C7F"/>
    <w:rsid w:val="0085734B"/>
    <w:rsid w:val="008750BE"/>
    <w:rsid w:val="00895BEA"/>
    <w:rsid w:val="00897876"/>
    <w:rsid w:val="008A3497"/>
    <w:rsid w:val="008B2ECC"/>
    <w:rsid w:val="008C5C38"/>
    <w:rsid w:val="008D0FF3"/>
    <w:rsid w:val="008F0A38"/>
    <w:rsid w:val="009035AD"/>
    <w:rsid w:val="00917A54"/>
    <w:rsid w:val="009272E2"/>
    <w:rsid w:val="0093005A"/>
    <w:rsid w:val="00930401"/>
    <w:rsid w:val="00965D2A"/>
    <w:rsid w:val="0098296B"/>
    <w:rsid w:val="0098700E"/>
    <w:rsid w:val="00994C1E"/>
    <w:rsid w:val="009A6C13"/>
    <w:rsid w:val="009C198B"/>
    <w:rsid w:val="009D3106"/>
    <w:rsid w:val="009F0D14"/>
    <w:rsid w:val="00A21717"/>
    <w:rsid w:val="00A25150"/>
    <w:rsid w:val="00A3326B"/>
    <w:rsid w:val="00A36FE6"/>
    <w:rsid w:val="00A43553"/>
    <w:rsid w:val="00A56653"/>
    <w:rsid w:val="00A63E27"/>
    <w:rsid w:val="00A739BB"/>
    <w:rsid w:val="00A84F3A"/>
    <w:rsid w:val="00A93F7D"/>
    <w:rsid w:val="00A946A6"/>
    <w:rsid w:val="00A95F9C"/>
    <w:rsid w:val="00A96EE4"/>
    <w:rsid w:val="00AB22B3"/>
    <w:rsid w:val="00AB4224"/>
    <w:rsid w:val="00AB477A"/>
    <w:rsid w:val="00AC247E"/>
    <w:rsid w:val="00AC3EFA"/>
    <w:rsid w:val="00AD5C93"/>
    <w:rsid w:val="00B07F7C"/>
    <w:rsid w:val="00B11853"/>
    <w:rsid w:val="00B13D53"/>
    <w:rsid w:val="00B24AE4"/>
    <w:rsid w:val="00B357E7"/>
    <w:rsid w:val="00B359B5"/>
    <w:rsid w:val="00B841B2"/>
    <w:rsid w:val="00BD0F91"/>
    <w:rsid w:val="00BD519D"/>
    <w:rsid w:val="00BD62E0"/>
    <w:rsid w:val="00C020C0"/>
    <w:rsid w:val="00C1165A"/>
    <w:rsid w:val="00C21767"/>
    <w:rsid w:val="00C26074"/>
    <w:rsid w:val="00C30BC2"/>
    <w:rsid w:val="00C3502E"/>
    <w:rsid w:val="00C360AB"/>
    <w:rsid w:val="00C460D1"/>
    <w:rsid w:val="00C51A9C"/>
    <w:rsid w:val="00C5442A"/>
    <w:rsid w:val="00C56F45"/>
    <w:rsid w:val="00C66C45"/>
    <w:rsid w:val="00C83B0A"/>
    <w:rsid w:val="00CA5392"/>
    <w:rsid w:val="00CC0053"/>
    <w:rsid w:val="00CE1E0C"/>
    <w:rsid w:val="00CE277E"/>
    <w:rsid w:val="00CE4493"/>
    <w:rsid w:val="00D03692"/>
    <w:rsid w:val="00D073AE"/>
    <w:rsid w:val="00D113AC"/>
    <w:rsid w:val="00D51219"/>
    <w:rsid w:val="00D56867"/>
    <w:rsid w:val="00D60743"/>
    <w:rsid w:val="00D70706"/>
    <w:rsid w:val="00D73F59"/>
    <w:rsid w:val="00D83551"/>
    <w:rsid w:val="00DC5A4E"/>
    <w:rsid w:val="00DD45B3"/>
    <w:rsid w:val="00DE0BD3"/>
    <w:rsid w:val="00DE1576"/>
    <w:rsid w:val="00DE29D7"/>
    <w:rsid w:val="00DF674E"/>
    <w:rsid w:val="00DF6884"/>
    <w:rsid w:val="00E02A7F"/>
    <w:rsid w:val="00E07880"/>
    <w:rsid w:val="00E148F4"/>
    <w:rsid w:val="00E313D9"/>
    <w:rsid w:val="00E52021"/>
    <w:rsid w:val="00E57AD1"/>
    <w:rsid w:val="00E82621"/>
    <w:rsid w:val="00E82A7A"/>
    <w:rsid w:val="00E91283"/>
    <w:rsid w:val="00EA271E"/>
    <w:rsid w:val="00EB1710"/>
    <w:rsid w:val="00EB512F"/>
    <w:rsid w:val="00EB66E6"/>
    <w:rsid w:val="00EC2262"/>
    <w:rsid w:val="00EE58A6"/>
    <w:rsid w:val="00EF194D"/>
    <w:rsid w:val="00EF2C1B"/>
    <w:rsid w:val="00F07D93"/>
    <w:rsid w:val="00F22FEE"/>
    <w:rsid w:val="00F36535"/>
    <w:rsid w:val="00F54519"/>
    <w:rsid w:val="00F54CE1"/>
    <w:rsid w:val="00F566BE"/>
    <w:rsid w:val="00F64261"/>
    <w:rsid w:val="00F74A42"/>
    <w:rsid w:val="00F77C3E"/>
    <w:rsid w:val="00F77C9A"/>
    <w:rsid w:val="00F830A0"/>
    <w:rsid w:val="00F87A87"/>
    <w:rsid w:val="00FB0183"/>
    <w:rsid w:val="00FB02D7"/>
    <w:rsid w:val="00FB2F24"/>
    <w:rsid w:val="00FB576C"/>
    <w:rsid w:val="00FD2AA6"/>
    <w:rsid w:val="00FD6F24"/>
    <w:rsid w:val="00FE4833"/>
    <w:rsid w:val="00FE7E8A"/>
    <w:rsid w:val="00FF3883"/>
    <w:rsid w:val="0CB955DC"/>
    <w:rsid w:val="1E74716D"/>
    <w:rsid w:val="21984EBD"/>
    <w:rsid w:val="235270BD"/>
    <w:rsid w:val="29B00524"/>
    <w:rsid w:val="2C0440F9"/>
    <w:rsid w:val="2EAC685E"/>
    <w:rsid w:val="31093709"/>
    <w:rsid w:val="38D00FB2"/>
    <w:rsid w:val="3E063C6E"/>
    <w:rsid w:val="3F855800"/>
    <w:rsid w:val="414123F1"/>
    <w:rsid w:val="41BC716B"/>
    <w:rsid w:val="4B0E6155"/>
    <w:rsid w:val="4F325052"/>
    <w:rsid w:val="502D1A6E"/>
    <w:rsid w:val="5733096F"/>
    <w:rsid w:val="58323E21"/>
    <w:rsid w:val="587875D3"/>
    <w:rsid w:val="654079A2"/>
    <w:rsid w:val="6A605453"/>
    <w:rsid w:val="75931E91"/>
    <w:rsid w:val="FFBB3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9"/>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批注框文本 Char"/>
    <w:link w:val="3"/>
    <w:semiHidden/>
    <w:qFormat/>
    <w:uiPriority w:val="99"/>
    <w:rPr>
      <w:kern w:val="2"/>
      <w:sz w:val="18"/>
      <w:szCs w:val="18"/>
    </w:rPr>
  </w:style>
  <w:style w:type="character" w:customStyle="1" w:styleId="10">
    <w:name w:val="页脚 Char"/>
    <w:link w:val="4"/>
    <w:qFormat/>
    <w:uiPriority w:val="99"/>
    <w:rPr>
      <w:kern w:val="2"/>
      <w:sz w:val="18"/>
      <w:szCs w:val="18"/>
    </w:rPr>
  </w:style>
  <w:style w:type="character" w:customStyle="1" w:styleId="11">
    <w:name w:val="页眉 Char"/>
    <w:link w:val="5"/>
    <w:semiHidden/>
    <w:qFormat/>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paragraph" w:customStyle="1" w:styleId="13">
    <w:name w:val="Revisio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159</Words>
  <Characters>908</Characters>
  <Lines>7</Lines>
  <Paragraphs>2</Paragraphs>
  <TotalTime>5</TotalTime>
  <ScaleCrop>false</ScaleCrop>
  <LinksUpToDate>false</LinksUpToDate>
  <CharactersWithSpaces>1065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2023-07-14T09:43:00Z</dcterms:created>
  <dc:creator>Legend User</dc:creator>
  <cp:lastModifiedBy>ysgz</cp:lastModifiedBy>
  <cp:lastPrinted>2019-12-05T15:53:00Z</cp:lastPrinted>
  <dcterms:modified xsi:type="dcterms:W3CDTF">2023-07-20T10:42:13Z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E0126951EEA94BECBBE98D44DD5CE9FF_12</vt:lpwstr>
  </property>
</Properties>
</file>