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hint="eastAsia" w:ascii="方正小标宋_GBK" w:hAnsi="方正小标宋_GBK" w:eastAsia="方正小标宋_GBK" w:cs="方正小标宋_GBK"/>
          <w:color w:val="000000"/>
          <w:sz w:val="32"/>
          <w:szCs w:val="32"/>
        </w:rPr>
      </w:pPr>
      <w:r>
        <w:rPr>
          <w:rFonts w:hint="eastAsia" w:ascii="方正小标宋_GBK" w:hAnsi="方正小标宋_GBK" w:eastAsia="方正小标宋_GBK" w:cs="方正小标宋_GBK"/>
          <w:color w:val="000000"/>
          <w:sz w:val="32"/>
          <w:szCs w:val="32"/>
        </w:rPr>
        <w:t>贵州省液压油（</w:t>
      </w:r>
      <w:r>
        <w:rPr>
          <w:rFonts w:hint="eastAsia" w:ascii="方正小标宋_GBK" w:hAnsi="方正小标宋_GBK" w:eastAsia="方正小标宋_GBK" w:cs="方正小标宋_GBK"/>
          <w:color w:val="000000"/>
          <w:sz w:val="32"/>
          <w:szCs w:val="32"/>
        </w:rPr>
        <w:t>L-HL、L-HM、L-HV、L-HS、L-HG）产品质量监督抽查实施细则</w:t>
      </w:r>
    </w:p>
    <w:p>
      <w:pPr>
        <w:spacing w:line="440" w:lineRule="exact"/>
        <w:jc w:val="center"/>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（2023年版）</w:t>
      </w:r>
    </w:p>
    <w:p>
      <w:pPr>
        <w:spacing w:line="440" w:lineRule="exact"/>
        <w:ind w:firstLine="359" w:firstLineChars="171"/>
        <w:rPr>
          <w:rFonts w:ascii="Times New Roman" w:hAnsi="Times New Roman"/>
          <w:color w:val="000000"/>
          <w:szCs w:val="21"/>
        </w:rPr>
      </w:pPr>
    </w:p>
    <w:p>
      <w:pPr>
        <w:spacing w:line="440" w:lineRule="exact"/>
        <w:rPr>
          <w:rFonts w:hint="default" w:ascii="Times New Roman" w:hAnsi="Times New Roman" w:eastAsia="黑体" w:cs="Times New Roman"/>
          <w:color w:val="000000"/>
          <w:szCs w:val="21"/>
        </w:rPr>
      </w:pPr>
      <w:r>
        <w:rPr>
          <w:rFonts w:ascii="Times New Roman" w:hAnsi="Times New Roman" w:eastAsia="黑体"/>
          <w:color w:val="000000"/>
          <w:szCs w:val="21"/>
        </w:rPr>
        <w:t xml:space="preserve">1 </w:t>
      </w:r>
      <w:bookmarkStart w:id="2" w:name="_GoBack"/>
      <w:r>
        <w:rPr>
          <w:rFonts w:hint="default" w:ascii="Times New Roman" w:hAnsi="Times New Roman" w:eastAsia="黑体" w:cs="Times New Roman"/>
          <w:color w:val="000000"/>
          <w:szCs w:val="21"/>
        </w:rPr>
        <w:t>抽样方法</w:t>
      </w:r>
    </w:p>
    <w:p>
      <w:pPr>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以随机抽样的方式在被抽样生产者、销售者的待销产品中抽取。</w:t>
      </w:r>
    </w:p>
    <w:p>
      <w:pPr>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随机数一般可使用随机数表等方法产生。</w:t>
      </w:r>
    </w:p>
    <w:p>
      <w:pPr>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每批次产品抽取不少于3L独立包装样品2份。如产品独立包装＞20升或在成品罐抽样时，应按GB/T 4756—2015《石油液体手工取样法》进行取样。其中1份作为检验样品，1份作为备用样品。</w:t>
      </w:r>
    </w:p>
    <w:p>
      <w:pPr>
        <w:spacing w:line="440" w:lineRule="exact"/>
        <w:rPr>
          <w:rFonts w:hint="default" w:ascii="Times New Roman" w:hAnsi="Times New Roman" w:eastAsia="黑体" w:cs="Times New Roman"/>
          <w:color w:val="000000"/>
          <w:szCs w:val="21"/>
        </w:rPr>
      </w:pPr>
    </w:p>
    <w:p>
      <w:pPr>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2 检验依据</w:t>
      </w:r>
    </w:p>
    <w:p>
      <w:pPr>
        <w:spacing w:line="440" w:lineRule="exact"/>
        <w:rPr>
          <w:rFonts w:hint="default" w:ascii="Times New Roman" w:hAnsi="Times New Roman" w:eastAsia="黑体" w:cs="Times New Roman"/>
          <w:color w:val="000000"/>
          <w:szCs w:val="21"/>
        </w:rPr>
      </w:pPr>
    </w:p>
    <w:tbl>
      <w:tblPr>
        <w:tblStyle w:val="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8"/>
        <w:gridCol w:w="4384"/>
        <w:gridCol w:w="37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7"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序号</w:t>
            </w:r>
          </w:p>
        </w:tc>
        <w:tc>
          <w:tcPr>
            <w:tcW w:w="2390"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检验项目</w:t>
            </w:r>
          </w:p>
        </w:tc>
        <w:tc>
          <w:tcPr>
            <w:tcW w:w="2032"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7"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1</w:t>
            </w:r>
          </w:p>
        </w:tc>
        <w:tc>
          <w:tcPr>
            <w:tcW w:w="2390"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rPr>
              <w:t>运动黏度（40℃）</w:t>
            </w:r>
          </w:p>
        </w:tc>
        <w:tc>
          <w:tcPr>
            <w:tcW w:w="2032" w:type="pct"/>
            <w:vAlign w:val="center"/>
          </w:tcPr>
          <w:p>
            <w:pPr>
              <w:jc w:val="center"/>
              <w:rPr>
                <w:rFonts w:hint="default" w:ascii="Times New Roman" w:hAnsi="Times New Roman" w:eastAsia="宋体" w:cs="Times New Roman"/>
                <w:szCs w:val="21"/>
              </w:rPr>
            </w:pPr>
            <w:r>
              <w:rPr>
                <w:rFonts w:hint="default" w:ascii="Times New Roman" w:hAnsi="Times New Roman" w:cs="Times New Roman"/>
                <w:szCs w:val="21"/>
              </w:rPr>
              <w:t>GB/T 265-1988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7"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2</w:t>
            </w:r>
          </w:p>
        </w:tc>
        <w:tc>
          <w:tcPr>
            <w:tcW w:w="2390"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rPr>
              <w:t>运动黏度（0℃）</w:t>
            </w:r>
          </w:p>
        </w:tc>
        <w:tc>
          <w:tcPr>
            <w:tcW w:w="2032" w:type="pct"/>
            <w:vAlign w:val="center"/>
          </w:tcPr>
          <w:p>
            <w:pPr>
              <w:jc w:val="center"/>
              <w:rPr>
                <w:rFonts w:hint="default" w:ascii="Times New Roman" w:hAnsi="Times New Roman" w:eastAsia="宋体" w:cs="Times New Roman"/>
                <w:szCs w:val="21"/>
              </w:rPr>
            </w:pPr>
            <w:r>
              <w:rPr>
                <w:rFonts w:hint="default" w:ascii="Times New Roman" w:hAnsi="Times New Roman" w:cs="Times New Roman"/>
                <w:szCs w:val="21"/>
              </w:rPr>
              <w:t>GB/T 265-1988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77"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3</w:t>
            </w:r>
          </w:p>
        </w:tc>
        <w:tc>
          <w:tcPr>
            <w:tcW w:w="2390"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rPr>
              <w:t>黏度指数</w:t>
            </w:r>
          </w:p>
        </w:tc>
        <w:tc>
          <w:tcPr>
            <w:tcW w:w="2032" w:type="pct"/>
            <w:vAlign w:val="center"/>
          </w:tcPr>
          <w:p>
            <w:pPr>
              <w:ind w:firstLine="210" w:firstLineChars="100"/>
              <w:jc w:val="center"/>
              <w:rPr>
                <w:rFonts w:hint="default" w:ascii="Times New Roman" w:hAnsi="Times New Roman" w:cs="Times New Roman"/>
                <w:szCs w:val="21"/>
              </w:rPr>
            </w:pPr>
            <w:r>
              <w:rPr>
                <w:rFonts w:hint="default" w:ascii="Times New Roman" w:hAnsi="Times New Roman" w:cs="Times New Roman"/>
                <w:szCs w:val="21"/>
              </w:rPr>
              <w:t>GB/T 1995-1998</w:t>
            </w:r>
          </w:p>
          <w:p>
            <w:pPr>
              <w:jc w:val="center"/>
              <w:rPr>
                <w:rFonts w:hint="default" w:ascii="Times New Roman" w:hAnsi="Times New Roman" w:eastAsia="宋体" w:cs="Times New Roman"/>
                <w:szCs w:val="21"/>
              </w:rPr>
            </w:pPr>
            <w:r>
              <w:rPr>
                <w:rFonts w:hint="default" w:ascii="Times New Roman" w:hAnsi="Times New Roman" w:cs="Times New Roman"/>
                <w:szCs w:val="21"/>
              </w:rPr>
              <w:t>GB/T 2541-1981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7"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4</w:t>
            </w:r>
          </w:p>
        </w:tc>
        <w:tc>
          <w:tcPr>
            <w:tcW w:w="2390"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rPr>
              <w:t>闪点（开口）</w:t>
            </w:r>
          </w:p>
        </w:tc>
        <w:tc>
          <w:tcPr>
            <w:tcW w:w="2032" w:type="pct"/>
            <w:vAlign w:val="center"/>
          </w:tcPr>
          <w:p>
            <w:pPr>
              <w:jc w:val="center"/>
              <w:rPr>
                <w:rFonts w:hint="default" w:ascii="Times New Roman" w:hAnsi="Times New Roman" w:eastAsia="宋体" w:cs="Times New Roman"/>
                <w:szCs w:val="21"/>
              </w:rPr>
            </w:pPr>
            <w:r>
              <w:rPr>
                <w:rFonts w:hint="default" w:ascii="Times New Roman" w:hAnsi="Times New Roman" w:cs="Times New Roman"/>
                <w:szCs w:val="21"/>
              </w:rPr>
              <w:t>GB/T 3536-2008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7"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5</w:t>
            </w:r>
          </w:p>
        </w:tc>
        <w:tc>
          <w:tcPr>
            <w:tcW w:w="2390"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rPr>
              <w:t>倾点</w:t>
            </w:r>
          </w:p>
        </w:tc>
        <w:tc>
          <w:tcPr>
            <w:tcW w:w="2032" w:type="pct"/>
            <w:vAlign w:val="center"/>
          </w:tcPr>
          <w:p>
            <w:pPr>
              <w:jc w:val="center"/>
              <w:rPr>
                <w:rFonts w:hint="default" w:ascii="Times New Roman" w:hAnsi="Times New Roman" w:eastAsia="宋体" w:cs="Times New Roman"/>
                <w:szCs w:val="21"/>
              </w:rPr>
            </w:pPr>
            <w:r>
              <w:rPr>
                <w:rFonts w:hint="default" w:ascii="Times New Roman" w:hAnsi="Times New Roman" w:cs="Times New Roman"/>
                <w:szCs w:val="21"/>
              </w:rPr>
              <w:t>GB/T 3535-2006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7"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6</w:t>
            </w:r>
          </w:p>
        </w:tc>
        <w:tc>
          <w:tcPr>
            <w:tcW w:w="2390"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rPr>
              <w:t>水分</w:t>
            </w:r>
          </w:p>
        </w:tc>
        <w:tc>
          <w:tcPr>
            <w:tcW w:w="2032" w:type="pct"/>
            <w:vAlign w:val="center"/>
          </w:tcPr>
          <w:p>
            <w:pPr>
              <w:jc w:val="center"/>
              <w:rPr>
                <w:rFonts w:hint="default" w:ascii="Times New Roman" w:hAnsi="Times New Roman" w:eastAsia="宋体" w:cs="Times New Roman"/>
                <w:szCs w:val="21"/>
              </w:rPr>
            </w:pPr>
            <w:r>
              <w:rPr>
                <w:rFonts w:hint="default" w:ascii="Times New Roman" w:hAnsi="Times New Roman" w:cs="Times New Roman"/>
                <w:szCs w:val="21"/>
              </w:rPr>
              <w:t>GB/T 260-2016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77"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7</w:t>
            </w:r>
          </w:p>
        </w:tc>
        <w:tc>
          <w:tcPr>
            <w:tcW w:w="2390"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rPr>
              <w:t>机械杂质</w:t>
            </w:r>
          </w:p>
        </w:tc>
        <w:tc>
          <w:tcPr>
            <w:tcW w:w="2032" w:type="pct"/>
            <w:vAlign w:val="center"/>
          </w:tcPr>
          <w:p>
            <w:pPr>
              <w:jc w:val="center"/>
              <w:rPr>
                <w:rFonts w:hint="default" w:ascii="Times New Roman" w:hAnsi="Times New Roman" w:eastAsia="宋体" w:cs="Times New Roman"/>
                <w:szCs w:val="21"/>
              </w:rPr>
            </w:pPr>
            <w:r>
              <w:rPr>
                <w:rFonts w:hint="default" w:ascii="Times New Roman" w:hAnsi="Times New Roman" w:cs="Times New Roman"/>
                <w:szCs w:val="21"/>
              </w:rPr>
              <w:t>GB/T 511-2010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7"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8</w:t>
            </w:r>
          </w:p>
        </w:tc>
        <w:tc>
          <w:tcPr>
            <w:tcW w:w="2390"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rPr>
              <w:t>泡沫性</w:t>
            </w:r>
          </w:p>
        </w:tc>
        <w:tc>
          <w:tcPr>
            <w:tcW w:w="2032" w:type="pct"/>
            <w:vAlign w:val="center"/>
          </w:tcPr>
          <w:p>
            <w:pPr>
              <w:jc w:val="center"/>
              <w:rPr>
                <w:rFonts w:hint="default" w:ascii="Times New Roman" w:hAnsi="Times New Roman" w:eastAsia="宋体" w:cs="Times New Roman"/>
                <w:szCs w:val="21"/>
              </w:rPr>
            </w:pPr>
            <w:r>
              <w:rPr>
                <w:rFonts w:hint="default" w:ascii="Times New Roman" w:hAnsi="Times New Roman" w:cs="Times New Roman"/>
                <w:szCs w:val="21"/>
              </w:rPr>
              <w:t>GB/T 12579-2002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7"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9</w:t>
            </w:r>
          </w:p>
        </w:tc>
        <w:tc>
          <w:tcPr>
            <w:tcW w:w="2390"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rPr>
              <w:t>铜片腐蚀（100℃）</w:t>
            </w:r>
          </w:p>
        </w:tc>
        <w:tc>
          <w:tcPr>
            <w:tcW w:w="2032" w:type="pct"/>
            <w:vAlign w:val="center"/>
          </w:tcPr>
          <w:p>
            <w:pPr>
              <w:jc w:val="center"/>
              <w:rPr>
                <w:rFonts w:hint="default" w:ascii="Times New Roman" w:hAnsi="Times New Roman" w:eastAsia="宋体" w:cs="Times New Roman"/>
                <w:szCs w:val="21"/>
              </w:rPr>
            </w:pPr>
            <w:r>
              <w:rPr>
                <w:rFonts w:hint="default" w:ascii="Times New Roman" w:hAnsi="Times New Roman" w:cs="Times New Roman"/>
                <w:szCs w:val="21"/>
              </w:rPr>
              <w:t>GB/T 5096-2017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7"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10</w:t>
            </w:r>
          </w:p>
        </w:tc>
        <w:tc>
          <w:tcPr>
            <w:tcW w:w="2390" w:type="pct"/>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rPr>
              <w:t>抗乳化性</w:t>
            </w:r>
          </w:p>
        </w:tc>
        <w:tc>
          <w:tcPr>
            <w:tcW w:w="2032" w:type="pct"/>
            <w:vAlign w:val="center"/>
          </w:tcPr>
          <w:p>
            <w:pPr>
              <w:jc w:val="center"/>
              <w:rPr>
                <w:rFonts w:hint="default" w:ascii="Times New Roman" w:hAnsi="Times New Roman" w:eastAsia="宋体" w:cs="Times New Roman"/>
                <w:szCs w:val="21"/>
              </w:rPr>
            </w:pPr>
            <w:r>
              <w:rPr>
                <w:rFonts w:hint="default" w:ascii="Times New Roman" w:hAnsi="Times New Roman" w:cs="Times New Roman"/>
                <w:szCs w:val="21"/>
              </w:rPr>
              <w:t>GB/T 7305-2003</w:t>
            </w:r>
          </w:p>
        </w:tc>
      </w:tr>
    </w:tbl>
    <w:p>
      <w:pPr>
        <w:widowControl/>
        <w:adjustRightIn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执行企业标准、团体标准、地方标准的产品，检验项目参照上述内容执行。</w:t>
      </w:r>
    </w:p>
    <w:p>
      <w:pPr>
        <w:widowControl/>
        <w:adjustRightInd w:val="0"/>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凡是注日期的文件，其随后所有的修改单（不包括勘误的内容）或修订版不适用于本细则。凡是不注日期的文件，其最新版本适用于本细则。</w:t>
      </w:r>
    </w:p>
    <w:p>
      <w:pPr>
        <w:widowControl/>
        <w:adjustRightInd w:val="0"/>
        <w:spacing w:line="440" w:lineRule="exact"/>
        <w:ind w:firstLine="420" w:firstLineChars="200"/>
        <w:rPr>
          <w:rFonts w:hint="default" w:ascii="Times New Roman" w:hAnsi="Times New Roman" w:eastAsia="宋体" w:cs="Times New Roman"/>
          <w:color w:val="000000"/>
          <w:szCs w:val="21"/>
        </w:rPr>
      </w:pPr>
    </w:p>
    <w:p>
      <w:pPr>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3 判定规则</w:t>
      </w:r>
    </w:p>
    <w:p>
      <w:pPr>
        <w:spacing w:line="440" w:lineRule="exact"/>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3.1依据标准</w:t>
      </w:r>
    </w:p>
    <w:p>
      <w:pPr>
        <w:spacing w:line="440" w:lineRule="exact"/>
        <w:ind w:firstLine="420" w:firstLineChars="200"/>
        <w:rPr>
          <w:rFonts w:hint="default" w:ascii="Times New Roman" w:hAnsi="Times New Roman" w:eastAsia="宋体" w:cs="Times New Roman"/>
          <w:color w:val="000000"/>
          <w:szCs w:val="21"/>
        </w:rPr>
      </w:pPr>
      <w:bookmarkStart w:id="0" w:name="_Hlk32567754"/>
      <w:r>
        <w:rPr>
          <w:rFonts w:hint="default" w:ascii="Times New Roman" w:hAnsi="Times New Roman" w:eastAsia="宋体" w:cs="Times New Roman"/>
          <w:color w:val="000000"/>
          <w:szCs w:val="21"/>
        </w:rPr>
        <w:t>GB 11118.1-2011 液压油（L-HL、L-HM、L-HV、L-HS、L-HG）</w:t>
      </w:r>
    </w:p>
    <w:bookmarkEnd w:id="0"/>
    <w:p>
      <w:pPr>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现行有效的企业标准、团体标准、地方标准及产品明示质量要求</w:t>
      </w:r>
    </w:p>
    <w:p>
      <w:pPr>
        <w:spacing w:line="440" w:lineRule="exact"/>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3.2判定原则</w:t>
      </w:r>
    </w:p>
    <w:p>
      <w:pPr>
        <w:spacing w:line="440" w:lineRule="exact"/>
        <w:ind w:firstLine="420" w:firstLineChars="200"/>
        <w:rPr>
          <w:rFonts w:hint="default" w:ascii="Times New Roman" w:hAnsi="Times New Roman" w:eastAsia="宋体" w:cs="Times New Roman"/>
          <w:color w:val="000000"/>
          <w:szCs w:val="21"/>
        </w:rPr>
      </w:pPr>
      <w:bookmarkStart w:id="1" w:name="_Hlk33514746"/>
      <w:r>
        <w:rPr>
          <w:rFonts w:hint="default" w:ascii="Times New Roman" w:hAnsi="Times New Roman" w:eastAsia="宋体" w:cs="Times New Roman"/>
          <w:color w:val="000000"/>
          <w:szCs w:val="21"/>
        </w:rPr>
        <w:t>经检验，检验项目全部合格，判定为被抽查产品所检项目未发现不合格；检验项目中任一项或一项以上不合格，</w:t>
      </w:r>
      <w:r>
        <w:rPr>
          <w:rFonts w:hint="default" w:ascii="Times New Roman" w:hAnsi="Times New Roman" w:eastAsia="宋体" w:cs="Times New Roman"/>
          <w:szCs w:val="21"/>
        </w:rPr>
        <w:t>判定为被抽查产品不合格</w:t>
      </w:r>
      <w:r>
        <w:rPr>
          <w:rFonts w:hint="default" w:ascii="Times New Roman" w:hAnsi="Times New Roman" w:eastAsia="宋体" w:cs="Times New Roman"/>
          <w:color w:val="000000"/>
          <w:szCs w:val="21"/>
        </w:rPr>
        <w:t>。</w:t>
      </w:r>
    </w:p>
    <w:p>
      <w:pPr>
        <w:spacing w:line="440" w:lineRule="exact"/>
        <w:ind w:firstLine="417" w:firstLineChars="199"/>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若被检产品明示的质量要求高于本细则中检验项目依据的标准要求时，应按被检产品明示的质量要求判定。</w:t>
      </w:r>
    </w:p>
    <w:p>
      <w:pPr>
        <w:spacing w:line="440" w:lineRule="exact"/>
        <w:ind w:firstLine="417" w:firstLineChars="199"/>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若被检产品明示的质量要求低于本细则中检验项目依据的强制性标准要求时，应按照强制性标准要求判定。</w:t>
      </w:r>
    </w:p>
    <w:p>
      <w:pPr>
        <w:spacing w:line="440" w:lineRule="exact"/>
        <w:ind w:firstLine="417" w:firstLineChars="199"/>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若被检产品明示的质量要求低于或包含本细则中检验项目依据的推荐性标准要求时，应以被检产品明示的质量要求判定。</w:t>
      </w:r>
    </w:p>
    <w:p>
      <w:pPr>
        <w:spacing w:line="440" w:lineRule="exact"/>
        <w:ind w:firstLine="417" w:firstLineChars="199"/>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若被检产品明示的质量要求缺少本细则中检验项目依据的强制性标准要求时，应按照强制性标准要求判定。</w:t>
      </w:r>
    </w:p>
    <w:p>
      <w:pPr>
        <w:spacing w:line="440" w:lineRule="exact"/>
        <w:ind w:firstLine="417" w:firstLineChars="199"/>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若被检产品明示的质量要求缺少本细则中检验项目依据的推荐性标准要求时，该项目不参与判定。</w:t>
      </w:r>
    </w:p>
    <w:p>
      <w:pPr>
        <w:spacing w:line="440" w:lineRule="exact"/>
        <w:ind w:firstLine="417" w:firstLineChars="199"/>
        <w:rPr>
          <w:rFonts w:hint="default" w:ascii="Times New Roman" w:hAnsi="Times New Roman" w:cs="Times New Roman"/>
          <w:color w:val="000000"/>
          <w:szCs w:val="21"/>
        </w:rPr>
      </w:pPr>
    </w:p>
    <w:bookmarkEnd w:id="1"/>
    <w:p>
      <w:pPr>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4 附则</w:t>
      </w:r>
    </w:p>
    <w:p>
      <w:pPr>
        <w:spacing w:line="440" w:lineRule="exact"/>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本细则首次发布。</w:t>
      </w:r>
    </w:p>
    <w:bookmarkEnd w:id="2"/>
    <w:sectPr>
      <w:headerReference r:id="rId3" w:type="default"/>
      <w:footerReference r:id="rId4" w:type="default"/>
      <w:footerReference r:id="rId5" w:type="even"/>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简体">
    <w:panose1 w:val="03000509000000000000"/>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微软雅黑">
    <w:altName w:val="黑体"/>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bordersDoNotSurroundHeader w:val="true"/>
  <w:bordersDoNotSurroundFooter w:val="true"/>
  <w:documentProtection w:enforcement="0"/>
  <w:defaultTabStop w:val="420"/>
  <w:drawingGridHorizontalSpacing w:val="105"/>
  <w:drawingGridVerticalSpacing w:val="156"/>
  <w:noPunctuationKerning w:val="true"/>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FhN2Y1NWVlNTVkMGM3NTM5N2Y5NzAwMzFhN2VkOTYifQ=="/>
  </w:docVars>
  <w:rsids>
    <w:rsidRoot w:val="00172A27"/>
    <w:rsid w:val="00051A44"/>
    <w:rsid w:val="0008099D"/>
    <w:rsid w:val="00081CBD"/>
    <w:rsid w:val="00091A2D"/>
    <w:rsid w:val="000976DE"/>
    <w:rsid w:val="000A5F22"/>
    <w:rsid w:val="000B5F1F"/>
    <w:rsid w:val="000D7B46"/>
    <w:rsid w:val="001106BC"/>
    <w:rsid w:val="00143B76"/>
    <w:rsid w:val="00170850"/>
    <w:rsid w:val="00171854"/>
    <w:rsid w:val="00172A27"/>
    <w:rsid w:val="001809DD"/>
    <w:rsid w:val="00181732"/>
    <w:rsid w:val="001C767E"/>
    <w:rsid w:val="001D7328"/>
    <w:rsid w:val="001E3F0B"/>
    <w:rsid w:val="001F403D"/>
    <w:rsid w:val="001F53BB"/>
    <w:rsid w:val="00253624"/>
    <w:rsid w:val="00296A6F"/>
    <w:rsid w:val="002A6D41"/>
    <w:rsid w:val="002D7F8A"/>
    <w:rsid w:val="002E0574"/>
    <w:rsid w:val="002E0D1D"/>
    <w:rsid w:val="003203A3"/>
    <w:rsid w:val="00325881"/>
    <w:rsid w:val="003358F7"/>
    <w:rsid w:val="003A4007"/>
    <w:rsid w:val="003A7E00"/>
    <w:rsid w:val="003C388C"/>
    <w:rsid w:val="003E61BF"/>
    <w:rsid w:val="00413924"/>
    <w:rsid w:val="004167D2"/>
    <w:rsid w:val="004441A8"/>
    <w:rsid w:val="00445E86"/>
    <w:rsid w:val="004664D9"/>
    <w:rsid w:val="00474E04"/>
    <w:rsid w:val="00475C6D"/>
    <w:rsid w:val="004A44B4"/>
    <w:rsid w:val="004A6376"/>
    <w:rsid w:val="004B79B3"/>
    <w:rsid w:val="004C5CBC"/>
    <w:rsid w:val="004D0C5A"/>
    <w:rsid w:val="004E1396"/>
    <w:rsid w:val="005029C8"/>
    <w:rsid w:val="005138E4"/>
    <w:rsid w:val="00517CC3"/>
    <w:rsid w:val="005213B8"/>
    <w:rsid w:val="00532383"/>
    <w:rsid w:val="00563EBC"/>
    <w:rsid w:val="005A64E2"/>
    <w:rsid w:val="005B5A8F"/>
    <w:rsid w:val="005E4B7A"/>
    <w:rsid w:val="00610158"/>
    <w:rsid w:val="00617EEB"/>
    <w:rsid w:val="0063117D"/>
    <w:rsid w:val="0063518D"/>
    <w:rsid w:val="00652CBC"/>
    <w:rsid w:val="006603E7"/>
    <w:rsid w:val="00693C32"/>
    <w:rsid w:val="00695B38"/>
    <w:rsid w:val="006971FF"/>
    <w:rsid w:val="006B2ED2"/>
    <w:rsid w:val="006C166F"/>
    <w:rsid w:val="006E1171"/>
    <w:rsid w:val="006F0971"/>
    <w:rsid w:val="006F5628"/>
    <w:rsid w:val="006F7CCC"/>
    <w:rsid w:val="0072334C"/>
    <w:rsid w:val="007250A4"/>
    <w:rsid w:val="00760E9F"/>
    <w:rsid w:val="00777C1B"/>
    <w:rsid w:val="007A029D"/>
    <w:rsid w:val="007A7169"/>
    <w:rsid w:val="007C2E6A"/>
    <w:rsid w:val="00841DAD"/>
    <w:rsid w:val="00895BEA"/>
    <w:rsid w:val="008A3497"/>
    <w:rsid w:val="008C20FA"/>
    <w:rsid w:val="008C3647"/>
    <w:rsid w:val="008C613B"/>
    <w:rsid w:val="008D6D6C"/>
    <w:rsid w:val="008D6FA1"/>
    <w:rsid w:val="00917A54"/>
    <w:rsid w:val="00945F3A"/>
    <w:rsid w:val="0095769F"/>
    <w:rsid w:val="0096024D"/>
    <w:rsid w:val="00962774"/>
    <w:rsid w:val="00973305"/>
    <w:rsid w:val="0098353F"/>
    <w:rsid w:val="009955AE"/>
    <w:rsid w:val="009C7E9C"/>
    <w:rsid w:val="009F0624"/>
    <w:rsid w:val="009F0B23"/>
    <w:rsid w:val="00A16D36"/>
    <w:rsid w:val="00A36E43"/>
    <w:rsid w:val="00A43553"/>
    <w:rsid w:val="00A4441E"/>
    <w:rsid w:val="00A84C42"/>
    <w:rsid w:val="00B02932"/>
    <w:rsid w:val="00B362C0"/>
    <w:rsid w:val="00B63617"/>
    <w:rsid w:val="00B656CC"/>
    <w:rsid w:val="00B661C1"/>
    <w:rsid w:val="00BA7BA7"/>
    <w:rsid w:val="00BC4FA6"/>
    <w:rsid w:val="00BF2B8C"/>
    <w:rsid w:val="00BF3D33"/>
    <w:rsid w:val="00C016B1"/>
    <w:rsid w:val="00C26074"/>
    <w:rsid w:val="00C41533"/>
    <w:rsid w:val="00C660AE"/>
    <w:rsid w:val="00C6738A"/>
    <w:rsid w:val="00C83B0A"/>
    <w:rsid w:val="00CB4149"/>
    <w:rsid w:val="00CC0F3D"/>
    <w:rsid w:val="00CC69E4"/>
    <w:rsid w:val="00CD1D2A"/>
    <w:rsid w:val="00CE1E0C"/>
    <w:rsid w:val="00CE277E"/>
    <w:rsid w:val="00D16E10"/>
    <w:rsid w:val="00D219DE"/>
    <w:rsid w:val="00D35B0F"/>
    <w:rsid w:val="00D56867"/>
    <w:rsid w:val="00D73F28"/>
    <w:rsid w:val="00D81051"/>
    <w:rsid w:val="00DA697A"/>
    <w:rsid w:val="00DC02CC"/>
    <w:rsid w:val="00DD1BBE"/>
    <w:rsid w:val="00DD3D1B"/>
    <w:rsid w:val="00DE1949"/>
    <w:rsid w:val="00E02A7F"/>
    <w:rsid w:val="00E057AE"/>
    <w:rsid w:val="00E07880"/>
    <w:rsid w:val="00E734CF"/>
    <w:rsid w:val="00E809EC"/>
    <w:rsid w:val="00E82621"/>
    <w:rsid w:val="00E8350D"/>
    <w:rsid w:val="00E87FAC"/>
    <w:rsid w:val="00E92CD8"/>
    <w:rsid w:val="00E94B23"/>
    <w:rsid w:val="00EB2852"/>
    <w:rsid w:val="00EF0881"/>
    <w:rsid w:val="00F14804"/>
    <w:rsid w:val="00F5020C"/>
    <w:rsid w:val="00F77C9A"/>
    <w:rsid w:val="00F9194C"/>
    <w:rsid w:val="00FA577F"/>
    <w:rsid w:val="00FB576C"/>
    <w:rsid w:val="00FD03A4"/>
    <w:rsid w:val="00FD2AA6"/>
    <w:rsid w:val="00FE4400"/>
    <w:rsid w:val="00FE7E8A"/>
    <w:rsid w:val="04BE40B7"/>
    <w:rsid w:val="05982F1A"/>
    <w:rsid w:val="0C6C6115"/>
    <w:rsid w:val="0E234566"/>
    <w:rsid w:val="154F44FB"/>
    <w:rsid w:val="17840BF8"/>
    <w:rsid w:val="179A0D2C"/>
    <w:rsid w:val="190B6DE1"/>
    <w:rsid w:val="1A240631"/>
    <w:rsid w:val="1F7FDE1D"/>
    <w:rsid w:val="2CE20760"/>
    <w:rsid w:val="2EFB787C"/>
    <w:rsid w:val="305C4943"/>
    <w:rsid w:val="3137047A"/>
    <w:rsid w:val="38072860"/>
    <w:rsid w:val="41B32F1C"/>
    <w:rsid w:val="41BC3268"/>
    <w:rsid w:val="47A95A72"/>
    <w:rsid w:val="4C0D0F29"/>
    <w:rsid w:val="5168201D"/>
    <w:rsid w:val="5544469C"/>
    <w:rsid w:val="5BCA632F"/>
    <w:rsid w:val="5BF5614E"/>
    <w:rsid w:val="5C9D5271"/>
    <w:rsid w:val="6223045D"/>
    <w:rsid w:val="63262489"/>
    <w:rsid w:val="64FB20DA"/>
    <w:rsid w:val="6718662D"/>
    <w:rsid w:val="6B05757B"/>
    <w:rsid w:val="74F745B5"/>
    <w:rsid w:val="761551FF"/>
    <w:rsid w:val="76544FD4"/>
    <w:rsid w:val="78692E0F"/>
    <w:rsid w:val="793D62F0"/>
    <w:rsid w:val="7E94478F"/>
    <w:rsid w:val="7EAB21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仿宋" w:eastAsia="仿宋_GB2312" w:cs="方正仿宋简体"/>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unhideWhenUsed/>
    <w:qFormat/>
    <w:uiPriority w:val="99"/>
    <w:pPr>
      <w:jc w:val="left"/>
    </w:pPr>
    <w:rPr>
      <w:rFonts w:cs="Times New Roman"/>
    </w:rPr>
  </w:style>
  <w:style w:type="paragraph" w:styleId="3">
    <w:name w:val="Balloon Text"/>
    <w:basedOn w:val="1"/>
    <w:link w:val="16"/>
    <w:unhideWhenUsed/>
    <w:qFormat/>
    <w:uiPriority w:val="99"/>
    <w:rPr>
      <w:rFonts w:cs="Times New Roman"/>
      <w:sz w:val="18"/>
      <w:szCs w:val="18"/>
    </w:rPr>
  </w:style>
  <w:style w:type="paragraph" w:styleId="4">
    <w:name w:val="footer"/>
    <w:basedOn w:val="1"/>
    <w:link w:val="14"/>
    <w:unhideWhenUsed/>
    <w:qFormat/>
    <w:uiPriority w:val="99"/>
    <w:pPr>
      <w:tabs>
        <w:tab w:val="center" w:pos="4153"/>
        <w:tab w:val="right" w:pos="8306"/>
      </w:tabs>
      <w:snapToGrid w:val="0"/>
      <w:jc w:val="left"/>
    </w:pPr>
    <w:rPr>
      <w:rFonts w:cs="Times New Roman"/>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rFonts w:cs="Times New Roman"/>
      <w:sz w:val="18"/>
      <w:szCs w:val="18"/>
    </w:rPr>
  </w:style>
  <w:style w:type="paragraph" w:styleId="6">
    <w:name w:val="annotation subject"/>
    <w:basedOn w:val="2"/>
    <w:next w:val="2"/>
    <w:link w:val="15"/>
    <w:unhideWhenUsed/>
    <w:qFormat/>
    <w:uiPriority w:val="99"/>
    <w:rPr>
      <w:b/>
      <w:bCs/>
    </w:rPr>
  </w:style>
  <w:style w:type="character" w:styleId="9">
    <w:name w:val="page number"/>
    <w:basedOn w:val="8"/>
    <w:qFormat/>
    <w:uiPriority w:val="0"/>
  </w:style>
  <w:style w:type="character" w:styleId="10">
    <w:name w:val="FollowedHyperlink"/>
    <w:basedOn w:val="8"/>
    <w:semiHidden/>
    <w:unhideWhenUsed/>
    <w:qFormat/>
    <w:uiPriority w:val="99"/>
    <w:rPr>
      <w:color w:val="262626"/>
      <w:u w:val="none"/>
    </w:rPr>
  </w:style>
  <w:style w:type="character" w:styleId="11">
    <w:name w:val="Hyperlink"/>
    <w:basedOn w:val="8"/>
    <w:semiHidden/>
    <w:unhideWhenUsed/>
    <w:qFormat/>
    <w:uiPriority w:val="99"/>
    <w:rPr>
      <w:color w:val="262626"/>
      <w:u w:val="none"/>
    </w:rPr>
  </w:style>
  <w:style w:type="character" w:styleId="12">
    <w:name w:val="annotation reference"/>
    <w:unhideWhenUsed/>
    <w:qFormat/>
    <w:uiPriority w:val="99"/>
    <w:rPr>
      <w:sz w:val="21"/>
      <w:szCs w:val="21"/>
    </w:rPr>
  </w:style>
  <w:style w:type="character" w:customStyle="1" w:styleId="13">
    <w:name w:val="页眉 字符"/>
    <w:link w:val="5"/>
    <w:semiHidden/>
    <w:qFormat/>
    <w:uiPriority w:val="99"/>
    <w:rPr>
      <w:kern w:val="2"/>
      <w:sz w:val="18"/>
      <w:szCs w:val="18"/>
    </w:rPr>
  </w:style>
  <w:style w:type="character" w:customStyle="1" w:styleId="14">
    <w:name w:val="页脚 字符"/>
    <w:link w:val="4"/>
    <w:qFormat/>
    <w:uiPriority w:val="99"/>
    <w:rPr>
      <w:kern w:val="2"/>
      <w:sz w:val="18"/>
      <w:szCs w:val="18"/>
    </w:rPr>
  </w:style>
  <w:style w:type="character" w:customStyle="1" w:styleId="15">
    <w:name w:val="批注主题 字符"/>
    <w:link w:val="6"/>
    <w:semiHidden/>
    <w:qFormat/>
    <w:uiPriority w:val="99"/>
    <w:rPr>
      <w:b/>
      <w:bCs/>
      <w:kern w:val="2"/>
      <w:sz w:val="21"/>
      <w:szCs w:val="24"/>
    </w:rPr>
  </w:style>
  <w:style w:type="character" w:customStyle="1" w:styleId="16">
    <w:name w:val="批注框文本 字符"/>
    <w:link w:val="3"/>
    <w:semiHidden/>
    <w:qFormat/>
    <w:uiPriority w:val="99"/>
    <w:rPr>
      <w:kern w:val="2"/>
      <w:sz w:val="18"/>
      <w:szCs w:val="18"/>
    </w:rPr>
  </w:style>
  <w:style w:type="character" w:customStyle="1" w:styleId="17">
    <w:name w:val="批注文字 字符"/>
    <w:link w:val="2"/>
    <w:semiHidden/>
    <w:qFormat/>
    <w:uiPriority w:val="99"/>
    <w:rPr>
      <w:kern w:val="2"/>
      <w:sz w:val="21"/>
      <w:szCs w:val="24"/>
    </w:rPr>
  </w:style>
  <w:style w:type="paragraph" w:customStyle="1" w:styleId="18">
    <w:name w:val="列出段落1"/>
    <w:basedOn w:val="1"/>
    <w:qFormat/>
    <w:uiPriority w:val="34"/>
    <w:pPr>
      <w:ind w:firstLine="420" w:firstLineChars="200"/>
    </w:pPr>
    <w:rPr>
      <w:rFonts w:ascii="Calibri" w:hAnsi="Calibri"/>
      <w:szCs w:val="22"/>
    </w:rPr>
  </w:style>
  <w:style w:type="paragraph" w:customStyle="1" w:styleId="19">
    <w:name w:val="修订1"/>
    <w:hidden/>
    <w:unhideWhenUsed/>
    <w:qFormat/>
    <w:uiPriority w:val="99"/>
    <w:rPr>
      <w:rFonts w:ascii="仿宋_GB2312" w:hAnsi="仿宋" w:eastAsia="仿宋_GB2312" w:cs="方正仿宋简体"/>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Legend (Beijing) Limited</Company>
  <Pages>2</Pages>
  <Words>723</Words>
  <Characters>907</Characters>
  <Lines>7</Lines>
  <Paragraphs>2</Paragraphs>
  <TotalTime>2</TotalTime>
  <ScaleCrop>false</ScaleCrop>
  <LinksUpToDate>false</LinksUpToDate>
  <CharactersWithSpaces>932</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2023-07-04T15:28:00Z</dcterms:created>
  <dc:creator>Legend User</dc:creator>
  <cp:lastModifiedBy>ysgz</cp:lastModifiedBy>
  <cp:lastPrinted>2019-12-05T15:53:00Z</cp:lastPrinted>
  <dcterms:modified xsi:type="dcterms:W3CDTF">2023-07-20T18:00:08Z</dcterms:modified>
  <dc:title>××产品质量监督抽查实施细则</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KSOSaveFontToCloudKey">
    <vt:lpwstr>550453206_embed</vt:lpwstr>
  </property>
  <property fmtid="{D5CDD505-2E9C-101B-9397-08002B2CF9AE}" pid="4" name="ICV">
    <vt:lpwstr>C134AEEA625B45438C46E71307C1FD79</vt:lpwstr>
  </property>
</Properties>
</file>