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sz w:val="32"/>
          <w:szCs w:val="32"/>
        </w:rPr>
      </w:pPr>
      <w:bookmarkStart w:id="0" w:name="_Hlk29479244"/>
      <w:r>
        <w:rPr>
          <w:rFonts w:hint="eastAsia" w:ascii="方正小标宋_GBK" w:hAnsi="方正小标宋_GBK" w:eastAsia="方正小标宋_GBK" w:cs="方正小标宋_GBK"/>
          <w:sz w:val="32"/>
          <w:szCs w:val="32"/>
          <w:lang w:eastAsia="zh-CN"/>
        </w:rPr>
        <w:t>贵</w:t>
      </w:r>
      <w:r>
        <w:rPr>
          <w:rFonts w:hint="eastAsia" w:ascii="方正小标宋_GBK" w:hAnsi="方正小标宋_GBK" w:eastAsia="方正小标宋_GBK" w:cs="方正小标宋_GBK"/>
          <w:sz w:val="32"/>
          <w:szCs w:val="32"/>
        </w:rPr>
        <w:t>州省复肥</w:t>
      </w:r>
      <w:bookmarkEnd w:id="0"/>
      <w:r>
        <w:rPr>
          <w:rFonts w:hint="eastAsia" w:ascii="方正小标宋_GBK" w:hAnsi="方正小标宋_GBK" w:eastAsia="方正小标宋_GBK" w:cs="方正小标宋_GBK"/>
          <w:sz w:val="32"/>
          <w:szCs w:val="32"/>
        </w:rPr>
        <w:t>产品质量监督抽查实施细则</w:t>
      </w:r>
    </w:p>
    <w:p>
      <w:pPr>
        <w:spacing w:line="44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（2023年</w:t>
      </w:r>
      <w:bookmarkStart w:id="4" w:name="_GoBack"/>
      <w:bookmarkEnd w:id="4"/>
      <w:r>
        <w:rPr>
          <w:rFonts w:hint="eastAsia" w:ascii="楷体_GB2312" w:hAnsi="楷体_GB2312" w:eastAsia="楷体_GB2312" w:cs="楷体_GB2312"/>
          <w:sz w:val="32"/>
          <w:szCs w:val="32"/>
        </w:rPr>
        <w:t>版）</w:t>
      </w:r>
    </w:p>
    <w:p>
      <w:pPr>
        <w:adjustRightInd w:val="0"/>
        <w:snapToGrid w:val="0"/>
        <w:spacing w:line="594" w:lineRule="exact"/>
        <w:jc w:val="center"/>
        <w:rPr>
          <w:rFonts w:eastAsia="方正小标宋简体"/>
          <w:sz w:val="32"/>
          <w:szCs w:val="32"/>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rFonts w:ascii="宋体" w:hAnsi="宋体"/>
          <w:szCs w:val="21"/>
        </w:rPr>
      </w:pPr>
      <w:bookmarkStart w:id="1" w:name="_Hlk40800877"/>
      <w:r>
        <w:rPr>
          <w:rFonts w:hint="eastAsia" w:ascii="宋体" w:hAnsi="宋体"/>
          <w:szCs w:val="21"/>
        </w:rPr>
        <w:t>将样品缩分至约1kg，再缩分成两份，分装于2个洁净、干燥的塑料瓶中。</w:t>
      </w:r>
      <w:r>
        <w:rPr>
          <w:rFonts w:ascii="宋体" w:hAnsi="宋体"/>
          <w:szCs w:val="21"/>
        </w:rPr>
        <w:t>1</w:t>
      </w:r>
      <w:r>
        <w:rPr>
          <w:rFonts w:hint="eastAsia" w:ascii="宋体" w:hAnsi="宋体"/>
          <w:szCs w:val="21"/>
        </w:rPr>
        <w:t>瓶作为检验样品，另</w:t>
      </w:r>
      <w:r>
        <w:rPr>
          <w:rFonts w:ascii="宋体" w:hAnsi="宋体"/>
          <w:szCs w:val="21"/>
        </w:rPr>
        <w:t>1</w:t>
      </w:r>
      <w:r>
        <w:rPr>
          <w:rFonts w:hint="eastAsia" w:ascii="宋体" w:hAnsi="宋体"/>
          <w:szCs w:val="21"/>
        </w:rPr>
        <w:t>瓶作为备用样品。</w:t>
      </w:r>
    </w:p>
    <w:bookmarkEnd w:id="1"/>
    <w:p>
      <w:pPr>
        <w:snapToGrid w:val="0"/>
        <w:spacing w:line="440" w:lineRule="exact"/>
        <w:rPr>
          <w:rFonts w:eastAsia="黑体"/>
          <w:szCs w:val="21"/>
        </w:rPr>
      </w:pPr>
    </w:p>
    <w:p>
      <w:pPr>
        <w:snapToGrid w:val="0"/>
        <w:spacing w:line="440" w:lineRule="exact"/>
        <w:rPr>
          <w:rFonts w:eastAsia="黑体"/>
          <w:bCs/>
          <w:szCs w:val="21"/>
        </w:rPr>
      </w:pPr>
      <w:r>
        <w:rPr>
          <w:rFonts w:eastAsia="黑体"/>
          <w:szCs w:val="21"/>
        </w:rPr>
        <w:t>2 检验依据</w:t>
      </w:r>
    </w:p>
    <w:p>
      <w:pPr>
        <w:snapToGrid w:val="0"/>
        <w:spacing w:line="440" w:lineRule="exact"/>
        <w:jc w:val="center"/>
        <w:rPr>
          <w:kern w:val="0"/>
          <w:szCs w:val="21"/>
          <w:u w:val="none"/>
        </w:rPr>
      </w:pPr>
      <w:r>
        <w:rPr>
          <w:bCs/>
          <w:color w:val="auto"/>
          <w:szCs w:val="21"/>
        </w:rPr>
        <w:t>表1</w:t>
      </w:r>
      <w:r>
        <w:rPr>
          <w:kern w:val="0"/>
          <w:szCs w:val="21"/>
          <w:u w:val="none"/>
        </w:rPr>
        <w:t>复合肥料</w:t>
      </w:r>
    </w:p>
    <w:tbl>
      <w:tblPr>
        <w:tblStyle w:val="5"/>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4678"/>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trPr>
        <w:tc>
          <w:tcPr>
            <w:tcW w:w="699" w:type="dxa"/>
            <w:tcBorders>
              <w:tl2br w:val="nil"/>
              <w:tr2bl w:val="nil"/>
            </w:tcBorders>
            <w:shd w:val="clear" w:color="auto" w:fill="FFFFFF"/>
            <w:noWrap/>
            <w:vAlign w:val="center"/>
          </w:tcPr>
          <w:p>
            <w:pPr>
              <w:widowControl/>
              <w:jc w:val="center"/>
              <w:rPr>
                <w:kern w:val="0"/>
                <w:szCs w:val="21"/>
              </w:rPr>
            </w:pPr>
            <w:r>
              <w:rPr>
                <w:kern w:val="0"/>
                <w:szCs w:val="21"/>
              </w:rPr>
              <w:t>序号</w:t>
            </w: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检验项目</w:t>
            </w:r>
          </w:p>
        </w:tc>
        <w:tc>
          <w:tcPr>
            <w:tcW w:w="3685" w:type="dxa"/>
            <w:tcBorders>
              <w:tl2br w:val="nil"/>
              <w:tr2bl w:val="nil"/>
            </w:tcBorders>
            <w:shd w:val="clear" w:color="auto" w:fill="FFFFFF"/>
            <w:vAlign w:val="center"/>
          </w:tcPr>
          <w:p>
            <w:pPr>
              <w:widowControl/>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总养分(N+P</w:t>
            </w:r>
            <w:r>
              <w:rPr>
                <w:kern w:val="0"/>
                <w:szCs w:val="21"/>
                <w:vertAlign w:val="subscript"/>
              </w:rPr>
              <w:t>2</w:t>
            </w:r>
            <w:r>
              <w:rPr>
                <w:kern w:val="0"/>
                <w:szCs w:val="21"/>
              </w:rPr>
              <w:t>O</w:t>
            </w:r>
            <w:r>
              <w:rPr>
                <w:kern w:val="0"/>
                <w:szCs w:val="21"/>
                <w:vertAlign w:val="subscript"/>
              </w:rPr>
              <w:t>5</w:t>
            </w:r>
            <w:r>
              <w:rPr>
                <w:kern w:val="0"/>
                <w:szCs w:val="21"/>
              </w:rPr>
              <w:t>+K</w:t>
            </w:r>
            <w:r>
              <w:rPr>
                <w:kern w:val="0"/>
                <w:szCs w:val="21"/>
                <w:vertAlign w:val="subscript"/>
              </w:rPr>
              <w:t>2</w:t>
            </w:r>
            <w:r>
              <w:rPr>
                <w:kern w:val="0"/>
                <w:szCs w:val="21"/>
              </w:rPr>
              <w:t>O)</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总氮(N)</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8572-2010</w:t>
            </w:r>
          </w:p>
          <w:p>
            <w:pPr>
              <w:widowControl/>
              <w:jc w:val="center"/>
              <w:rPr>
                <w:rFonts w:hint="eastAsia"/>
                <w:color w:val="auto"/>
                <w:kern w:val="0"/>
                <w:szCs w:val="21"/>
              </w:rPr>
            </w:pPr>
            <w:r>
              <w:rPr>
                <w:rFonts w:hint="eastAsia"/>
                <w:color w:val="auto"/>
                <w:kern w:val="0"/>
                <w:szCs w:val="21"/>
              </w:rPr>
              <w:t>GB/T 22923-2008</w:t>
            </w:r>
          </w:p>
          <w:p>
            <w:pPr>
              <w:keepNext w:val="0"/>
              <w:keepLines w:val="0"/>
              <w:widowControl/>
              <w:suppressLineNumbers w:val="0"/>
              <w:jc w:val="center"/>
              <w:rPr>
                <w:rFonts w:hint="eastAsia"/>
                <w:kern w:val="0"/>
                <w:szCs w:val="21"/>
              </w:rPr>
            </w:pPr>
            <w:r>
              <w:rPr>
                <w:rFonts w:hint="default" w:ascii="Times New Roman" w:hAnsi="Times New Roman" w:eastAsia="宋体" w:cs="Times New Roman"/>
                <w:color w:val="auto"/>
                <w:kern w:val="0"/>
                <w:sz w:val="21"/>
                <w:szCs w:val="21"/>
                <w:lang w:val="en-US" w:eastAsia="zh-CN" w:bidi="ar"/>
              </w:rPr>
              <w:t>NY/T 1977-2010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有效磷(P</w:t>
            </w:r>
            <w:r>
              <w:rPr>
                <w:kern w:val="0"/>
                <w:szCs w:val="21"/>
                <w:vertAlign w:val="subscript"/>
              </w:rPr>
              <w:t>2</w:t>
            </w:r>
            <w:r>
              <w:rPr>
                <w:kern w:val="0"/>
                <w:szCs w:val="21"/>
              </w:rPr>
              <w:t>O</w:t>
            </w:r>
            <w:r>
              <w:rPr>
                <w:kern w:val="0"/>
                <w:szCs w:val="21"/>
                <w:vertAlign w:val="subscript"/>
              </w:rPr>
              <w:t>5</w:t>
            </w:r>
            <w:r>
              <w:rPr>
                <w:kern w:val="0"/>
                <w:szCs w:val="21"/>
              </w:rPr>
              <w:t>)</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15063-2020</w:t>
            </w:r>
          </w:p>
          <w:p>
            <w:pPr>
              <w:widowControl/>
              <w:jc w:val="center"/>
              <w:rPr>
                <w:kern w:val="0"/>
                <w:szCs w:val="21"/>
              </w:rPr>
            </w:pPr>
            <w:r>
              <w:rPr>
                <w:rFonts w:hint="eastAsia"/>
                <w:kern w:val="0"/>
                <w:szCs w:val="21"/>
              </w:rPr>
              <w:t>GB/T 22923-2008</w:t>
            </w:r>
          </w:p>
          <w:p>
            <w:pPr>
              <w:widowControl/>
              <w:jc w:val="center"/>
              <w:rPr>
                <w:kern w:val="0"/>
                <w:szCs w:val="21"/>
              </w:rPr>
            </w:pPr>
            <w:r>
              <w:rPr>
                <w:rFonts w:hint="eastAsia"/>
                <w:kern w:val="0"/>
                <w:szCs w:val="21"/>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氧化钾(K</w:t>
            </w:r>
            <w:r>
              <w:rPr>
                <w:kern w:val="0"/>
                <w:szCs w:val="21"/>
                <w:vertAlign w:val="subscript"/>
              </w:rPr>
              <w:t>2</w:t>
            </w:r>
            <w:r>
              <w:rPr>
                <w:kern w:val="0"/>
                <w:szCs w:val="21"/>
              </w:rPr>
              <w:t>O)</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8574-2010</w:t>
            </w:r>
          </w:p>
          <w:p>
            <w:pPr>
              <w:widowControl/>
              <w:jc w:val="center"/>
              <w:rPr>
                <w:rFonts w:hint="eastAsia"/>
                <w:color w:val="auto"/>
                <w:kern w:val="0"/>
                <w:szCs w:val="21"/>
              </w:rPr>
            </w:pPr>
            <w:r>
              <w:rPr>
                <w:rFonts w:hint="eastAsia"/>
                <w:color w:val="auto"/>
                <w:kern w:val="0"/>
                <w:szCs w:val="21"/>
              </w:rPr>
              <w:t>GB/T 22923-2008</w:t>
            </w:r>
          </w:p>
          <w:p>
            <w:pPr>
              <w:keepNext w:val="0"/>
              <w:keepLines w:val="0"/>
              <w:widowControl/>
              <w:suppressLineNumbers w:val="0"/>
              <w:jc w:val="center"/>
              <w:rPr>
                <w:rFonts w:hint="eastAsia"/>
                <w:kern w:val="0"/>
                <w:szCs w:val="21"/>
              </w:rPr>
            </w:pPr>
            <w:r>
              <w:rPr>
                <w:rFonts w:hint="default" w:ascii="Times New Roman" w:hAnsi="Times New Roman" w:eastAsia="宋体" w:cs="Times New Roman"/>
                <w:color w:val="auto"/>
                <w:kern w:val="0"/>
                <w:sz w:val="21"/>
                <w:szCs w:val="21"/>
                <w:lang w:val="en-US" w:eastAsia="zh-CN" w:bidi="ar"/>
              </w:rPr>
              <w:t>NY/T 2540- 2014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水溶性磷占有效磷百分率</w:t>
            </w:r>
          </w:p>
        </w:tc>
        <w:tc>
          <w:tcPr>
            <w:tcW w:w="3685" w:type="dxa"/>
            <w:tcBorders>
              <w:tl2br w:val="nil"/>
              <w:tr2bl w:val="nil"/>
            </w:tcBorders>
            <w:shd w:val="clear" w:color="auto" w:fill="FFFFFF"/>
            <w:vAlign w:val="center"/>
          </w:tcPr>
          <w:p>
            <w:pPr>
              <w:widowControl/>
              <w:jc w:val="center"/>
              <w:rPr>
                <w:rFonts w:hint="default" w:eastAsia="宋体"/>
                <w:kern w:val="0"/>
                <w:szCs w:val="21"/>
                <w:lang w:val="en-US" w:eastAsia="zh-CN"/>
              </w:rPr>
            </w:pPr>
            <w:r>
              <w:rPr>
                <w:kern w:val="0"/>
                <w:szCs w:val="21"/>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硝态氮</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3597-2002</w:t>
            </w:r>
          </w:p>
          <w:p>
            <w:pPr>
              <w:widowControl/>
              <w:jc w:val="center"/>
              <w:rPr>
                <w:color w:val="auto"/>
                <w:kern w:val="0"/>
                <w:szCs w:val="21"/>
              </w:rPr>
            </w:pPr>
            <w:r>
              <w:rPr>
                <w:color w:val="auto"/>
                <w:kern w:val="0"/>
                <w:szCs w:val="21"/>
              </w:rPr>
              <w:t>GB/T 8572-2010</w:t>
            </w:r>
          </w:p>
          <w:p>
            <w:pPr>
              <w:keepNext w:val="0"/>
              <w:keepLines w:val="0"/>
              <w:widowControl/>
              <w:suppressLineNumbers w:val="0"/>
              <w:jc w:val="center"/>
              <w:rPr>
                <w:color w:val="auto"/>
                <w:kern w:val="0"/>
                <w:szCs w:val="21"/>
              </w:rPr>
            </w:pPr>
            <w:r>
              <w:rPr>
                <w:rFonts w:hint="default" w:ascii="Times New Roman" w:hAnsi="Times New Roman" w:eastAsia="宋体" w:cs="Times New Roman"/>
                <w:color w:val="auto"/>
                <w:kern w:val="0"/>
                <w:sz w:val="21"/>
                <w:szCs w:val="21"/>
                <w:lang w:val="en-US" w:eastAsia="zh-CN" w:bidi="ar"/>
              </w:rPr>
              <w:t>GB/T 22923-2008</w:t>
            </w:r>
          </w:p>
          <w:p>
            <w:pPr>
              <w:keepNext w:val="0"/>
              <w:keepLines w:val="0"/>
              <w:widowControl/>
              <w:suppressLineNumbers w:val="0"/>
              <w:jc w:val="center"/>
              <w:rPr>
                <w:kern w:val="0"/>
                <w:szCs w:val="21"/>
              </w:rPr>
            </w:pPr>
            <w:r>
              <w:rPr>
                <w:rFonts w:hint="default" w:ascii="Times New Roman" w:hAnsi="Times New Roman" w:eastAsia="宋体" w:cs="Times New Roman"/>
                <w:color w:val="auto"/>
                <w:kern w:val="0"/>
                <w:sz w:val="21"/>
                <w:szCs w:val="21"/>
                <w:lang w:val="en-US" w:eastAsia="zh-CN" w:bidi="ar"/>
              </w:rPr>
              <w:t>NY/T 1116-2014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粒度(1.00mm~4.75mm或3.35mm~5.60mm)</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氯离子</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24890-2010</w:t>
            </w:r>
          </w:p>
          <w:p>
            <w:pPr>
              <w:widowControl/>
              <w:jc w:val="center"/>
              <w:rPr>
                <w:kern w:val="0"/>
                <w:szCs w:val="21"/>
              </w:rPr>
            </w:pPr>
            <w:r>
              <w:rPr>
                <w:rFonts w:hint="eastAsia"/>
                <w:kern w:val="0"/>
                <w:szCs w:val="21"/>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总砷</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总镉</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总铅</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总铬</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总汞</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总铊</w:t>
            </w:r>
          </w:p>
        </w:tc>
        <w:tc>
          <w:tcPr>
            <w:tcW w:w="3685" w:type="dxa"/>
            <w:tcBorders>
              <w:tl2br w:val="nil"/>
              <w:tr2bl w:val="nil"/>
            </w:tcBorders>
            <w:shd w:val="clear" w:color="auto" w:fill="FFFFFF"/>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缩二脲</w:t>
            </w:r>
          </w:p>
        </w:tc>
        <w:tc>
          <w:tcPr>
            <w:tcW w:w="3685" w:type="dxa"/>
            <w:tcBorders>
              <w:tl2br w:val="nil"/>
              <w:tr2bl w:val="nil"/>
            </w:tcBorders>
            <w:shd w:val="clear" w:color="auto" w:fill="FFFFFF"/>
            <w:vAlign w:val="center"/>
          </w:tcPr>
          <w:p>
            <w:pPr>
              <w:widowControl/>
              <w:jc w:val="center"/>
              <w:rPr>
                <w:kern w:val="0"/>
                <w:szCs w:val="21"/>
              </w:rPr>
            </w:pPr>
            <w:r>
              <w:rPr>
                <w:kern w:val="0"/>
                <w:szCs w:val="21"/>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kern w:val="0"/>
                <w:szCs w:val="21"/>
              </w:rPr>
            </w:pPr>
          </w:p>
        </w:tc>
        <w:tc>
          <w:tcPr>
            <w:tcW w:w="4678" w:type="dxa"/>
            <w:tcBorders>
              <w:tl2br w:val="nil"/>
              <w:tr2bl w:val="nil"/>
            </w:tcBorders>
            <w:shd w:val="clear" w:color="auto" w:fill="FFFFFF"/>
            <w:noWrap/>
            <w:vAlign w:val="center"/>
          </w:tcPr>
          <w:p>
            <w:pPr>
              <w:widowControl/>
              <w:jc w:val="center"/>
              <w:rPr>
                <w:kern w:val="0"/>
                <w:szCs w:val="21"/>
              </w:rPr>
            </w:pPr>
            <w:r>
              <w:rPr>
                <w:kern w:val="0"/>
                <w:szCs w:val="21"/>
              </w:rPr>
              <w:t>包装标识</w:t>
            </w:r>
            <w:r>
              <w:rPr>
                <w:color w:val="auto"/>
                <w:kern w:val="0"/>
                <w:szCs w:val="21"/>
              </w:rPr>
              <w:t>（养分含量、含氯标识、警示语、名称中的禁用语</w:t>
            </w:r>
            <w:r>
              <w:rPr>
                <w:rFonts w:hint="eastAsia"/>
                <w:color w:val="auto"/>
                <w:kern w:val="0"/>
                <w:szCs w:val="21"/>
                <w:lang w:val="en-US" w:eastAsia="zh-CN"/>
              </w:rPr>
              <w:t>等内容</w:t>
            </w:r>
            <w:r>
              <w:rPr>
                <w:color w:val="auto"/>
                <w:kern w:val="0"/>
                <w:szCs w:val="21"/>
              </w:rPr>
              <w:t>）</w:t>
            </w:r>
          </w:p>
        </w:tc>
        <w:tc>
          <w:tcPr>
            <w:tcW w:w="3685" w:type="dxa"/>
            <w:tcBorders>
              <w:tl2br w:val="nil"/>
              <w:tr2bl w:val="nil"/>
            </w:tcBorders>
            <w:shd w:val="clear" w:color="auto" w:fill="FFFFFF"/>
            <w:vAlign w:val="center"/>
          </w:tcPr>
          <w:p>
            <w:pPr>
              <w:widowControl/>
              <w:jc w:val="center"/>
              <w:rPr>
                <w:kern w:val="0"/>
                <w:szCs w:val="21"/>
              </w:rPr>
            </w:pPr>
            <w:r>
              <w:rPr>
                <w:kern w:val="0"/>
                <w:szCs w:val="21"/>
              </w:rPr>
              <w:t>GB 18382-2021</w:t>
            </w:r>
          </w:p>
          <w:p>
            <w:pPr>
              <w:jc w:val="center"/>
              <w:rPr>
                <w:kern w:val="0"/>
                <w:szCs w:val="21"/>
              </w:rPr>
            </w:pPr>
            <w:r>
              <w:rPr>
                <w:kern w:val="0"/>
                <w:szCs w:val="21"/>
              </w:rPr>
              <w:t>GB/T 15063-2020</w:t>
            </w:r>
          </w:p>
        </w:tc>
      </w:tr>
    </w:tbl>
    <w:p>
      <w:pPr>
        <w:snapToGrid w:val="0"/>
        <w:spacing w:line="440" w:lineRule="exact"/>
        <w:jc w:val="center"/>
        <w:rPr>
          <w:bCs/>
          <w:szCs w:val="21"/>
        </w:rPr>
      </w:pPr>
    </w:p>
    <w:p>
      <w:pPr>
        <w:snapToGrid w:val="0"/>
        <w:spacing w:line="440" w:lineRule="exact"/>
        <w:jc w:val="both"/>
        <w:rPr>
          <w:bCs/>
          <w:szCs w:val="21"/>
        </w:rPr>
      </w:pPr>
    </w:p>
    <w:p>
      <w:pPr>
        <w:snapToGrid w:val="0"/>
        <w:spacing w:line="440" w:lineRule="exact"/>
        <w:jc w:val="center"/>
        <w:rPr>
          <w:bCs/>
          <w:szCs w:val="21"/>
        </w:rPr>
      </w:pPr>
      <w:r>
        <w:rPr>
          <w:bCs/>
          <w:szCs w:val="21"/>
        </w:rPr>
        <w:t>表2 掺混肥料(BB肥)</w:t>
      </w:r>
    </w:p>
    <w:tbl>
      <w:tblPr>
        <w:tblStyle w:val="5"/>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969"/>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699" w:type="dxa"/>
            <w:tcBorders>
              <w:tl2br w:val="nil"/>
              <w:tr2bl w:val="nil"/>
            </w:tcBorders>
            <w:shd w:val="clear" w:color="auto" w:fill="auto"/>
            <w:vAlign w:val="center"/>
          </w:tcPr>
          <w:p>
            <w:pPr>
              <w:widowControl/>
              <w:jc w:val="center"/>
              <w:rPr>
                <w:kern w:val="0"/>
                <w:szCs w:val="21"/>
              </w:rPr>
            </w:pPr>
            <w:r>
              <w:rPr>
                <w:kern w:val="0"/>
                <w:szCs w:val="21"/>
              </w:rPr>
              <w:t>序号</w:t>
            </w:r>
          </w:p>
        </w:tc>
        <w:tc>
          <w:tcPr>
            <w:tcW w:w="3969" w:type="dxa"/>
            <w:tcBorders>
              <w:tl2br w:val="nil"/>
              <w:tr2bl w:val="nil"/>
            </w:tcBorders>
            <w:shd w:val="clear" w:color="auto" w:fill="auto"/>
            <w:vAlign w:val="center"/>
          </w:tcPr>
          <w:p>
            <w:pPr>
              <w:widowControl/>
              <w:jc w:val="center"/>
              <w:rPr>
                <w:kern w:val="0"/>
                <w:szCs w:val="21"/>
              </w:rPr>
            </w:pPr>
            <w:r>
              <w:rPr>
                <w:kern w:val="0"/>
                <w:szCs w:val="21"/>
              </w:rPr>
              <w:t>检验项目</w:t>
            </w:r>
          </w:p>
        </w:tc>
        <w:tc>
          <w:tcPr>
            <w:tcW w:w="4394" w:type="dxa"/>
            <w:tcBorders>
              <w:tl2br w:val="nil"/>
              <w:tr2bl w:val="nil"/>
            </w:tcBorders>
            <w:shd w:val="clear" w:color="auto" w:fill="auto"/>
            <w:vAlign w:val="center"/>
          </w:tcPr>
          <w:p>
            <w:pPr>
              <w:widowControl/>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总养分(N+P</w:t>
            </w:r>
            <w:r>
              <w:rPr>
                <w:kern w:val="0"/>
                <w:szCs w:val="21"/>
                <w:vertAlign w:val="subscript"/>
              </w:rPr>
              <w:t>2</w:t>
            </w:r>
            <w:r>
              <w:rPr>
                <w:kern w:val="0"/>
                <w:szCs w:val="21"/>
              </w:rPr>
              <w:t>O</w:t>
            </w:r>
            <w:r>
              <w:rPr>
                <w:kern w:val="0"/>
                <w:szCs w:val="21"/>
                <w:vertAlign w:val="subscript"/>
              </w:rPr>
              <w:t>5</w:t>
            </w:r>
            <w:r>
              <w:rPr>
                <w:kern w:val="0"/>
                <w:szCs w:val="21"/>
              </w:rPr>
              <w:t>+K</w:t>
            </w:r>
            <w:r>
              <w:rPr>
                <w:kern w:val="0"/>
                <w:szCs w:val="21"/>
                <w:vertAlign w:val="subscript"/>
              </w:rPr>
              <w:t>2</w:t>
            </w:r>
            <w:r>
              <w:rPr>
                <w:kern w:val="0"/>
                <w:szCs w:val="21"/>
              </w:rPr>
              <w:t>O)</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21633-2020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总氮(N)</w:t>
            </w:r>
          </w:p>
        </w:tc>
        <w:tc>
          <w:tcPr>
            <w:tcW w:w="4394" w:type="dxa"/>
            <w:tcBorders>
              <w:tl2br w:val="nil"/>
              <w:tr2bl w:val="nil"/>
            </w:tcBorders>
            <w:shd w:val="clear" w:color="auto" w:fill="auto"/>
            <w:vAlign w:val="center"/>
          </w:tcPr>
          <w:p>
            <w:pPr>
              <w:widowControl/>
              <w:jc w:val="center"/>
              <w:rPr>
                <w:rFonts w:hint="eastAsia"/>
                <w:color w:val="auto"/>
                <w:kern w:val="0"/>
                <w:szCs w:val="21"/>
              </w:rPr>
            </w:pPr>
            <w:r>
              <w:rPr>
                <w:color w:val="auto"/>
                <w:kern w:val="0"/>
                <w:szCs w:val="21"/>
              </w:rPr>
              <w:t>GB/T 8572-2010</w:t>
            </w:r>
          </w:p>
          <w:p>
            <w:pPr>
              <w:widowControl/>
              <w:jc w:val="center"/>
              <w:rPr>
                <w:color w:val="auto"/>
                <w:kern w:val="0"/>
                <w:szCs w:val="21"/>
              </w:rPr>
            </w:pPr>
            <w:r>
              <w:rPr>
                <w:rFonts w:hint="eastAsia"/>
                <w:color w:val="auto"/>
                <w:kern w:val="0"/>
                <w:szCs w:val="21"/>
              </w:rPr>
              <w:t>GB/T 22923-2008</w:t>
            </w:r>
          </w:p>
          <w:p>
            <w:pPr>
              <w:keepNext w:val="0"/>
              <w:keepLines w:val="0"/>
              <w:widowControl/>
              <w:suppressLineNumbers w:val="0"/>
              <w:ind w:firstLine="1470" w:firstLineChars="700"/>
              <w:jc w:val="both"/>
              <w:rPr>
                <w:rFonts w:hint="eastAsia" w:eastAsia="宋体"/>
                <w:color w:val="auto"/>
                <w:kern w:val="0"/>
                <w:szCs w:val="21"/>
                <w:lang w:eastAsia="zh-CN"/>
              </w:rPr>
            </w:pPr>
            <w:r>
              <w:rPr>
                <w:rFonts w:hint="default" w:ascii="Times New Roman" w:hAnsi="Times New Roman" w:eastAsia="宋体" w:cs="Times New Roman"/>
                <w:color w:val="auto"/>
                <w:kern w:val="0"/>
                <w:sz w:val="21"/>
                <w:szCs w:val="21"/>
                <w:lang w:val="en-US" w:eastAsia="zh-CN" w:bidi="ar"/>
              </w:rPr>
              <w:t>NY/T 2542-</w:t>
            </w:r>
            <w:r>
              <w:rPr>
                <w:rFonts w:hint="eastAsia" w:cs="Times New Roman"/>
                <w:color w:val="auto"/>
                <w:kern w:val="0"/>
                <w:sz w:val="21"/>
                <w:szCs w:val="21"/>
                <w:lang w:val="en-US" w:eastAsia="zh-CN" w:bidi="ar"/>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有效磷(P</w:t>
            </w:r>
            <w:r>
              <w:rPr>
                <w:kern w:val="0"/>
                <w:szCs w:val="21"/>
                <w:vertAlign w:val="subscript"/>
              </w:rPr>
              <w:t>2</w:t>
            </w:r>
            <w:r>
              <w:rPr>
                <w:kern w:val="0"/>
                <w:szCs w:val="21"/>
              </w:rPr>
              <w:t>O</w:t>
            </w:r>
            <w:r>
              <w:rPr>
                <w:kern w:val="0"/>
                <w:szCs w:val="21"/>
                <w:vertAlign w:val="subscript"/>
              </w:rPr>
              <w:t>5</w:t>
            </w:r>
            <w:r>
              <w:rPr>
                <w:kern w:val="0"/>
                <w:szCs w:val="21"/>
              </w:rPr>
              <w:t>)</w:t>
            </w:r>
          </w:p>
        </w:tc>
        <w:tc>
          <w:tcPr>
            <w:tcW w:w="4394" w:type="dxa"/>
            <w:tcBorders>
              <w:tl2br w:val="nil"/>
              <w:tr2bl w:val="nil"/>
            </w:tcBorders>
            <w:shd w:val="clear" w:color="auto" w:fill="auto"/>
            <w:vAlign w:val="center"/>
          </w:tcPr>
          <w:p>
            <w:pPr>
              <w:jc w:val="center"/>
              <w:rPr>
                <w:color w:val="auto"/>
                <w:kern w:val="0"/>
                <w:szCs w:val="21"/>
              </w:rPr>
            </w:pPr>
            <w:r>
              <w:rPr>
                <w:color w:val="auto"/>
                <w:kern w:val="0"/>
                <w:szCs w:val="21"/>
              </w:rPr>
              <w:t>GB/T 15063-2020</w:t>
            </w:r>
          </w:p>
          <w:p>
            <w:pPr>
              <w:jc w:val="center"/>
              <w:rPr>
                <w:rFonts w:hint="eastAsia"/>
                <w:color w:val="auto"/>
                <w:kern w:val="0"/>
                <w:szCs w:val="21"/>
              </w:rPr>
            </w:pPr>
            <w:r>
              <w:rPr>
                <w:rFonts w:hint="eastAsia"/>
                <w:color w:val="auto"/>
                <w:kern w:val="0"/>
                <w:szCs w:val="21"/>
              </w:rPr>
              <w:t>GB/T 8573-2017</w:t>
            </w:r>
          </w:p>
          <w:p>
            <w:pPr>
              <w:widowControl/>
              <w:jc w:val="center"/>
              <w:rPr>
                <w:rFonts w:hint="eastAsia"/>
                <w:color w:val="auto"/>
                <w:kern w:val="0"/>
                <w:szCs w:val="21"/>
              </w:rPr>
            </w:pPr>
            <w:r>
              <w:rPr>
                <w:rFonts w:hint="eastAsia"/>
                <w:color w:val="auto"/>
                <w:kern w:val="0"/>
                <w:szCs w:val="21"/>
              </w:rPr>
              <w:t>GB/T 22923-2008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氧化钾(K</w:t>
            </w:r>
            <w:r>
              <w:rPr>
                <w:kern w:val="0"/>
                <w:szCs w:val="21"/>
                <w:vertAlign w:val="subscript"/>
              </w:rPr>
              <w:t>2</w:t>
            </w:r>
            <w:r>
              <w:rPr>
                <w:kern w:val="0"/>
                <w:szCs w:val="21"/>
              </w:rPr>
              <w:t>O)</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8574-2010</w:t>
            </w:r>
          </w:p>
          <w:p>
            <w:pPr>
              <w:widowControl/>
              <w:jc w:val="center"/>
              <w:rPr>
                <w:rFonts w:hint="eastAsia"/>
                <w:color w:val="auto"/>
                <w:kern w:val="0"/>
                <w:szCs w:val="21"/>
              </w:rPr>
            </w:pPr>
            <w:r>
              <w:rPr>
                <w:rFonts w:hint="eastAsia"/>
                <w:color w:val="auto"/>
                <w:kern w:val="0"/>
                <w:szCs w:val="21"/>
              </w:rPr>
              <w:t>GB/T 22923-2008</w:t>
            </w:r>
          </w:p>
          <w:p>
            <w:pPr>
              <w:jc w:val="center"/>
              <w:rPr>
                <w:color w:val="auto"/>
                <w:kern w:val="0"/>
                <w:szCs w:val="21"/>
              </w:rPr>
            </w:pPr>
            <w:r>
              <w:rPr>
                <w:rFonts w:hint="default" w:ascii="Times New Roman" w:hAnsi="Times New Roman" w:eastAsia="宋体" w:cs="Times New Roman"/>
                <w:color w:val="auto"/>
                <w:kern w:val="0"/>
                <w:sz w:val="21"/>
                <w:szCs w:val="21"/>
                <w:lang w:val="en-US" w:eastAsia="zh-CN" w:bidi="ar"/>
              </w:rPr>
              <w:t>NY/T 2540- 2014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水溶磷占有效磷的百分率</w:t>
            </w:r>
          </w:p>
        </w:tc>
        <w:tc>
          <w:tcPr>
            <w:tcW w:w="4394" w:type="dxa"/>
            <w:tcBorders>
              <w:tl2br w:val="nil"/>
              <w:tr2bl w:val="nil"/>
            </w:tcBorders>
            <w:shd w:val="clear" w:color="auto" w:fill="auto"/>
            <w:vAlign w:val="center"/>
          </w:tcPr>
          <w:p>
            <w:pPr>
              <w:jc w:val="center"/>
              <w:rPr>
                <w:kern w:val="0"/>
                <w:szCs w:val="21"/>
              </w:rPr>
            </w:pPr>
            <w:r>
              <w:rPr>
                <w:color w:val="auto"/>
                <w:kern w:val="0"/>
                <w:szCs w:val="21"/>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粒度(2.00mm~4.75mm)</w:t>
            </w:r>
          </w:p>
        </w:tc>
        <w:tc>
          <w:tcPr>
            <w:tcW w:w="4394" w:type="dxa"/>
            <w:tcBorders>
              <w:tl2br w:val="nil"/>
              <w:tr2bl w:val="nil"/>
            </w:tcBorders>
            <w:shd w:val="clear" w:color="auto" w:fill="auto"/>
            <w:vAlign w:val="center"/>
          </w:tcPr>
          <w:p>
            <w:pPr>
              <w:widowControl/>
              <w:jc w:val="center"/>
              <w:rPr>
                <w:kern w:val="0"/>
                <w:szCs w:val="21"/>
              </w:rPr>
            </w:pPr>
            <w:r>
              <w:rPr>
                <w:kern w:val="0"/>
                <w:szCs w:val="21"/>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氯离子</w:t>
            </w:r>
          </w:p>
        </w:tc>
        <w:tc>
          <w:tcPr>
            <w:tcW w:w="4394" w:type="dxa"/>
            <w:tcBorders>
              <w:tl2br w:val="nil"/>
              <w:tr2bl w:val="nil"/>
            </w:tcBorders>
            <w:shd w:val="clear" w:color="auto" w:fill="auto"/>
            <w:vAlign w:val="center"/>
          </w:tcPr>
          <w:p>
            <w:pPr>
              <w:widowControl/>
              <w:jc w:val="center"/>
              <w:rPr>
                <w:kern w:val="0"/>
                <w:szCs w:val="21"/>
              </w:rPr>
            </w:pPr>
            <w:r>
              <w:rPr>
                <w:kern w:val="0"/>
                <w:szCs w:val="21"/>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noWrap/>
            <w:vAlign w:val="center"/>
          </w:tcPr>
          <w:p>
            <w:pPr>
              <w:widowControl/>
              <w:jc w:val="center"/>
              <w:rPr>
                <w:kern w:val="0"/>
                <w:szCs w:val="21"/>
              </w:rPr>
            </w:pPr>
            <w:r>
              <w:rPr>
                <w:kern w:val="0"/>
                <w:szCs w:val="21"/>
              </w:rPr>
              <w:t>总砷</w:t>
            </w:r>
          </w:p>
        </w:tc>
        <w:tc>
          <w:tcPr>
            <w:tcW w:w="4394"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noWrap/>
            <w:vAlign w:val="center"/>
          </w:tcPr>
          <w:p>
            <w:pPr>
              <w:widowControl/>
              <w:jc w:val="center"/>
              <w:rPr>
                <w:kern w:val="0"/>
                <w:szCs w:val="21"/>
              </w:rPr>
            </w:pPr>
            <w:r>
              <w:rPr>
                <w:kern w:val="0"/>
                <w:szCs w:val="21"/>
              </w:rPr>
              <w:t>总镉</w:t>
            </w:r>
          </w:p>
        </w:tc>
        <w:tc>
          <w:tcPr>
            <w:tcW w:w="4394"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noWrap/>
            <w:vAlign w:val="center"/>
          </w:tcPr>
          <w:p>
            <w:pPr>
              <w:widowControl/>
              <w:jc w:val="center"/>
              <w:rPr>
                <w:kern w:val="0"/>
                <w:szCs w:val="21"/>
              </w:rPr>
            </w:pPr>
            <w:r>
              <w:rPr>
                <w:kern w:val="0"/>
                <w:szCs w:val="21"/>
              </w:rPr>
              <w:t>总铅</w:t>
            </w:r>
          </w:p>
        </w:tc>
        <w:tc>
          <w:tcPr>
            <w:tcW w:w="4394"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noWrap/>
            <w:vAlign w:val="center"/>
          </w:tcPr>
          <w:p>
            <w:pPr>
              <w:widowControl/>
              <w:jc w:val="center"/>
              <w:rPr>
                <w:kern w:val="0"/>
                <w:szCs w:val="21"/>
              </w:rPr>
            </w:pPr>
            <w:r>
              <w:rPr>
                <w:kern w:val="0"/>
                <w:szCs w:val="21"/>
              </w:rPr>
              <w:t>总铬</w:t>
            </w:r>
          </w:p>
        </w:tc>
        <w:tc>
          <w:tcPr>
            <w:tcW w:w="4394"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noWrap/>
            <w:vAlign w:val="center"/>
          </w:tcPr>
          <w:p>
            <w:pPr>
              <w:widowControl/>
              <w:jc w:val="center"/>
              <w:rPr>
                <w:kern w:val="0"/>
                <w:szCs w:val="21"/>
              </w:rPr>
            </w:pPr>
            <w:r>
              <w:rPr>
                <w:kern w:val="0"/>
                <w:szCs w:val="21"/>
              </w:rPr>
              <w:t>总汞</w:t>
            </w:r>
          </w:p>
        </w:tc>
        <w:tc>
          <w:tcPr>
            <w:tcW w:w="4394" w:type="dxa"/>
            <w:tcBorders>
              <w:tl2br w:val="nil"/>
              <w:tr2bl w:val="nil"/>
            </w:tcBorders>
            <w:shd w:val="clear" w:color="auto" w:fill="FFFFFF"/>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noWrap/>
            <w:vAlign w:val="center"/>
          </w:tcPr>
          <w:p>
            <w:pPr>
              <w:widowControl/>
              <w:jc w:val="center"/>
              <w:rPr>
                <w:kern w:val="0"/>
                <w:szCs w:val="21"/>
              </w:rPr>
            </w:pPr>
            <w:r>
              <w:rPr>
                <w:kern w:val="0"/>
                <w:szCs w:val="21"/>
              </w:rPr>
              <w:t>总铊</w:t>
            </w:r>
          </w:p>
        </w:tc>
        <w:tc>
          <w:tcPr>
            <w:tcW w:w="4394" w:type="dxa"/>
            <w:tcBorders>
              <w:tl2br w:val="nil"/>
              <w:tr2bl w:val="nil"/>
            </w:tcBorders>
            <w:shd w:val="clear" w:color="auto" w:fill="auto"/>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缩二脲</w:t>
            </w:r>
          </w:p>
        </w:tc>
        <w:tc>
          <w:tcPr>
            <w:tcW w:w="4394" w:type="dxa"/>
            <w:tcBorders>
              <w:tl2br w:val="nil"/>
              <w:tr2bl w:val="nil"/>
            </w:tcBorders>
            <w:shd w:val="clear" w:color="auto" w:fill="auto"/>
            <w:vAlign w:val="center"/>
          </w:tcPr>
          <w:p>
            <w:pPr>
              <w:widowControl/>
              <w:jc w:val="center"/>
              <w:rPr>
                <w:kern w:val="0"/>
                <w:szCs w:val="21"/>
              </w:rPr>
            </w:pPr>
            <w:r>
              <w:rPr>
                <w:kern w:val="0"/>
                <w:szCs w:val="21"/>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kern w:val="0"/>
                <w:szCs w:val="21"/>
              </w:rPr>
            </w:pPr>
          </w:p>
        </w:tc>
        <w:tc>
          <w:tcPr>
            <w:tcW w:w="3969" w:type="dxa"/>
            <w:tcBorders>
              <w:tl2br w:val="nil"/>
              <w:tr2bl w:val="nil"/>
            </w:tcBorders>
            <w:shd w:val="clear" w:color="auto" w:fill="auto"/>
            <w:vAlign w:val="center"/>
          </w:tcPr>
          <w:p>
            <w:pPr>
              <w:widowControl/>
              <w:jc w:val="center"/>
              <w:rPr>
                <w:kern w:val="0"/>
                <w:szCs w:val="21"/>
              </w:rPr>
            </w:pPr>
            <w:r>
              <w:rPr>
                <w:kern w:val="0"/>
                <w:szCs w:val="21"/>
              </w:rPr>
              <w:t>包装标识</w:t>
            </w:r>
            <w:r>
              <w:rPr>
                <w:color w:val="auto"/>
                <w:kern w:val="0"/>
                <w:szCs w:val="21"/>
              </w:rPr>
              <w:t>（养分含量、含氯标识、</w:t>
            </w:r>
            <w:r>
              <w:rPr>
                <w:rFonts w:hint="eastAsia"/>
                <w:color w:val="auto"/>
                <w:kern w:val="0"/>
                <w:szCs w:val="21"/>
                <w:lang w:val="en-US" w:eastAsia="zh-CN"/>
              </w:rPr>
              <w:t>其他</w:t>
            </w:r>
            <w:r>
              <w:rPr>
                <w:color w:val="auto"/>
                <w:kern w:val="0"/>
                <w:szCs w:val="21"/>
              </w:rPr>
              <w:t>、名称中的禁用语</w:t>
            </w:r>
            <w:r>
              <w:rPr>
                <w:rFonts w:hint="eastAsia"/>
                <w:color w:val="auto"/>
                <w:kern w:val="0"/>
                <w:szCs w:val="21"/>
                <w:lang w:val="en-US" w:eastAsia="zh-CN"/>
              </w:rPr>
              <w:t>等内容</w:t>
            </w:r>
            <w:r>
              <w:rPr>
                <w:color w:val="auto"/>
                <w:kern w:val="0"/>
                <w:szCs w:val="21"/>
              </w:rPr>
              <w:t>）</w:t>
            </w:r>
          </w:p>
        </w:tc>
        <w:tc>
          <w:tcPr>
            <w:tcW w:w="4394" w:type="dxa"/>
            <w:tcBorders>
              <w:tl2br w:val="nil"/>
              <w:tr2bl w:val="nil"/>
            </w:tcBorders>
            <w:shd w:val="clear" w:color="auto" w:fill="auto"/>
            <w:vAlign w:val="center"/>
          </w:tcPr>
          <w:p>
            <w:pPr>
              <w:widowControl/>
              <w:jc w:val="center"/>
              <w:rPr>
                <w:kern w:val="0"/>
                <w:szCs w:val="21"/>
              </w:rPr>
            </w:pPr>
            <w:r>
              <w:rPr>
                <w:kern w:val="0"/>
                <w:szCs w:val="21"/>
              </w:rPr>
              <w:t>GB 18382-2021</w:t>
            </w:r>
          </w:p>
          <w:p>
            <w:pPr>
              <w:jc w:val="center"/>
              <w:rPr>
                <w:kern w:val="0"/>
                <w:szCs w:val="21"/>
              </w:rPr>
            </w:pPr>
            <w:r>
              <w:rPr>
                <w:kern w:val="0"/>
                <w:szCs w:val="21"/>
              </w:rPr>
              <w:t>GB/T 21633-2020</w:t>
            </w:r>
          </w:p>
        </w:tc>
      </w:tr>
    </w:tbl>
    <w:p>
      <w:pPr>
        <w:adjustRightInd w:val="0"/>
        <w:snapToGrid w:val="0"/>
        <w:spacing w:line="440" w:lineRule="exact"/>
        <w:jc w:val="both"/>
        <w:rPr>
          <w:bCs/>
          <w:szCs w:val="21"/>
        </w:rPr>
      </w:pPr>
    </w:p>
    <w:p>
      <w:pPr>
        <w:adjustRightInd w:val="0"/>
        <w:snapToGrid w:val="0"/>
        <w:spacing w:line="440" w:lineRule="exact"/>
        <w:jc w:val="center"/>
        <w:rPr>
          <w:bCs/>
          <w:szCs w:val="21"/>
        </w:rPr>
      </w:pPr>
      <w:r>
        <w:rPr>
          <w:bCs/>
          <w:szCs w:val="21"/>
        </w:rPr>
        <w:t>表3 有机无机复混肥料</w:t>
      </w:r>
    </w:p>
    <w:tbl>
      <w:tblPr>
        <w:tblStyle w:val="5"/>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4111"/>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99" w:type="dxa"/>
            <w:tcBorders>
              <w:tl2br w:val="nil"/>
              <w:tr2bl w:val="nil"/>
            </w:tcBorders>
            <w:shd w:val="clear" w:color="auto" w:fill="auto"/>
            <w:vAlign w:val="center"/>
          </w:tcPr>
          <w:p>
            <w:pPr>
              <w:widowControl/>
              <w:jc w:val="center"/>
              <w:rPr>
                <w:kern w:val="0"/>
                <w:szCs w:val="21"/>
              </w:rPr>
            </w:pPr>
            <w:r>
              <w:rPr>
                <w:kern w:val="0"/>
                <w:szCs w:val="21"/>
              </w:rPr>
              <w:t>序号</w:t>
            </w:r>
          </w:p>
        </w:tc>
        <w:tc>
          <w:tcPr>
            <w:tcW w:w="4111" w:type="dxa"/>
            <w:tcBorders>
              <w:tl2br w:val="nil"/>
              <w:tr2bl w:val="nil"/>
            </w:tcBorders>
            <w:shd w:val="clear" w:color="auto" w:fill="auto"/>
            <w:vAlign w:val="center"/>
          </w:tcPr>
          <w:p>
            <w:pPr>
              <w:widowControl/>
              <w:jc w:val="center"/>
              <w:rPr>
                <w:kern w:val="0"/>
                <w:szCs w:val="21"/>
              </w:rPr>
            </w:pPr>
            <w:r>
              <w:rPr>
                <w:kern w:val="0"/>
                <w:szCs w:val="21"/>
              </w:rPr>
              <w:t>检验项目</w:t>
            </w:r>
          </w:p>
        </w:tc>
        <w:tc>
          <w:tcPr>
            <w:tcW w:w="4252" w:type="dxa"/>
            <w:tcBorders>
              <w:tl2br w:val="nil"/>
              <w:tr2bl w:val="nil"/>
            </w:tcBorders>
            <w:shd w:val="clear" w:color="auto" w:fill="auto"/>
            <w:vAlign w:val="center"/>
          </w:tcPr>
          <w:p>
            <w:pPr>
              <w:widowControl/>
              <w:jc w:val="center"/>
              <w:rPr>
                <w:kern w:val="0"/>
                <w:szCs w:val="21"/>
              </w:rPr>
            </w:pPr>
            <w:r>
              <w:rPr>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有机质含量</w:t>
            </w:r>
          </w:p>
        </w:tc>
        <w:tc>
          <w:tcPr>
            <w:tcW w:w="4252" w:type="dxa"/>
            <w:tcBorders>
              <w:tl2br w:val="nil"/>
              <w:tr2bl w:val="nil"/>
            </w:tcBorders>
            <w:shd w:val="clear" w:color="auto" w:fill="auto"/>
            <w:vAlign w:val="center"/>
          </w:tcPr>
          <w:p>
            <w:pPr>
              <w:widowControl/>
              <w:jc w:val="center"/>
              <w:rPr>
                <w:kern w:val="0"/>
                <w:szCs w:val="21"/>
              </w:rPr>
            </w:pPr>
            <w:r>
              <w:rPr>
                <w:kern w:val="0"/>
                <w:szCs w:val="21"/>
              </w:rPr>
              <w:t>GB/T 18877-2020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总养分(N+P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+K</w:t>
            </w:r>
            <w:r>
              <w:rPr>
                <w:color w:val="auto"/>
                <w:kern w:val="0"/>
                <w:szCs w:val="21"/>
                <w:vertAlign w:val="subscript"/>
              </w:rPr>
              <w:t>2</w:t>
            </w:r>
            <w:r>
              <w:rPr>
                <w:color w:val="auto"/>
                <w:kern w:val="0"/>
                <w:szCs w:val="21"/>
              </w:rPr>
              <w:t>O)含量</w:t>
            </w:r>
          </w:p>
        </w:tc>
        <w:tc>
          <w:tcPr>
            <w:tcW w:w="4252" w:type="dxa"/>
            <w:tcBorders>
              <w:tl2br w:val="nil"/>
              <w:tr2bl w:val="nil"/>
            </w:tcBorders>
            <w:shd w:val="clear" w:color="auto" w:fill="auto"/>
            <w:vAlign w:val="center"/>
          </w:tcPr>
          <w:p>
            <w:pPr>
              <w:widowControl/>
              <w:jc w:val="center"/>
              <w:rPr>
                <w:kern w:val="0"/>
                <w:szCs w:val="21"/>
              </w:rPr>
            </w:pPr>
            <w:r>
              <w:rPr>
                <w:kern w:val="0"/>
                <w:szCs w:val="21"/>
              </w:rPr>
              <w:t>GB/T 18877-2020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总氮(N)含量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17767.1-2008</w:t>
            </w:r>
          </w:p>
          <w:p>
            <w:pPr>
              <w:jc w:val="center"/>
              <w:rPr>
                <w:color w:val="auto"/>
                <w:kern w:val="0"/>
                <w:szCs w:val="21"/>
              </w:rPr>
            </w:pPr>
            <w:r>
              <w:rPr>
                <w:rFonts w:hint="eastAsia"/>
                <w:color w:val="auto"/>
                <w:kern w:val="0"/>
                <w:szCs w:val="21"/>
              </w:rPr>
              <w:t>GB/T 22923-2008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有效五氧化二磷(P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15063-2020</w:t>
            </w:r>
          </w:p>
          <w:p>
            <w:pPr>
              <w:jc w:val="center"/>
              <w:rPr>
                <w:color w:val="auto"/>
                <w:kern w:val="0"/>
                <w:szCs w:val="21"/>
              </w:rPr>
            </w:pPr>
            <w:r>
              <w:rPr>
                <w:rFonts w:hint="eastAsia"/>
                <w:color w:val="auto"/>
                <w:kern w:val="0"/>
                <w:szCs w:val="21"/>
              </w:rPr>
              <w:t>GB/T 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总氧化钾(K</w:t>
            </w:r>
            <w:r>
              <w:rPr>
                <w:color w:val="auto"/>
                <w:kern w:val="0"/>
                <w:szCs w:val="21"/>
                <w:vertAlign w:val="subscript"/>
              </w:rPr>
              <w:t>2</w:t>
            </w:r>
            <w:r>
              <w:rPr>
                <w:color w:val="auto"/>
                <w:kern w:val="0"/>
                <w:szCs w:val="21"/>
              </w:rPr>
              <w:t>O)含量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酸碱度(pH值)</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18877-2020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粒度(1.00mm~4.75mm或3.35~5.60mm)</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氯离子含量</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NY/T 1117-2010</w:t>
            </w:r>
          </w:p>
          <w:p>
            <w:pPr>
              <w:widowControl/>
              <w:jc w:val="center"/>
              <w:rPr>
                <w:color w:val="auto"/>
                <w:kern w:val="0"/>
                <w:szCs w:val="21"/>
              </w:rPr>
            </w:pPr>
            <w:r>
              <w:rPr>
                <w:color w:val="auto"/>
                <w:kern w:val="0"/>
                <w:szCs w:val="21"/>
              </w:rPr>
              <w:t>GB/T 2489</w:t>
            </w:r>
            <w:r>
              <w:rPr>
                <w:rFonts w:hint="eastAsia"/>
                <w:color w:val="auto"/>
                <w:kern w:val="0"/>
                <w:szCs w:val="21"/>
              </w:rPr>
              <w:t>0</w:t>
            </w:r>
            <w:r>
              <w:rPr>
                <w:color w:val="auto"/>
                <w:kern w:val="0"/>
                <w:szCs w:val="21"/>
              </w:rPr>
              <w:t>-2010</w:t>
            </w:r>
          </w:p>
          <w:p>
            <w:pPr>
              <w:keepNext w:val="0"/>
              <w:keepLines w:val="0"/>
              <w:widowControl/>
              <w:suppressLineNumbers w:val="0"/>
              <w:ind w:firstLine="1260" w:firstLineChars="600"/>
              <w:jc w:val="left"/>
              <w:rPr>
                <w:color w:val="auto"/>
                <w:kern w:val="0"/>
                <w:szCs w:val="21"/>
              </w:rPr>
            </w:pPr>
            <w:r>
              <w:rPr>
                <w:rFonts w:hint="default" w:ascii="Times New Roman" w:hAnsi="Times New Roman" w:eastAsia="宋体" w:cs="Times New Roman"/>
                <w:color w:val="auto"/>
                <w:kern w:val="0"/>
                <w:sz w:val="21"/>
                <w:szCs w:val="21"/>
                <w:lang w:val="en-US" w:eastAsia="zh-CN" w:bidi="ar"/>
              </w:rPr>
              <w:t>GB/T 18877- 2020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总砷</w:t>
            </w:r>
          </w:p>
        </w:tc>
        <w:tc>
          <w:tcPr>
            <w:tcW w:w="4252" w:type="dxa"/>
            <w:tcBorders>
              <w:tl2br w:val="nil"/>
              <w:tr2bl w:val="nil"/>
            </w:tcBorders>
            <w:shd w:val="clear" w:color="auto" w:fill="auto"/>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总镉</w:t>
            </w:r>
          </w:p>
        </w:tc>
        <w:tc>
          <w:tcPr>
            <w:tcW w:w="4252" w:type="dxa"/>
            <w:tcBorders>
              <w:tl2br w:val="nil"/>
              <w:tr2bl w:val="nil"/>
            </w:tcBorders>
            <w:shd w:val="clear" w:color="auto" w:fill="auto"/>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总铅</w:t>
            </w:r>
          </w:p>
        </w:tc>
        <w:tc>
          <w:tcPr>
            <w:tcW w:w="4252" w:type="dxa"/>
            <w:tcBorders>
              <w:tl2br w:val="nil"/>
              <w:tr2bl w:val="nil"/>
            </w:tcBorders>
            <w:shd w:val="clear" w:color="auto" w:fill="auto"/>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总铬</w:t>
            </w:r>
          </w:p>
        </w:tc>
        <w:tc>
          <w:tcPr>
            <w:tcW w:w="4252" w:type="dxa"/>
            <w:tcBorders>
              <w:tl2br w:val="nil"/>
              <w:tr2bl w:val="nil"/>
            </w:tcBorders>
            <w:shd w:val="clear" w:color="auto" w:fill="auto"/>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总汞</w:t>
            </w:r>
          </w:p>
        </w:tc>
        <w:tc>
          <w:tcPr>
            <w:tcW w:w="4252" w:type="dxa"/>
            <w:tcBorders>
              <w:tl2br w:val="nil"/>
              <w:tr2bl w:val="nil"/>
            </w:tcBorders>
            <w:shd w:val="clear" w:color="auto" w:fill="auto"/>
            <w:vAlign w:val="center"/>
          </w:tcPr>
          <w:p>
            <w:pPr>
              <w:widowControl/>
              <w:jc w:val="center"/>
              <w:rPr>
                <w:kern w:val="0"/>
                <w:szCs w:val="21"/>
              </w:rPr>
            </w:pPr>
            <w:r>
              <w:rPr>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总铊</w:t>
            </w:r>
          </w:p>
        </w:tc>
        <w:tc>
          <w:tcPr>
            <w:tcW w:w="4252" w:type="dxa"/>
            <w:tcBorders>
              <w:tl2br w:val="nil"/>
              <w:tr2bl w:val="nil"/>
            </w:tcBorders>
            <w:shd w:val="clear" w:color="auto" w:fill="auto"/>
            <w:vAlign w:val="center"/>
          </w:tcPr>
          <w:p>
            <w:pPr>
              <w:widowControl/>
              <w:jc w:val="center"/>
              <w:rPr>
                <w:kern w:val="0"/>
                <w:szCs w:val="21"/>
              </w:rPr>
            </w:pPr>
            <w:r>
              <w:rPr>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钠离子含量</w:t>
            </w:r>
          </w:p>
        </w:tc>
        <w:tc>
          <w:tcPr>
            <w:tcW w:w="4252" w:type="dxa"/>
            <w:tcBorders>
              <w:tl2br w:val="nil"/>
              <w:tr2bl w:val="nil"/>
            </w:tcBorders>
            <w:shd w:val="clear" w:color="auto" w:fill="auto"/>
            <w:vAlign w:val="center"/>
          </w:tcPr>
          <w:p>
            <w:pPr>
              <w:jc w:val="center"/>
              <w:rPr>
                <w:kern w:val="0"/>
                <w:szCs w:val="21"/>
              </w:rPr>
            </w:pPr>
            <w:r>
              <w:rPr>
                <w:kern w:val="0"/>
                <w:szCs w:val="21"/>
              </w:rPr>
              <w:t>NY/T 1972-2010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缩二脲含量</w:t>
            </w:r>
          </w:p>
        </w:tc>
        <w:tc>
          <w:tcPr>
            <w:tcW w:w="4252" w:type="dxa"/>
            <w:tcBorders>
              <w:tl2br w:val="nil"/>
              <w:tr2bl w:val="nil"/>
            </w:tcBorders>
            <w:shd w:val="clear" w:color="auto" w:fill="auto"/>
            <w:vAlign w:val="center"/>
          </w:tcPr>
          <w:p>
            <w:pPr>
              <w:jc w:val="center"/>
              <w:rPr>
                <w:kern w:val="0"/>
                <w:szCs w:val="21"/>
              </w:rPr>
            </w:pPr>
            <w:r>
              <w:rPr>
                <w:kern w:val="0"/>
                <w:szCs w:val="21"/>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蛔虫卵死亡率</w:t>
            </w:r>
          </w:p>
        </w:tc>
        <w:tc>
          <w:tcPr>
            <w:tcW w:w="4252" w:type="dxa"/>
            <w:tcBorders>
              <w:tl2br w:val="nil"/>
              <w:tr2bl w:val="nil"/>
            </w:tcBorders>
            <w:shd w:val="clear" w:color="auto" w:fill="auto"/>
            <w:vAlign w:val="center"/>
          </w:tcPr>
          <w:p>
            <w:pPr>
              <w:widowControl/>
              <w:jc w:val="center"/>
              <w:rPr>
                <w:kern w:val="0"/>
                <w:szCs w:val="21"/>
              </w:rPr>
            </w:pPr>
            <w:r>
              <w:rPr>
                <w:kern w:val="0"/>
                <w:szCs w:val="21"/>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粪大肠菌群数</w:t>
            </w:r>
          </w:p>
        </w:tc>
        <w:tc>
          <w:tcPr>
            <w:tcW w:w="4252" w:type="dxa"/>
            <w:tcBorders>
              <w:tl2br w:val="nil"/>
              <w:tr2bl w:val="nil"/>
            </w:tcBorders>
            <w:shd w:val="clear" w:color="auto" w:fill="auto"/>
            <w:vAlign w:val="center"/>
          </w:tcPr>
          <w:p>
            <w:pPr>
              <w:widowControl/>
              <w:jc w:val="center"/>
              <w:rPr>
                <w:kern w:val="0"/>
                <w:szCs w:val="21"/>
              </w:rPr>
            </w:pPr>
            <w:r>
              <w:rPr>
                <w:kern w:val="0"/>
                <w:szCs w:val="21"/>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kern w:val="0"/>
                <w:szCs w:val="21"/>
              </w:rPr>
            </w:pPr>
          </w:p>
        </w:tc>
        <w:tc>
          <w:tcPr>
            <w:tcW w:w="4111" w:type="dxa"/>
            <w:tcBorders>
              <w:tl2br w:val="nil"/>
              <w:tr2bl w:val="nil"/>
            </w:tcBorders>
            <w:shd w:val="clear" w:color="auto" w:fill="auto"/>
            <w:vAlign w:val="center"/>
          </w:tcPr>
          <w:p>
            <w:pPr>
              <w:widowControl/>
              <w:jc w:val="center"/>
              <w:rPr>
                <w:kern w:val="0"/>
                <w:szCs w:val="21"/>
              </w:rPr>
            </w:pPr>
            <w:r>
              <w:rPr>
                <w:kern w:val="0"/>
                <w:szCs w:val="21"/>
              </w:rPr>
              <w:t>包装标识</w:t>
            </w:r>
            <w:r>
              <w:rPr>
                <w:color w:val="auto"/>
                <w:kern w:val="0"/>
                <w:szCs w:val="21"/>
              </w:rPr>
              <w:t>（养分含量、含氯标识、</w:t>
            </w:r>
            <w:r>
              <w:rPr>
                <w:rFonts w:hint="eastAsia"/>
                <w:color w:val="auto"/>
                <w:kern w:val="0"/>
                <w:szCs w:val="21"/>
                <w:lang w:val="en-US" w:eastAsia="zh-CN"/>
              </w:rPr>
              <w:t>其他、</w:t>
            </w:r>
            <w:r>
              <w:rPr>
                <w:color w:val="auto"/>
                <w:kern w:val="0"/>
                <w:szCs w:val="21"/>
              </w:rPr>
              <w:t>名称中的禁用语</w:t>
            </w:r>
            <w:r>
              <w:rPr>
                <w:rFonts w:hint="eastAsia"/>
                <w:color w:val="auto"/>
                <w:kern w:val="0"/>
                <w:szCs w:val="21"/>
                <w:lang w:val="en-US" w:eastAsia="zh-CN"/>
              </w:rPr>
              <w:t>等内容</w:t>
            </w:r>
            <w:r>
              <w:rPr>
                <w:color w:val="auto"/>
                <w:kern w:val="0"/>
                <w:szCs w:val="21"/>
              </w:rPr>
              <w:t>）</w:t>
            </w:r>
          </w:p>
        </w:tc>
        <w:tc>
          <w:tcPr>
            <w:tcW w:w="4252" w:type="dxa"/>
            <w:tcBorders>
              <w:tl2br w:val="nil"/>
              <w:tr2bl w:val="nil"/>
            </w:tcBorders>
            <w:shd w:val="clear" w:color="auto" w:fill="auto"/>
            <w:vAlign w:val="center"/>
          </w:tcPr>
          <w:p>
            <w:pPr>
              <w:widowControl/>
              <w:jc w:val="center"/>
              <w:rPr>
                <w:kern w:val="0"/>
                <w:szCs w:val="21"/>
              </w:rPr>
            </w:pPr>
            <w:r>
              <w:rPr>
                <w:kern w:val="0"/>
                <w:szCs w:val="21"/>
              </w:rPr>
              <w:t>GB 18382-2021</w:t>
            </w:r>
          </w:p>
          <w:p>
            <w:pPr>
              <w:jc w:val="center"/>
              <w:rPr>
                <w:kern w:val="0"/>
                <w:szCs w:val="21"/>
              </w:rPr>
            </w:pPr>
            <w:r>
              <w:rPr>
                <w:kern w:val="0"/>
                <w:szCs w:val="21"/>
              </w:rPr>
              <w:t>GB/T 18877-2020</w:t>
            </w:r>
          </w:p>
        </w:tc>
      </w:tr>
    </w:tbl>
    <w:p>
      <w:pPr>
        <w:adjustRightInd w:val="0"/>
        <w:snapToGrid w:val="0"/>
        <w:spacing w:line="440" w:lineRule="exact"/>
        <w:ind w:firstLine="420" w:firstLineChars="200"/>
        <w:rPr>
          <w:szCs w:val="21"/>
        </w:rPr>
      </w:pPr>
      <w:r>
        <w:rPr>
          <w:szCs w:val="21"/>
        </w:rPr>
        <w:t>执行企业标准、团体标准、地方标准的产品，检验项目参照上述内容执行。</w:t>
      </w:r>
    </w:p>
    <w:p>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bookmarkStart w:id="2" w:name="_Hlk101710946"/>
      <w:bookmarkStart w:id="3" w:name="_Hlk101710548"/>
    </w:p>
    <w:bookmarkEnd w:id="2"/>
    <w:p>
      <w:pPr>
        <w:snapToGrid w:val="0"/>
        <w:spacing w:line="440" w:lineRule="exact"/>
        <w:ind w:firstLine="420" w:firstLineChars="200"/>
        <w:rPr>
          <w:szCs w:val="21"/>
        </w:rPr>
      </w:pPr>
    </w:p>
    <w:bookmarkEnd w:id="3"/>
    <w:p>
      <w:pPr>
        <w:spacing w:line="440" w:lineRule="exact"/>
        <w:rPr>
          <w:rFonts w:eastAsia="黑体"/>
          <w:szCs w:val="21"/>
        </w:rPr>
      </w:pPr>
      <w:r>
        <w:rPr>
          <w:rFonts w:eastAsia="黑体"/>
          <w:szCs w:val="21"/>
        </w:rPr>
        <w:t>3 判定规则</w:t>
      </w:r>
    </w:p>
    <w:p>
      <w:pPr>
        <w:snapToGrid w:val="0"/>
        <w:spacing w:line="440" w:lineRule="exact"/>
        <w:rPr>
          <w:bCs/>
          <w:szCs w:val="21"/>
        </w:rPr>
      </w:pPr>
      <w:r>
        <w:rPr>
          <w:szCs w:val="21"/>
        </w:rPr>
        <w:t>3.1依据标准</w:t>
      </w:r>
    </w:p>
    <w:p>
      <w:pPr>
        <w:spacing w:line="440" w:lineRule="exact"/>
        <w:ind w:firstLine="420" w:firstLineChars="200"/>
        <w:rPr>
          <w:bCs/>
          <w:szCs w:val="21"/>
        </w:rPr>
      </w:pPr>
      <w:r>
        <w:rPr>
          <w:bCs/>
          <w:szCs w:val="21"/>
        </w:rPr>
        <w:t>GB 18382-2021 肥料标识 内容和要求</w:t>
      </w:r>
    </w:p>
    <w:p>
      <w:pPr>
        <w:spacing w:line="440" w:lineRule="exact"/>
        <w:ind w:firstLine="420" w:firstLineChars="200"/>
        <w:rPr>
          <w:bCs/>
          <w:szCs w:val="21"/>
        </w:rPr>
      </w:pPr>
      <w:r>
        <w:rPr>
          <w:bCs/>
          <w:szCs w:val="21"/>
        </w:rPr>
        <w:t>GB 38400-2019 肥料中有毒有害物质的限量要求</w:t>
      </w:r>
    </w:p>
    <w:p>
      <w:pPr>
        <w:spacing w:line="440" w:lineRule="exact"/>
        <w:ind w:firstLine="420" w:firstLineChars="200"/>
        <w:rPr>
          <w:bCs/>
          <w:szCs w:val="21"/>
        </w:rPr>
      </w:pPr>
      <w:r>
        <w:rPr>
          <w:bCs/>
          <w:szCs w:val="21"/>
        </w:rPr>
        <w:t>GB/T 15063-2020 复合肥料</w:t>
      </w:r>
    </w:p>
    <w:p>
      <w:pPr>
        <w:spacing w:line="440" w:lineRule="exact"/>
        <w:ind w:firstLine="420" w:firstLineChars="200"/>
        <w:rPr>
          <w:bCs/>
          <w:szCs w:val="21"/>
        </w:rPr>
      </w:pPr>
      <w:r>
        <w:rPr>
          <w:bCs/>
          <w:szCs w:val="21"/>
        </w:rPr>
        <w:t>GB/T 18877-2020 有机无机复混肥料</w:t>
      </w:r>
    </w:p>
    <w:p>
      <w:pPr>
        <w:spacing w:line="440" w:lineRule="exact"/>
        <w:ind w:firstLine="420" w:firstLineChars="200"/>
        <w:rPr>
          <w:bCs/>
          <w:szCs w:val="21"/>
        </w:rPr>
      </w:pPr>
      <w:r>
        <w:rPr>
          <w:bCs/>
          <w:szCs w:val="21"/>
        </w:rPr>
        <w:t>GB/T 21633-2020 掺混肥料（BB肥）</w:t>
      </w:r>
    </w:p>
    <w:p>
      <w:pPr>
        <w:spacing w:line="440" w:lineRule="exact"/>
        <w:ind w:firstLine="420" w:firstLineChars="200"/>
        <w:rPr>
          <w:bCs/>
          <w:strike/>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color w:val="000000"/>
          <w:szCs w:val="21"/>
        </w:rPr>
        <w:t>经检验，检验项目全部合格，判定为被抽查产品所检项目未发现不合格</w:t>
      </w:r>
      <w:r>
        <w:rPr>
          <w:szCs w:val="21"/>
        </w:rPr>
        <w:t>；检验项目中任一项或一项以上不合格，判定为被抽查产品不合格。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pacing w:line="440" w:lineRule="exact"/>
        <w:rPr>
          <w:szCs w:val="21"/>
        </w:rPr>
      </w:pPr>
    </w:p>
    <w:p>
      <w:pPr>
        <w:spacing w:line="440" w:lineRule="exact"/>
        <w:rPr>
          <w:rFonts w:eastAsia="黑体"/>
          <w:szCs w:val="21"/>
        </w:rPr>
      </w:pPr>
      <w:r>
        <w:rPr>
          <w:rFonts w:eastAsia="黑体"/>
          <w:szCs w:val="21"/>
        </w:rPr>
        <w:t>4 附则</w:t>
      </w:r>
    </w:p>
    <w:p>
      <w:pPr>
        <w:pStyle w:val="4"/>
        <w:widowControl/>
        <w:shd w:val="clear" w:color="auto" w:fill="FFFFFF"/>
        <w:spacing w:before="0" w:beforeAutospacing="0" w:after="0" w:afterAutospacing="0" w:line="420" w:lineRule="atLeast"/>
        <w:ind w:firstLine="420" w:firstLineChars="200"/>
        <w:jc w:val="both"/>
        <w:rPr>
          <w:rFonts w:ascii="Times New Roman" w:hAnsi="Times New Roman"/>
          <w:kern w:val="2"/>
          <w:sz w:val="21"/>
          <w:szCs w:val="21"/>
        </w:rPr>
      </w:pPr>
      <w:r>
        <w:rPr>
          <w:rFonts w:hint="eastAsia" w:ascii="Times New Roman" w:hAnsi="Times New Roman"/>
          <w:kern w:val="2"/>
          <w:sz w:val="21"/>
          <w:szCs w:val="21"/>
        </w:rPr>
        <w:t>本细则代替《贵州省市场监管局关于发布2022年版贵州省产品质量监督抽查实施细则（第二批）的公告》中的《贵州省复肥产品质量监督抽查实施细则（2022年版）》。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en-US"/>
      </w:rPr>
      <w:t>4</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YjkxZmFlNjE1OTBjNTlmN2MxZjM5ODc1NmMzZDkifQ=="/>
  </w:docVars>
  <w:rsids>
    <w:rsidRoot w:val="00B4742C"/>
    <w:rsid w:val="00007B52"/>
    <w:rsid w:val="00024CC3"/>
    <w:rsid w:val="00033253"/>
    <w:rsid w:val="00051927"/>
    <w:rsid w:val="000658AA"/>
    <w:rsid w:val="00066F91"/>
    <w:rsid w:val="000A2665"/>
    <w:rsid w:val="000A6860"/>
    <w:rsid w:val="000F3245"/>
    <w:rsid w:val="000F3931"/>
    <w:rsid w:val="001073A9"/>
    <w:rsid w:val="00110537"/>
    <w:rsid w:val="0011451A"/>
    <w:rsid w:val="00146928"/>
    <w:rsid w:val="001525ED"/>
    <w:rsid w:val="00173A55"/>
    <w:rsid w:val="001C4DD7"/>
    <w:rsid w:val="001D6315"/>
    <w:rsid w:val="001F7898"/>
    <w:rsid w:val="00201656"/>
    <w:rsid w:val="00272480"/>
    <w:rsid w:val="002A0CD5"/>
    <w:rsid w:val="002A6289"/>
    <w:rsid w:val="002E165D"/>
    <w:rsid w:val="00303747"/>
    <w:rsid w:val="003116A5"/>
    <w:rsid w:val="00335A02"/>
    <w:rsid w:val="003416E6"/>
    <w:rsid w:val="003519D7"/>
    <w:rsid w:val="003B0CD8"/>
    <w:rsid w:val="003C0A55"/>
    <w:rsid w:val="003C58A5"/>
    <w:rsid w:val="003D639B"/>
    <w:rsid w:val="003E24F8"/>
    <w:rsid w:val="003F2646"/>
    <w:rsid w:val="00462F0D"/>
    <w:rsid w:val="00491D5A"/>
    <w:rsid w:val="004C3B18"/>
    <w:rsid w:val="004D31EE"/>
    <w:rsid w:val="004E403E"/>
    <w:rsid w:val="00536FC4"/>
    <w:rsid w:val="00553958"/>
    <w:rsid w:val="0056114F"/>
    <w:rsid w:val="0059440A"/>
    <w:rsid w:val="00595679"/>
    <w:rsid w:val="005C0B9D"/>
    <w:rsid w:val="00600B9F"/>
    <w:rsid w:val="00641194"/>
    <w:rsid w:val="00664070"/>
    <w:rsid w:val="006712F7"/>
    <w:rsid w:val="006D226F"/>
    <w:rsid w:val="006D3C73"/>
    <w:rsid w:val="006E32D1"/>
    <w:rsid w:val="006E333A"/>
    <w:rsid w:val="0070079E"/>
    <w:rsid w:val="00761E48"/>
    <w:rsid w:val="00784764"/>
    <w:rsid w:val="00794DED"/>
    <w:rsid w:val="007B66FE"/>
    <w:rsid w:val="007C3C13"/>
    <w:rsid w:val="007F001D"/>
    <w:rsid w:val="007F0FC1"/>
    <w:rsid w:val="007F750A"/>
    <w:rsid w:val="008B2D53"/>
    <w:rsid w:val="008F6FFF"/>
    <w:rsid w:val="0090340F"/>
    <w:rsid w:val="00910905"/>
    <w:rsid w:val="00920FC2"/>
    <w:rsid w:val="0097773F"/>
    <w:rsid w:val="009A557C"/>
    <w:rsid w:val="009A7993"/>
    <w:rsid w:val="009E2EEC"/>
    <w:rsid w:val="00A76D35"/>
    <w:rsid w:val="00AD22C2"/>
    <w:rsid w:val="00B06250"/>
    <w:rsid w:val="00B4742C"/>
    <w:rsid w:val="00B50A57"/>
    <w:rsid w:val="00BB6F69"/>
    <w:rsid w:val="00BC364A"/>
    <w:rsid w:val="00BD5A63"/>
    <w:rsid w:val="00C023D1"/>
    <w:rsid w:val="00C2597E"/>
    <w:rsid w:val="00C50BB6"/>
    <w:rsid w:val="00C81FA6"/>
    <w:rsid w:val="00C8492D"/>
    <w:rsid w:val="00C96F14"/>
    <w:rsid w:val="00CA1052"/>
    <w:rsid w:val="00CA2402"/>
    <w:rsid w:val="00CC2D8D"/>
    <w:rsid w:val="00D14605"/>
    <w:rsid w:val="00D86E21"/>
    <w:rsid w:val="00DA208C"/>
    <w:rsid w:val="00DB1312"/>
    <w:rsid w:val="00DE0D14"/>
    <w:rsid w:val="00DF53CB"/>
    <w:rsid w:val="00E12338"/>
    <w:rsid w:val="00E16EF9"/>
    <w:rsid w:val="00E45DAA"/>
    <w:rsid w:val="00E61F97"/>
    <w:rsid w:val="00E6639E"/>
    <w:rsid w:val="00EA081A"/>
    <w:rsid w:val="00EA3D06"/>
    <w:rsid w:val="00F01B54"/>
    <w:rsid w:val="00F54155"/>
    <w:rsid w:val="00FB1BD0"/>
    <w:rsid w:val="00FD41E3"/>
    <w:rsid w:val="00FD4E25"/>
    <w:rsid w:val="0AB5167F"/>
    <w:rsid w:val="13A617CC"/>
    <w:rsid w:val="1450300D"/>
    <w:rsid w:val="183C368B"/>
    <w:rsid w:val="2AF06156"/>
    <w:rsid w:val="2BA671F3"/>
    <w:rsid w:val="39C33783"/>
    <w:rsid w:val="43866AFE"/>
    <w:rsid w:val="4FE79F28"/>
    <w:rsid w:val="5246001F"/>
    <w:rsid w:val="542C11D1"/>
    <w:rsid w:val="54BC073D"/>
    <w:rsid w:val="595B1A1E"/>
    <w:rsid w:val="5CA62C3F"/>
    <w:rsid w:val="7E0D1299"/>
    <w:rsid w:val="7FFF81B8"/>
    <w:rsid w:val="B9FB439B"/>
    <w:rsid w:val="DDFF18FA"/>
    <w:rsid w:val="F77CD4A6"/>
    <w:rsid w:val="FABF6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lang w:val="zh-CN"/>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4">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7">
    <w:name w:val="page number"/>
    <w:qFormat/>
    <w:uiPriority w:val="0"/>
  </w:style>
  <w:style w:type="character" w:customStyle="1" w:styleId="8">
    <w:name w:val="页脚 字符"/>
    <w:basedOn w:val="6"/>
    <w:semiHidden/>
    <w:qFormat/>
    <w:uiPriority w:val="99"/>
    <w:rPr>
      <w:rFonts w:ascii="Times New Roman" w:hAnsi="Times New Roman" w:eastAsia="宋体" w:cs="Times New Roman"/>
      <w:sz w:val="18"/>
      <w:szCs w:val="18"/>
    </w:rPr>
  </w:style>
  <w:style w:type="character" w:customStyle="1" w:styleId="9">
    <w:name w:val="页脚 Char"/>
    <w:link w:val="2"/>
    <w:qFormat/>
    <w:uiPriority w:val="99"/>
    <w:rPr>
      <w:rFonts w:ascii="Times New Roman" w:hAnsi="Times New Roman" w:eastAsia="宋体" w:cs="Times New Roman"/>
      <w:sz w:val="18"/>
      <w:szCs w:val="18"/>
      <w:lang w:val="zh-CN" w:eastAsia="zh-CN"/>
    </w:rPr>
  </w:style>
  <w:style w:type="character" w:customStyle="1" w:styleId="10">
    <w:name w:val="页眉 字符"/>
    <w:basedOn w:val="6"/>
    <w:semiHidden/>
    <w:qFormat/>
    <w:uiPriority w:val="99"/>
    <w:rPr>
      <w:rFonts w:ascii="Times New Roman" w:hAnsi="Times New Roman" w:eastAsia="宋体" w:cs="Times New Roman"/>
      <w:sz w:val="18"/>
      <w:szCs w:val="18"/>
    </w:rPr>
  </w:style>
  <w:style w:type="character" w:customStyle="1" w:styleId="11">
    <w:name w:val="页眉 Char"/>
    <w:link w:val="3"/>
    <w:qFormat/>
    <w:uiPriority w:val="99"/>
    <w:rPr>
      <w:rFonts w:ascii="Times New Roman" w:hAnsi="Times New Roman" w:eastAsia="宋体" w:cs="Times New Roman"/>
      <w:sz w:val="18"/>
      <w:szCs w:val="18"/>
      <w:lang w:val="zh-CN" w:eastAsia="zh-CN"/>
    </w:rPr>
  </w:style>
  <w:style w:type="paragraph" w:styleId="12">
    <w:name w:val="List Paragraph"/>
    <w:basedOn w:val="1"/>
    <w:qFormat/>
    <w:uiPriority w:val="34"/>
    <w:pPr>
      <w:ind w:firstLine="420" w:firstLineChars="200"/>
    </w:pPr>
    <w:rPr>
      <w:rFonts w:ascii="等线" w:hAnsi="等线" w:eastAsia="等线"/>
      <w:szCs w:val="22"/>
    </w:rPr>
  </w:style>
  <w:style w:type="paragraph" w:customStyle="1" w:styleId="13">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1168</Words>
  <Characters>2231</Characters>
  <Lines>17</Lines>
  <Paragraphs>4</Paragraphs>
  <TotalTime>7</TotalTime>
  <ScaleCrop>false</ScaleCrop>
  <LinksUpToDate>false</LinksUpToDate>
  <CharactersWithSpaces>2324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2022-05-14T06:42:00Z</dcterms:created>
  <dc:creator>Admin</dc:creator>
  <cp:lastModifiedBy>ysgz</cp:lastModifiedBy>
  <cp:lastPrinted>2023-07-06T06:21:00Z</cp:lastPrinted>
  <dcterms:modified xsi:type="dcterms:W3CDTF">2023-07-20T10:54:20Z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177B8A03F94D4CC3B372DBD3972B931C_13</vt:lpwstr>
  </property>
</Properties>
</file>