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before="10" w:line="440" w:lineRule="exact"/>
        <w:ind w:left="0" w:right="727"/>
        <w:rPr>
          <w:sz w:val="32"/>
          <w:szCs w:val="32"/>
        </w:rPr>
      </w:pPr>
      <w:bookmarkStart w:id="0" w:name="_GoBack"/>
      <w:r>
        <w:rPr>
          <w:rFonts w:hint="eastAsia" w:ascii="方正小标宋_GBK" w:eastAsia="方正小标宋_GBK" w:cs="方正仿宋简体"/>
          <w:color w:val="000000"/>
          <w:sz w:val="32"/>
          <w:szCs w:val="32"/>
        </w:rPr>
        <w:t>贵州省消火栓箱产品质量监督抽查实施细则</w:t>
      </w:r>
      <w:bookmarkEnd w:id="0"/>
    </w:p>
    <w:p>
      <w:pPr>
        <w:pStyle w:val="11"/>
        <w:tabs>
          <w:tab w:val="left" w:pos="455"/>
        </w:tabs>
        <w:spacing w:before="137" w:line="440" w:lineRule="exact"/>
        <w:ind w:left="0"/>
        <w:jc w:val="center"/>
        <w:rPr>
          <w:rFonts w:hint="default" w:ascii="Times New Roman" w:hAnsi="Times New Roman" w:eastAsia="楷体_GB2312" w:cs="Times New Roman"/>
          <w:bCs/>
          <w:spacing w:val="-3"/>
          <w:sz w:val="32"/>
          <w:szCs w:val="32"/>
        </w:rPr>
      </w:pPr>
      <w:r>
        <w:rPr>
          <w:rFonts w:hint="default" w:ascii="Times New Roman" w:hAnsi="Times New Roman" w:eastAsia="楷体_GB2312" w:cs="Times New Roman"/>
          <w:color w:val="000000"/>
          <w:sz w:val="32"/>
          <w:szCs w:val="32"/>
        </w:rPr>
        <w:t>（202</w:t>
      </w:r>
      <w:r>
        <w:rPr>
          <w:rFonts w:hint="default" w:ascii="Times New Roman" w:hAnsi="Times New Roman" w:eastAsia="楷体_GB2312" w:cs="Times New Roman"/>
          <w:color w:val="000000"/>
          <w:sz w:val="32"/>
          <w:szCs w:val="32"/>
          <w:lang w:val="en-US"/>
        </w:rPr>
        <w:t>3</w:t>
      </w:r>
      <w:r>
        <w:rPr>
          <w:rFonts w:hint="default" w:ascii="Times New Roman" w:hAnsi="Times New Roman" w:eastAsia="楷体_GB2312" w:cs="Times New Roman"/>
          <w:color w:val="000000"/>
          <w:sz w:val="32"/>
          <w:szCs w:val="32"/>
        </w:rPr>
        <w:t>年版）</w:t>
      </w:r>
    </w:p>
    <w:p>
      <w:pPr>
        <w:pStyle w:val="11"/>
        <w:tabs>
          <w:tab w:val="left" w:pos="455"/>
        </w:tabs>
        <w:spacing w:before="137" w:line="440" w:lineRule="exact"/>
        <w:ind w:left="0"/>
        <w:rPr>
          <w:rFonts w:hint="default" w:ascii="Times New Roman" w:hAnsi="Times New Roman" w:eastAsia="黑体" w:cs="Times New Roman"/>
          <w:spacing w:val="-3"/>
          <w:sz w:val="21"/>
        </w:rPr>
      </w:pPr>
    </w:p>
    <w:p>
      <w:pPr>
        <w:spacing w:line="440" w:lineRule="exact"/>
        <w:rPr>
          <w:rFonts w:hint="default" w:ascii="Times New Roman" w:hAnsi="Times New Roman" w:eastAsia="黑体" w:cs="Times New Roman"/>
          <w:color w:val="000000"/>
          <w:sz w:val="21"/>
          <w:szCs w:val="21"/>
        </w:rPr>
      </w:pPr>
      <w:r>
        <w:rPr>
          <w:rFonts w:hint="default" w:ascii="Times New Roman" w:hAnsi="Times New Roman" w:eastAsia="黑体" w:cs="Times New Roman"/>
          <w:color w:val="000000"/>
          <w:sz w:val="21"/>
          <w:szCs w:val="21"/>
        </w:rPr>
        <w:t>1 抽样方法</w:t>
      </w:r>
    </w:p>
    <w:p>
      <w:pPr>
        <w:autoSpaceDE/>
        <w:autoSpaceDN/>
        <w:snapToGrid w:val="0"/>
        <w:spacing w:line="440" w:lineRule="exact"/>
        <w:ind w:firstLine="420" w:firstLineChars="200"/>
        <w:jc w:val="both"/>
        <w:rPr>
          <w:rFonts w:hint="default" w:ascii="Times New Roman" w:hAnsi="Times New Roman" w:cs="Times New Roman"/>
          <w:color w:val="000000"/>
          <w:kern w:val="2"/>
          <w:sz w:val="21"/>
          <w:szCs w:val="21"/>
          <w:lang w:val="en-US" w:bidi="ar-SA"/>
        </w:rPr>
      </w:pPr>
      <w:r>
        <w:rPr>
          <w:rFonts w:hint="default" w:ascii="Times New Roman" w:hAnsi="Times New Roman" w:cs="Times New Roman"/>
          <w:color w:val="000000"/>
          <w:kern w:val="2"/>
          <w:sz w:val="21"/>
          <w:szCs w:val="21"/>
          <w:lang w:val="en-US" w:bidi="ar-SA"/>
        </w:rPr>
        <w:t>以随机抽样的方式在被抽样生产者、销售者的待销产品中抽取。</w:t>
      </w:r>
    </w:p>
    <w:p>
      <w:pPr>
        <w:autoSpaceDE/>
        <w:autoSpaceDN/>
        <w:snapToGrid w:val="0"/>
        <w:spacing w:line="440" w:lineRule="exact"/>
        <w:ind w:firstLine="420" w:firstLineChars="200"/>
        <w:jc w:val="both"/>
        <w:rPr>
          <w:rFonts w:hint="default" w:ascii="Times New Roman" w:hAnsi="Times New Roman" w:cs="Times New Roman"/>
          <w:color w:val="000000"/>
          <w:kern w:val="2"/>
          <w:sz w:val="21"/>
          <w:szCs w:val="21"/>
          <w:lang w:val="en-US" w:bidi="ar-SA"/>
        </w:rPr>
      </w:pPr>
      <w:r>
        <w:rPr>
          <w:rFonts w:hint="default" w:ascii="Times New Roman" w:hAnsi="Times New Roman" w:cs="Times New Roman"/>
          <w:color w:val="000000"/>
          <w:kern w:val="2"/>
          <w:sz w:val="21"/>
          <w:szCs w:val="21"/>
          <w:lang w:val="en-US" w:bidi="ar-SA"/>
        </w:rPr>
        <w:t>随机数一般可使用随机数表等方法产生。</w:t>
      </w:r>
    </w:p>
    <w:p>
      <w:pPr>
        <w:autoSpaceDE/>
        <w:autoSpaceDN/>
        <w:snapToGrid w:val="0"/>
        <w:spacing w:line="440" w:lineRule="exact"/>
        <w:ind w:firstLine="420" w:firstLineChars="200"/>
        <w:jc w:val="both"/>
        <w:rPr>
          <w:rFonts w:hint="default" w:ascii="Times New Roman" w:hAnsi="Times New Roman" w:cs="Times New Roman"/>
          <w:color w:val="000000"/>
          <w:kern w:val="2"/>
          <w:sz w:val="21"/>
          <w:szCs w:val="21"/>
          <w:lang w:val="en-US" w:bidi="ar-SA"/>
        </w:rPr>
      </w:pPr>
      <w:r>
        <w:rPr>
          <w:rFonts w:hint="default" w:ascii="Times New Roman" w:hAnsi="Times New Roman" w:cs="Times New Roman"/>
          <w:color w:val="000000"/>
          <w:kern w:val="2"/>
          <w:sz w:val="21"/>
          <w:szCs w:val="21"/>
          <w:lang w:val="en-US" w:bidi="ar-SA"/>
        </w:rPr>
        <w:t>每批次产品抽取样品2台，其中1台作为检验样品，1台作为备用样品。</w:t>
      </w:r>
    </w:p>
    <w:p>
      <w:pPr>
        <w:autoSpaceDE/>
        <w:autoSpaceDN/>
        <w:snapToGrid w:val="0"/>
        <w:spacing w:line="440" w:lineRule="exact"/>
        <w:ind w:firstLine="420" w:firstLineChars="200"/>
        <w:jc w:val="both"/>
        <w:rPr>
          <w:rFonts w:hint="default" w:ascii="Times New Roman" w:hAnsi="Times New Roman" w:cs="Times New Roman"/>
          <w:color w:val="000000"/>
          <w:kern w:val="2"/>
          <w:sz w:val="21"/>
          <w:szCs w:val="21"/>
          <w:lang w:val="en-US" w:bidi="ar-SA"/>
        </w:rPr>
      </w:pPr>
    </w:p>
    <w:p>
      <w:pPr>
        <w:spacing w:line="440" w:lineRule="exact"/>
        <w:rPr>
          <w:rFonts w:hint="default" w:ascii="Times New Roman" w:hAnsi="Times New Roman" w:eastAsia="黑体" w:cs="Times New Roman"/>
          <w:color w:val="000000"/>
          <w:sz w:val="21"/>
          <w:szCs w:val="21"/>
        </w:rPr>
      </w:pPr>
      <w:r>
        <w:rPr>
          <w:rFonts w:hint="default" w:ascii="Times New Roman" w:hAnsi="Times New Roman" w:eastAsia="黑体" w:cs="Times New Roman"/>
          <w:color w:val="000000"/>
          <w:sz w:val="21"/>
          <w:szCs w:val="21"/>
        </w:rPr>
        <w:t>2 检验依据</w:t>
      </w:r>
    </w:p>
    <w:tbl>
      <w:tblPr>
        <w:tblStyle w:val="8"/>
        <w:tblW w:w="8505" w:type="dxa"/>
        <w:tblInd w:w="431"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823"/>
        <w:gridCol w:w="3841"/>
        <w:gridCol w:w="384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510" w:hRule="atLeast"/>
        </w:trPr>
        <w:tc>
          <w:tcPr>
            <w:tcW w:w="823" w:type="dxa"/>
            <w:vAlign w:val="center"/>
          </w:tcPr>
          <w:p>
            <w:pPr>
              <w:autoSpaceDE/>
              <w:autoSpaceDN/>
              <w:snapToGrid w:val="0"/>
              <w:jc w:val="center"/>
              <w:rPr>
                <w:rFonts w:hint="default" w:ascii="Times New Roman" w:hAnsi="Times New Roman" w:cs="Times New Roman"/>
                <w:sz w:val="21"/>
                <w:szCs w:val="21"/>
              </w:rPr>
            </w:pPr>
            <w:r>
              <w:rPr>
                <w:rFonts w:hint="default" w:ascii="Times New Roman" w:hAnsi="Times New Roman" w:cs="Times New Roman"/>
                <w:sz w:val="21"/>
                <w:szCs w:val="21"/>
              </w:rPr>
              <w:t>序号</w:t>
            </w:r>
          </w:p>
        </w:tc>
        <w:tc>
          <w:tcPr>
            <w:tcW w:w="3841" w:type="dxa"/>
            <w:vAlign w:val="center"/>
          </w:tcPr>
          <w:p>
            <w:pPr>
              <w:autoSpaceDE/>
              <w:autoSpaceDN/>
              <w:snapToGrid w:val="0"/>
              <w:jc w:val="center"/>
              <w:rPr>
                <w:rFonts w:hint="default" w:ascii="Times New Roman" w:hAnsi="Times New Roman" w:cs="Times New Roman"/>
                <w:sz w:val="21"/>
                <w:szCs w:val="21"/>
              </w:rPr>
            </w:pPr>
            <w:r>
              <w:rPr>
                <w:rFonts w:hint="default" w:ascii="Times New Roman" w:hAnsi="Times New Roman" w:cs="Times New Roman"/>
                <w:sz w:val="21"/>
                <w:szCs w:val="21"/>
              </w:rPr>
              <w:t>检验项目</w:t>
            </w:r>
          </w:p>
        </w:tc>
        <w:tc>
          <w:tcPr>
            <w:tcW w:w="3841" w:type="dxa"/>
            <w:vAlign w:val="center"/>
          </w:tcPr>
          <w:p>
            <w:pPr>
              <w:autoSpaceDE/>
              <w:autoSpaceDN/>
              <w:snapToGrid w:val="0"/>
              <w:jc w:val="center"/>
              <w:rPr>
                <w:rFonts w:hint="default" w:ascii="Times New Roman" w:hAnsi="Times New Roman" w:cs="Times New Roman"/>
                <w:sz w:val="21"/>
                <w:szCs w:val="21"/>
                <w:lang w:val="en-US"/>
              </w:rPr>
            </w:pPr>
            <w:r>
              <w:rPr>
                <w:rFonts w:hint="default" w:ascii="Times New Roman" w:hAnsi="Times New Roman" w:cs="Times New Roman"/>
                <w:sz w:val="21"/>
                <w:szCs w:val="21"/>
                <w:lang w:val="en-US"/>
              </w:rPr>
              <w:t>检测方法</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0" w:hRule="atLeast"/>
        </w:trPr>
        <w:tc>
          <w:tcPr>
            <w:tcW w:w="823" w:type="dxa"/>
            <w:vAlign w:val="center"/>
          </w:tcPr>
          <w:p>
            <w:pPr>
              <w:autoSpaceDE/>
              <w:autoSpaceDN/>
              <w:snapToGrid w:val="0"/>
              <w:jc w:val="center"/>
              <w:rPr>
                <w:rFonts w:hint="default" w:ascii="Times New Roman" w:hAnsi="Times New Roman" w:cs="Times New Roman"/>
                <w:sz w:val="21"/>
                <w:szCs w:val="21"/>
              </w:rPr>
            </w:pPr>
            <w:r>
              <w:rPr>
                <w:rFonts w:hint="default" w:ascii="Times New Roman" w:hAnsi="Times New Roman" w:cs="Times New Roman"/>
                <w:sz w:val="21"/>
                <w:szCs w:val="21"/>
              </w:rPr>
              <w:t>1</w:t>
            </w:r>
          </w:p>
        </w:tc>
        <w:tc>
          <w:tcPr>
            <w:tcW w:w="3841" w:type="dxa"/>
            <w:vAlign w:val="center"/>
          </w:tcPr>
          <w:p>
            <w:pPr>
              <w:autoSpaceDE/>
              <w:autoSpaceDN/>
              <w:snapToGrid w:val="0"/>
              <w:jc w:val="center"/>
              <w:rPr>
                <w:rFonts w:hint="default" w:ascii="Times New Roman" w:hAnsi="Times New Roman" w:cs="Times New Roman"/>
                <w:sz w:val="21"/>
                <w:szCs w:val="21"/>
              </w:rPr>
            </w:pPr>
            <w:r>
              <w:rPr>
                <w:rFonts w:hint="default" w:ascii="Times New Roman" w:hAnsi="Times New Roman" w:cs="Times New Roman"/>
                <w:sz w:val="21"/>
                <w:szCs w:val="21"/>
              </w:rPr>
              <w:t>外观质量</w:t>
            </w:r>
          </w:p>
        </w:tc>
        <w:tc>
          <w:tcPr>
            <w:tcW w:w="3841" w:type="dxa"/>
            <w:vAlign w:val="center"/>
          </w:tcPr>
          <w:p>
            <w:pPr>
              <w:autoSpaceDE/>
              <w:autoSpaceDN/>
              <w:snapToGrid w:val="0"/>
              <w:jc w:val="center"/>
              <w:rPr>
                <w:rFonts w:hint="default" w:ascii="Times New Roman" w:hAnsi="Times New Roman" w:cs="Times New Roman"/>
                <w:sz w:val="21"/>
                <w:szCs w:val="21"/>
              </w:rPr>
            </w:pPr>
            <w:r>
              <w:rPr>
                <w:rFonts w:hint="default" w:ascii="Times New Roman" w:hAnsi="Times New Roman" w:cs="Times New Roman"/>
                <w:sz w:val="21"/>
                <w:szCs w:val="21"/>
              </w:rPr>
              <w:t>GB/T 14561-2019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0" w:hRule="atLeast"/>
        </w:trPr>
        <w:tc>
          <w:tcPr>
            <w:tcW w:w="823" w:type="dxa"/>
            <w:vAlign w:val="center"/>
          </w:tcPr>
          <w:p>
            <w:pPr>
              <w:autoSpaceDE/>
              <w:autoSpaceDN/>
              <w:snapToGrid w:val="0"/>
              <w:jc w:val="center"/>
              <w:rPr>
                <w:rFonts w:hint="default" w:ascii="Times New Roman" w:hAnsi="Times New Roman" w:cs="Times New Roman"/>
                <w:sz w:val="21"/>
                <w:szCs w:val="21"/>
              </w:rPr>
            </w:pPr>
            <w:r>
              <w:rPr>
                <w:rFonts w:hint="default" w:ascii="Times New Roman" w:hAnsi="Times New Roman" w:cs="Times New Roman"/>
                <w:sz w:val="21"/>
                <w:szCs w:val="21"/>
              </w:rPr>
              <w:t>2</w:t>
            </w:r>
          </w:p>
        </w:tc>
        <w:tc>
          <w:tcPr>
            <w:tcW w:w="3841" w:type="dxa"/>
            <w:vAlign w:val="center"/>
          </w:tcPr>
          <w:p>
            <w:pPr>
              <w:autoSpaceDE/>
              <w:autoSpaceDN/>
              <w:snapToGrid w:val="0"/>
              <w:jc w:val="center"/>
              <w:rPr>
                <w:rFonts w:hint="default" w:ascii="Times New Roman" w:hAnsi="Times New Roman" w:cs="Times New Roman"/>
                <w:sz w:val="21"/>
                <w:szCs w:val="21"/>
              </w:rPr>
            </w:pPr>
            <w:r>
              <w:rPr>
                <w:rFonts w:hint="default" w:ascii="Times New Roman" w:hAnsi="Times New Roman" w:cs="Times New Roman"/>
                <w:sz w:val="21"/>
                <w:szCs w:val="21"/>
              </w:rPr>
              <w:t>外形尺寸和极限偏差</w:t>
            </w:r>
          </w:p>
        </w:tc>
        <w:tc>
          <w:tcPr>
            <w:tcW w:w="3841" w:type="dxa"/>
            <w:vAlign w:val="center"/>
          </w:tcPr>
          <w:p>
            <w:pPr>
              <w:autoSpaceDE/>
              <w:autoSpaceDN/>
              <w:snapToGrid w:val="0"/>
              <w:jc w:val="center"/>
              <w:rPr>
                <w:rFonts w:hint="default" w:ascii="Times New Roman" w:hAnsi="Times New Roman" w:cs="Times New Roman"/>
                <w:sz w:val="21"/>
                <w:szCs w:val="21"/>
              </w:rPr>
            </w:pPr>
            <w:r>
              <w:rPr>
                <w:rFonts w:hint="default" w:ascii="Times New Roman" w:hAnsi="Times New Roman" w:cs="Times New Roman"/>
                <w:sz w:val="21"/>
                <w:szCs w:val="21"/>
              </w:rPr>
              <w:t>GB/T 14561-2019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0" w:hRule="atLeast"/>
        </w:trPr>
        <w:tc>
          <w:tcPr>
            <w:tcW w:w="823" w:type="dxa"/>
            <w:vAlign w:val="center"/>
          </w:tcPr>
          <w:p>
            <w:pPr>
              <w:autoSpaceDE/>
              <w:autoSpaceDN/>
              <w:snapToGrid w:val="0"/>
              <w:jc w:val="center"/>
              <w:rPr>
                <w:rFonts w:hint="default" w:ascii="Times New Roman" w:hAnsi="Times New Roman" w:cs="Times New Roman"/>
                <w:sz w:val="21"/>
                <w:szCs w:val="21"/>
              </w:rPr>
            </w:pPr>
            <w:r>
              <w:rPr>
                <w:rFonts w:hint="default" w:ascii="Times New Roman" w:hAnsi="Times New Roman" w:cs="Times New Roman"/>
                <w:sz w:val="21"/>
                <w:szCs w:val="21"/>
              </w:rPr>
              <w:t>3</w:t>
            </w:r>
          </w:p>
        </w:tc>
        <w:tc>
          <w:tcPr>
            <w:tcW w:w="3841" w:type="dxa"/>
            <w:vAlign w:val="center"/>
          </w:tcPr>
          <w:p>
            <w:pPr>
              <w:autoSpaceDE/>
              <w:autoSpaceDN/>
              <w:snapToGrid w:val="0"/>
              <w:jc w:val="center"/>
              <w:rPr>
                <w:rFonts w:hint="default" w:ascii="Times New Roman" w:hAnsi="Times New Roman" w:cs="Times New Roman"/>
                <w:sz w:val="21"/>
                <w:szCs w:val="21"/>
              </w:rPr>
            </w:pPr>
            <w:r>
              <w:rPr>
                <w:rFonts w:hint="default" w:ascii="Times New Roman" w:hAnsi="Times New Roman" w:cs="Times New Roman"/>
                <w:sz w:val="21"/>
                <w:szCs w:val="21"/>
              </w:rPr>
              <w:t>材料</w:t>
            </w:r>
          </w:p>
        </w:tc>
        <w:tc>
          <w:tcPr>
            <w:tcW w:w="3841" w:type="dxa"/>
            <w:vAlign w:val="center"/>
          </w:tcPr>
          <w:p>
            <w:pPr>
              <w:autoSpaceDE/>
              <w:autoSpaceDN/>
              <w:snapToGrid w:val="0"/>
              <w:jc w:val="center"/>
              <w:rPr>
                <w:rFonts w:hint="default" w:ascii="Times New Roman" w:hAnsi="Times New Roman" w:cs="Times New Roman"/>
                <w:sz w:val="21"/>
                <w:szCs w:val="21"/>
              </w:rPr>
            </w:pPr>
            <w:r>
              <w:rPr>
                <w:rFonts w:hint="default" w:ascii="Times New Roman" w:hAnsi="Times New Roman" w:cs="Times New Roman"/>
                <w:sz w:val="21"/>
                <w:szCs w:val="21"/>
              </w:rPr>
              <w:t>GB/T 14561-2019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0" w:hRule="atLeast"/>
        </w:trPr>
        <w:tc>
          <w:tcPr>
            <w:tcW w:w="823" w:type="dxa"/>
            <w:vAlign w:val="center"/>
          </w:tcPr>
          <w:p>
            <w:pPr>
              <w:autoSpaceDE/>
              <w:autoSpaceDN/>
              <w:snapToGrid w:val="0"/>
              <w:jc w:val="center"/>
              <w:rPr>
                <w:rFonts w:hint="default" w:ascii="Times New Roman" w:hAnsi="Times New Roman" w:cs="Times New Roman"/>
                <w:sz w:val="21"/>
                <w:szCs w:val="21"/>
              </w:rPr>
            </w:pPr>
            <w:r>
              <w:rPr>
                <w:rFonts w:hint="default" w:ascii="Times New Roman" w:hAnsi="Times New Roman" w:cs="Times New Roman"/>
                <w:sz w:val="21"/>
                <w:szCs w:val="21"/>
              </w:rPr>
              <w:t>4</w:t>
            </w:r>
          </w:p>
        </w:tc>
        <w:tc>
          <w:tcPr>
            <w:tcW w:w="3841" w:type="dxa"/>
            <w:vAlign w:val="center"/>
          </w:tcPr>
          <w:p>
            <w:pPr>
              <w:autoSpaceDE/>
              <w:autoSpaceDN/>
              <w:snapToGrid w:val="0"/>
              <w:jc w:val="center"/>
              <w:rPr>
                <w:rFonts w:hint="default" w:ascii="Times New Roman" w:hAnsi="Times New Roman" w:cs="Times New Roman"/>
                <w:sz w:val="21"/>
                <w:szCs w:val="21"/>
              </w:rPr>
            </w:pPr>
            <w:r>
              <w:rPr>
                <w:rFonts w:hint="default" w:ascii="Times New Roman" w:hAnsi="Times New Roman" w:cs="Times New Roman"/>
                <w:sz w:val="21"/>
                <w:szCs w:val="21"/>
              </w:rPr>
              <w:t>箱体刚度</w:t>
            </w:r>
          </w:p>
        </w:tc>
        <w:tc>
          <w:tcPr>
            <w:tcW w:w="3841" w:type="dxa"/>
            <w:vAlign w:val="center"/>
          </w:tcPr>
          <w:p>
            <w:pPr>
              <w:autoSpaceDE/>
              <w:autoSpaceDN/>
              <w:snapToGrid w:val="0"/>
              <w:jc w:val="center"/>
              <w:rPr>
                <w:rFonts w:hint="default" w:ascii="Times New Roman" w:hAnsi="Times New Roman" w:cs="Times New Roman"/>
                <w:sz w:val="21"/>
                <w:szCs w:val="21"/>
              </w:rPr>
            </w:pPr>
            <w:r>
              <w:rPr>
                <w:rFonts w:hint="default" w:ascii="Times New Roman" w:hAnsi="Times New Roman" w:cs="Times New Roman"/>
                <w:sz w:val="21"/>
                <w:szCs w:val="21"/>
              </w:rPr>
              <w:t>GB/T 14561-2019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0" w:hRule="atLeast"/>
        </w:trPr>
        <w:tc>
          <w:tcPr>
            <w:tcW w:w="823" w:type="dxa"/>
            <w:vAlign w:val="center"/>
          </w:tcPr>
          <w:p>
            <w:pPr>
              <w:autoSpaceDE/>
              <w:autoSpaceDN/>
              <w:snapToGrid w:val="0"/>
              <w:jc w:val="center"/>
              <w:rPr>
                <w:rFonts w:hint="default" w:ascii="Times New Roman" w:hAnsi="Times New Roman" w:cs="Times New Roman"/>
                <w:sz w:val="21"/>
                <w:szCs w:val="21"/>
              </w:rPr>
            </w:pPr>
            <w:r>
              <w:rPr>
                <w:rFonts w:hint="default" w:ascii="Times New Roman" w:hAnsi="Times New Roman" w:cs="Times New Roman"/>
                <w:sz w:val="21"/>
                <w:szCs w:val="21"/>
              </w:rPr>
              <w:t>5</w:t>
            </w:r>
          </w:p>
        </w:tc>
        <w:tc>
          <w:tcPr>
            <w:tcW w:w="3841" w:type="dxa"/>
            <w:vAlign w:val="center"/>
          </w:tcPr>
          <w:p>
            <w:pPr>
              <w:autoSpaceDE/>
              <w:autoSpaceDN/>
              <w:snapToGrid w:val="0"/>
              <w:jc w:val="center"/>
              <w:rPr>
                <w:rFonts w:hint="default" w:ascii="Times New Roman" w:hAnsi="Times New Roman" w:cs="Times New Roman"/>
                <w:sz w:val="21"/>
                <w:szCs w:val="21"/>
              </w:rPr>
            </w:pPr>
            <w:r>
              <w:rPr>
                <w:rFonts w:hint="default" w:ascii="Times New Roman" w:hAnsi="Times New Roman" w:cs="Times New Roman"/>
                <w:sz w:val="21"/>
                <w:szCs w:val="21"/>
              </w:rPr>
              <w:t>箱门</w:t>
            </w:r>
          </w:p>
        </w:tc>
        <w:tc>
          <w:tcPr>
            <w:tcW w:w="3841" w:type="dxa"/>
            <w:vAlign w:val="center"/>
          </w:tcPr>
          <w:p>
            <w:pPr>
              <w:autoSpaceDE/>
              <w:autoSpaceDN/>
              <w:snapToGrid w:val="0"/>
              <w:jc w:val="center"/>
              <w:rPr>
                <w:rFonts w:hint="default" w:ascii="Times New Roman" w:hAnsi="Times New Roman" w:cs="Times New Roman"/>
                <w:sz w:val="21"/>
                <w:szCs w:val="21"/>
              </w:rPr>
            </w:pPr>
            <w:r>
              <w:rPr>
                <w:rFonts w:hint="default" w:ascii="Times New Roman" w:hAnsi="Times New Roman" w:cs="Times New Roman"/>
                <w:sz w:val="21"/>
                <w:szCs w:val="21"/>
              </w:rPr>
              <w:t>GB/T 14561-2019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0" w:hRule="atLeast"/>
        </w:trPr>
        <w:tc>
          <w:tcPr>
            <w:tcW w:w="823" w:type="dxa"/>
            <w:vAlign w:val="center"/>
          </w:tcPr>
          <w:p>
            <w:pPr>
              <w:autoSpaceDE/>
              <w:autoSpaceDN/>
              <w:snapToGrid w:val="0"/>
              <w:jc w:val="center"/>
              <w:rPr>
                <w:rFonts w:hint="default" w:ascii="Times New Roman" w:hAnsi="Times New Roman" w:cs="Times New Roman"/>
                <w:sz w:val="21"/>
                <w:szCs w:val="21"/>
              </w:rPr>
            </w:pPr>
            <w:r>
              <w:rPr>
                <w:rFonts w:hint="default" w:ascii="Times New Roman" w:hAnsi="Times New Roman" w:cs="Times New Roman"/>
                <w:sz w:val="21"/>
                <w:szCs w:val="21"/>
              </w:rPr>
              <w:t>6</w:t>
            </w:r>
          </w:p>
        </w:tc>
        <w:tc>
          <w:tcPr>
            <w:tcW w:w="3841" w:type="dxa"/>
            <w:vAlign w:val="center"/>
          </w:tcPr>
          <w:p>
            <w:pPr>
              <w:autoSpaceDE/>
              <w:autoSpaceDN/>
              <w:snapToGrid w:val="0"/>
              <w:jc w:val="center"/>
              <w:rPr>
                <w:rFonts w:hint="default" w:ascii="Times New Roman" w:hAnsi="Times New Roman" w:cs="Times New Roman"/>
                <w:sz w:val="21"/>
                <w:szCs w:val="21"/>
              </w:rPr>
            </w:pPr>
            <w:r>
              <w:rPr>
                <w:rFonts w:hint="default" w:ascii="Times New Roman" w:hAnsi="Times New Roman" w:cs="Times New Roman"/>
                <w:sz w:val="21"/>
                <w:szCs w:val="21"/>
              </w:rPr>
              <w:t>标志</w:t>
            </w:r>
          </w:p>
        </w:tc>
        <w:tc>
          <w:tcPr>
            <w:tcW w:w="3841" w:type="dxa"/>
            <w:vAlign w:val="center"/>
          </w:tcPr>
          <w:p>
            <w:pPr>
              <w:autoSpaceDE/>
              <w:autoSpaceDN/>
              <w:snapToGrid w:val="0"/>
              <w:jc w:val="center"/>
              <w:rPr>
                <w:rFonts w:hint="default" w:ascii="Times New Roman" w:hAnsi="Times New Roman" w:cs="Times New Roman"/>
                <w:sz w:val="21"/>
                <w:szCs w:val="21"/>
              </w:rPr>
            </w:pPr>
            <w:r>
              <w:rPr>
                <w:rFonts w:hint="default" w:ascii="Times New Roman" w:hAnsi="Times New Roman" w:cs="Times New Roman"/>
                <w:sz w:val="21"/>
                <w:szCs w:val="21"/>
              </w:rPr>
              <w:t>GB/T 14561-2019</w:t>
            </w:r>
          </w:p>
        </w:tc>
      </w:tr>
    </w:tbl>
    <w:p>
      <w:pPr>
        <w:snapToGrid w:val="0"/>
        <w:spacing w:line="440" w:lineRule="exact"/>
        <w:ind w:firstLine="420" w:firstLineChars="200"/>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执行企业标准、团体标准、地方标准的产品，检验项目参照上述内容执行。</w:t>
      </w:r>
    </w:p>
    <w:p>
      <w:pPr>
        <w:spacing w:line="440" w:lineRule="exact"/>
        <w:ind w:firstLine="420" w:firstLineChars="200"/>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凡是注日期的文件，其随后所有的修改单（不包括勘误的内容）或修订版不适用于本细则。凡是不注日期的文件，其最新版本适用于本细则。</w:t>
      </w:r>
    </w:p>
    <w:p>
      <w:pPr>
        <w:spacing w:line="440" w:lineRule="exact"/>
        <w:ind w:firstLine="420" w:firstLineChars="200"/>
        <w:rPr>
          <w:rFonts w:hint="default" w:ascii="Times New Roman" w:hAnsi="Times New Roman" w:cs="Times New Roman"/>
          <w:color w:val="000000"/>
          <w:sz w:val="21"/>
          <w:szCs w:val="21"/>
        </w:rPr>
      </w:pPr>
    </w:p>
    <w:p>
      <w:pPr>
        <w:spacing w:line="440" w:lineRule="exact"/>
        <w:rPr>
          <w:rFonts w:hint="default" w:ascii="Times New Roman" w:hAnsi="Times New Roman" w:eastAsia="黑体" w:cs="Times New Roman"/>
          <w:color w:val="000000"/>
          <w:sz w:val="21"/>
          <w:szCs w:val="21"/>
        </w:rPr>
      </w:pPr>
      <w:r>
        <w:rPr>
          <w:rFonts w:hint="default" w:ascii="Times New Roman" w:hAnsi="Times New Roman" w:eastAsia="黑体" w:cs="Times New Roman"/>
          <w:color w:val="000000"/>
          <w:sz w:val="21"/>
          <w:szCs w:val="21"/>
        </w:rPr>
        <w:t>3 判定规则</w:t>
      </w:r>
    </w:p>
    <w:p>
      <w:pPr>
        <w:spacing w:line="440" w:lineRule="exact"/>
        <w:rPr>
          <w:rFonts w:hint="default" w:ascii="Times New Roman" w:hAnsi="Times New Roman" w:eastAsia="黑体" w:cs="Times New Roman"/>
          <w:color w:val="000000"/>
          <w:sz w:val="21"/>
          <w:szCs w:val="21"/>
        </w:rPr>
      </w:pPr>
      <w:r>
        <w:rPr>
          <w:rFonts w:hint="default" w:ascii="Times New Roman" w:hAnsi="Times New Roman" w:eastAsia="黑体" w:cs="Times New Roman"/>
          <w:color w:val="000000"/>
          <w:sz w:val="21"/>
          <w:szCs w:val="21"/>
        </w:rPr>
        <w:t>3.1 依据标准</w:t>
      </w:r>
    </w:p>
    <w:p>
      <w:pPr>
        <w:snapToGrid w:val="0"/>
        <w:spacing w:line="440" w:lineRule="exact"/>
        <w:ind w:firstLine="359" w:firstLineChars="171"/>
        <w:rPr>
          <w:rFonts w:hint="default" w:ascii="Times New Roman" w:hAnsi="Times New Roman" w:cs="Times New Roman"/>
          <w:color w:val="000000"/>
          <w:szCs w:val="21"/>
        </w:rPr>
      </w:pPr>
      <w:r>
        <w:rPr>
          <w:rFonts w:hint="default" w:ascii="Times New Roman" w:hAnsi="Times New Roman" w:cs="Times New Roman"/>
          <w:sz w:val="21"/>
          <w:szCs w:val="21"/>
        </w:rPr>
        <w:t>GB/T 14561-2019</w:t>
      </w:r>
      <w:r>
        <w:rPr>
          <w:rFonts w:hint="default" w:ascii="Times New Roman" w:hAnsi="Times New Roman" w:cs="Times New Roman"/>
          <w:sz w:val="21"/>
          <w:szCs w:val="21"/>
        </w:rPr>
        <w:tab/>
      </w:r>
      <w:r>
        <w:rPr>
          <w:rFonts w:hint="default" w:ascii="Times New Roman" w:hAnsi="Times New Roman" w:cs="Times New Roman"/>
          <w:sz w:val="21"/>
          <w:szCs w:val="21"/>
        </w:rPr>
        <w:t>消火</w:t>
      </w:r>
      <w:r>
        <w:rPr>
          <w:rFonts w:hint="default" w:ascii="Times New Roman" w:hAnsi="Times New Roman" w:cs="Times New Roman"/>
          <w:spacing w:val="-5"/>
          <w:sz w:val="21"/>
          <w:szCs w:val="21"/>
        </w:rPr>
        <w:t>栓</w:t>
      </w:r>
      <w:r>
        <w:rPr>
          <w:rFonts w:hint="default" w:ascii="Times New Roman" w:hAnsi="Times New Roman" w:cs="Times New Roman"/>
          <w:sz w:val="21"/>
          <w:szCs w:val="21"/>
        </w:rPr>
        <w:t>箱</w:t>
      </w:r>
    </w:p>
    <w:p>
      <w:pPr>
        <w:snapToGrid w:val="0"/>
        <w:spacing w:line="440" w:lineRule="exact"/>
        <w:ind w:firstLine="359" w:firstLineChars="171"/>
        <w:rPr>
          <w:rFonts w:hint="default" w:ascii="Times New Roman" w:hAnsi="Times New Roman" w:cs="Times New Roman"/>
          <w:sz w:val="21"/>
          <w:szCs w:val="21"/>
        </w:rPr>
      </w:pPr>
      <w:r>
        <w:rPr>
          <w:rFonts w:hint="default" w:ascii="Times New Roman" w:hAnsi="Times New Roman" w:cs="Times New Roman"/>
          <w:sz w:val="21"/>
          <w:szCs w:val="21"/>
        </w:rPr>
        <w:t>现行有效的企业标准、团体标准、地方标准及产品明示质量要求</w:t>
      </w:r>
    </w:p>
    <w:p>
      <w:pPr>
        <w:spacing w:line="440" w:lineRule="exact"/>
        <w:rPr>
          <w:rFonts w:hint="default" w:ascii="Times New Roman" w:hAnsi="Times New Roman" w:cs="Times New Roman"/>
          <w:sz w:val="21"/>
          <w:szCs w:val="21"/>
        </w:rPr>
      </w:pPr>
      <w:r>
        <w:rPr>
          <w:rFonts w:hint="default" w:ascii="Times New Roman" w:hAnsi="Times New Roman" w:eastAsia="黑体" w:cs="Times New Roman"/>
          <w:color w:val="000000"/>
          <w:sz w:val="21"/>
          <w:szCs w:val="21"/>
        </w:rPr>
        <w:t>3.2 判定原则</w:t>
      </w:r>
    </w:p>
    <w:p>
      <w:pPr>
        <w:snapToGrid w:val="0"/>
        <w:spacing w:line="440" w:lineRule="exact"/>
        <w:ind w:firstLine="376" w:firstLineChars="171"/>
        <w:rPr>
          <w:rFonts w:hint="default" w:ascii="Times New Roman" w:hAnsi="Times New Roman" w:cs="Times New Roman"/>
          <w:color w:val="000000"/>
          <w:szCs w:val="21"/>
        </w:rPr>
      </w:pPr>
      <w:r>
        <w:rPr>
          <w:rFonts w:hint="default" w:ascii="Times New Roman" w:hAnsi="Times New Roman" w:cs="Times New Roman"/>
          <w:color w:val="000000"/>
          <w:szCs w:val="21"/>
        </w:rPr>
        <w:t>经检验，检验项目全部合格，判定为被抽查产品所检项目未发现不合格；检验项目中任一项或一项以上不合格，判定为被抽查产品不合格。</w:t>
      </w:r>
    </w:p>
    <w:p>
      <w:pPr>
        <w:snapToGrid w:val="0"/>
        <w:spacing w:line="440" w:lineRule="exact"/>
        <w:ind w:firstLine="376" w:firstLineChars="171"/>
        <w:rPr>
          <w:rFonts w:hint="default" w:ascii="Times New Roman" w:hAnsi="Times New Roman" w:cs="Times New Roman"/>
          <w:color w:val="000000"/>
          <w:szCs w:val="21"/>
        </w:rPr>
      </w:pPr>
      <w:r>
        <w:rPr>
          <w:rFonts w:hint="default" w:ascii="Times New Roman" w:hAnsi="Times New Roman" w:cs="Times New Roman"/>
          <w:color w:val="000000"/>
          <w:szCs w:val="21"/>
        </w:rPr>
        <w:t>若被检产品明示的质量要求高于本细则中检验项目依据的标准要求时，应按被检产品明示的质量要求判定。</w:t>
      </w:r>
    </w:p>
    <w:p>
      <w:pPr>
        <w:snapToGrid w:val="0"/>
        <w:spacing w:line="440" w:lineRule="exact"/>
        <w:ind w:firstLine="376" w:firstLineChars="171"/>
        <w:rPr>
          <w:rFonts w:hint="default" w:ascii="Times New Roman" w:hAnsi="Times New Roman" w:cs="Times New Roman"/>
          <w:color w:val="000000"/>
          <w:szCs w:val="21"/>
        </w:rPr>
      </w:pPr>
      <w:r>
        <w:rPr>
          <w:rFonts w:hint="default" w:ascii="Times New Roman" w:hAnsi="Times New Roman" w:cs="Times New Roman"/>
          <w:color w:val="000000"/>
          <w:szCs w:val="21"/>
        </w:rPr>
        <w:t>若被检产品明示的质量要求低于本细则中检验项目依据的强制性标准要求时，应按照强制性标准要求判定。</w:t>
      </w:r>
    </w:p>
    <w:p>
      <w:pPr>
        <w:snapToGrid w:val="0"/>
        <w:spacing w:line="440" w:lineRule="exact"/>
        <w:ind w:firstLine="376" w:firstLineChars="171"/>
        <w:rPr>
          <w:rFonts w:hint="default" w:ascii="Times New Roman" w:hAnsi="Times New Roman" w:cs="Times New Roman"/>
          <w:color w:val="000000"/>
          <w:szCs w:val="21"/>
        </w:rPr>
      </w:pPr>
      <w:r>
        <w:rPr>
          <w:rFonts w:hint="default" w:ascii="Times New Roman" w:hAnsi="Times New Roman" w:cs="Times New Roman"/>
          <w:color w:val="000000"/>
          <w:szCs w:val="21"/>
        </w:rPr>
        <w:t>若被检产品明示的质量要求低于或包含本细则中检验项目依据的推荐性标准要求时，应以被检产品明示的质量要求判定。</w:t>
      </w:r>
    </w:p>
    <w:p>
      <w:pPr>
        <w:snapToGrid w:val="0"/>
        <w:spacing w:line="440" w:lineRule="exact"/>
        <w:ind w:firstLine="376" w:firstLineChars="171"/>
        <w:rPr>
          <w:rFonts w:hint="default" w:ascii="Times New Roman" w:hAnsi="Times New Roman" w:cs="Times New Roman"/>
          <w:color w:val="000000"/>
          <w:szCs w:val="21"/>
        </w:rPr>
      </w:pPr>
      <w:r>
        <w:rPr>
          <w:rFonts w:hint="default" w:ascii="Times New Roman" w:hAnsi="Times New Roman" w:cs="Times New Roman"/>
          <w:color w:val="000000"/>
          <w:szCs w:val="21"/>
        </w:rPr>
        <w:t>若被检产品明示的质量要求缺少本细则中检验项目依据的强制性标准要求时，应按照强制性标准要求判定。</w:t>
      </w:r>
    </w:p>
    <w:p>
      <w:pPr>
        <w:snapToGrid w:val="0"/>
        <w:spacing w:line="440" w:lineRule="exact"/>
        <w:ind w:firstLine="376" w:firstLineChars="171"/>
        <w:rPr>
          <w:rFonts w:hint="default" w:ascii="Times New Roman" w:hAnsi="Times New Roman" w:cs="Times New Roman"/>
          <w:color w:val="000000"/>
          <w:szCs w:val="21"/>
        </w:rPr>
      </w:pPr>
      <w:r>
        <w:rPr>
          <w:rFonts w:hint="default" w:ascii="Times New Roman" w:hAnsi="Times New Roman" w:cs="Times New Roman"/>
          <w:color w:val="000000"/>
          <w:szCs w:val="21"/>
        </w:rPr>
        <w:t>若被检产品明示的质量要求缺少本细则中检验项目依据的推荐性标准要求时，该项目不参与判定。</w:t>
      </w:r>
    </w:p>
    <w:p>
      <w:pPr>
        <w:pStyle w:val="5"/>
        <w:spacing w:line="440" w:lineRule="exact"/>
        <w:rPr>
          <w:rFonts w:hint="default" w:ascii="Times New Roman" w:hAnsi="Times New Roman" w:cs="Times New Roman"/>
        </w:rPr>
      </w:pPr>
    </w:p>
    <w:p>
      <w:pPr>
        <w:spacing w:line="440" w:lineRule="exact"/>
        <w:rPr>
          <w:rFonts w:hint="default" w:ascii="Times New Roman" w:hAnsi="Times New Roman" w:eastAsia="黑体" w:cs="Times New Roman"/>
          <w:color w:val="000000"/>
          <w:sz w:val="21"/>
          <w:szCs w:val="21"/>
        </w:rPr>
      </w:pPr>
      <w:r>
        <w:rPr>
          <w:rFonts w:hint="default" w:ascii="Times New Roman" w:hAnsi="Times New Roman" w:eastAsia="黑体" w:cs="Times New Roman"/>
          <w:color w:val="000000"/>
          <w:sz w:val="21"/>
          <w:szCs w:val="21"/>
        </w:rPr>
        <w:t>4 附则</w:t>
      </w:r>
    </w:p>
    <w:p>
      <w:pPr>
        <w:snapToGrid w:val="0"/>
        <w:spacing w:line="440" w:lineRule="exact"/>
        <w:ind w:firstLine="376" w:firstLineChars="171"/>
        <w:rPr>
          <w:rFonts w:hint="default" w:ascii="Times New Roman" w:hAnsi="Times New Roman" w:cs="Times New Roman"/>
          <w:color w:val="000000"/>
          <w:szCs w:val="21"/>
        </w:rPr>
      </w:pPr>
      <w:r>
        <w:rPr>
          <w:rFonts w:hint="default" w:ascii="Times New Roman" w:hAnsi="Times New Roman" w:cs="Times New Roman"/>
          <w:color w:val="000000"/>
          <w:szCs w:val="21"/>
        </w:rPr>
        <w:t>本细则代替《贵州省市场监管局关于发布2022年版贵州省产品质量监督抽查实施细则（第二批）的公告》中的《贵州省消火栓箱产品质量监督抽查实施细则（2022年版）》。</w:t>
      </w:r>
    </w:p>
    <w:sectPr>
      <w:headerReference r:id="rId3" w:type="default"/>
      <w:footerReference r:id="rId4" w:type="default"/>
      <w:pgSz w:w="11910" w:h="16840"/>
      <w:pgMar w:top="1985" w:right="1418" w:bottom="1644" w:left="1418" w:header="879" w:footer="1055"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Microsoft JhengHei">
    <w:altName w:val="方正书宋_GBK"/>
    <w:panose1 w:val="020B0604030504040204"/>
    <w:charset w:val="88"/>
    <w:family w:val="swiss"/>
    <w:pitch w:val="default"/>
    <w:sig w:usb0="00000000" w:usb1="00000000" w:usb2="00000016" w:usb3="00000000" w:csb0="00100009" w:csb1="00000000"/>
  </w:font>
  <w:font w:name="方正小标宋_GBK">
    <w:panose1 w:val="02000000000000000000"/>
    <w:charset w:val="86"/>
    <w:family w:val="script"/>
    <w:pitch w:val="default"/>
    <w:sig w:usb0="00000001" w:usb1="08000000" w:usb2="00000000" w:usb3="00000000" w:csb0="00040000" w:csb1="00000000"/>
  </w:font>
  <w:font w:name="方正仿宋简体">
    <w:panose1 w:val="03000509000000000000"/>
    <w:charset w:val="86"/>
    <w:family w:val="auto"/>
    <w:pitch w:val="default"/>
    <w:sig w:usb0="00000001" w:usb1="080E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spacing w:line="14" w:lineRule="auto"/>
      <w:rPr>
        <w:sz w:val="20"/>
      </w:rPr>
    </w:pPr>
    <w:r>
      <w:pict>
        <v:shape id="文本框 3" o:spid="_x0000_s3073" o:spt="202" type="#_x0000_t202" style="position:absolute;left:0pt;margin-left:291pt;margin-top:778pt;height:11.85pt;width:8.45pt;mso-position-horizontal-relative:page;mso-position-vertical-relative:page;z-index:-251658240;mso-width-relative:page;mso-height-relative:page;" filled="f" stroked="f" coordsize="21600,21600" o:gfxdata="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">
          <v:path/>
          <v:fill on="f" focussize="0,0"/>
          <v:stroke on="f" joinstyle="miter"/>
          <v:imagedata o:title=""/>
          <o:lock v:ext="edit"/>
          <v:textbox inset="0mm,0mm,0mm,0mm">
            <w:txbxContent>
              <w:p>
                <w:pPr>
                  <w:spacing w:before="19"/>
                  <w:ind w:left="40"/>
                  <w:rPr>
                    <w:rFonts w:ascii="Times New Roman"/>
                    <w:sz w:val="17"/>
                  </w:rPr>
                </w:pPr>
                <w:r>
                  <w:fldChar w:fldCharType="begin"/>
                </w:r>
                <w:r>
                  <w:rPr>
                    <w:rFonts w:ascii="Times New Roman"/>
                    <w:w w:val="104"/>
                    <w:sz w:val="17"/>
                  </w:rPr>
                  <w:instrText xml:space="preserve"> PAGE </w:instrText>
                </w:r>
                <w:r>
                  <w:fldChar w:fldCharType="separate"/>
                </w:r>
                <w:r>
                  <w:rPr>
                    <w:rFonts w:ascii="Times New Roman"/>
                    <w:w w:val="104"/>
                    <w:sz w:val="17"/>
                  </w:rPr>
                  <w:t>1</w:t>
                </w:r>
                <w:r>
                  <w:fldChar w:fldCharType="end"/>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spacing w:line="14" w:lineRule="auto"/>
      <w:rPr>
        <w:sz w:val="2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true"/>
  <w:bordersDoNotSurroundFooter w:val="true"/>
  <w:documentProtection w:enforcement="0"/>
  <w:defaultTabStop w:val="720"/>
  <w:drawingGridHorizontalSpacing w:val="110"/>
  <w:displayHorizontalDrawingGridEvery w:val="2"/>
  <w:characterSpacingControl w:val="doNotCompress"/>
  <w:hdrShapeDefaults>
    <o:shapelayout v:ext="edit">
      <o:idmap v:ext="edit" data="1,3"/>
    </o:shapelayout>
  </w:hdrShapeDefaults>
  <w:compat>
    <w:ulTrailSpace/>
    <w:useFELayout/>
    <w:compatSetting w:name="compatibilityMode" w:uri="http://schemas.microsoft.com/office/word" w:val="12"/>
  </w:compat>
  <w:rsids>
    <w:rsidRoot w:val="003919BD"/>
    <w:rsid w:val="00020072"/>
    <w:rsid w:val="00033640"/>
    <w:rsid w:val="00072D3C"/>
    <w:rsid w:val="000A5956"/>
    <w:rsid w:val="000C402B"/>
    <w:rsid w:val="00110019"/>
    <w:rsid w:val="001210E4"/>
    <w:rsid w:val="00184508"/>
    <w:rsid w:val="001945A2"/>
    <w:rsid w:val="00200B11"/>
    <w:rsid w:val="00220123"/>
    <w:rsid w:val="00291C3D"/>
    <w:rsid w:val="00304C2E"/>
    <w:rsid w:val="003248C4"/>
    <w:rsid w:val="00333F79"/>
    <w:rsid w:val="00342A45"/>
    <w:rsid w:val="003564C7"/>
    <w:rsid w:val="003919BD"/>
    <w:rsid w:val="00483D2D"/>
    <w:rsid w:val="00496C8D"/>
    <w:rsid w:val="004F6029"/>
    <w:rsid w:val="00504102"/>
    <w:rsid w:val="00517C3B"/>
    <w:rsid w:val="005874FE"/>
    <w:rsid w:val="00602D3D"/>
    <w:rsid w:val="00607345"/>
    <w:rsid w:val="00655204"/>
    <w:rsid w:val="00697613"/>
    <w:rsid w:val="006F6BB0"/>
    <w:rsid w:val="00702B2B"/>
    <w:rsid w:val="007669EF"/>
    <w:rsid w:val="007C2081"/>
    <w:rsid w:val="007D6BDA"/>
    <w:rsid w:val="007F65AA"/>
    <w:rsid w:val="00812C83"/>
    <w:rsid w:val="00830FE2"/>
    <w:rsid w:val="00861C6F"/>
    <w:rsid w:val="008810EE"/>
    <w:rsid w:val="008B2B8F"/>
    <w:rsid w:val="008D76BB"/>
    <w:rsid w:val="008F55DD"/>
    <w:rsid w:val="009066EA"/>
    <w:rsid w:val="00921A16"/>
    <w:rsid w:val="00976400"/>
    <w:rsid w:val="00A078D0"/>
    <w:rsid w:val="00A07B90"/>
    <w:rsid w:val="00A31A05"/>
    <w:rsid w:val="00A35D87"/>
    <w:rsid w:val="00AB4924"/>
    <w:rsid w:val="00AC362F"/>
    <w:rsid w:val="00B4412D"/>
    <w:rsid w:val="00B56981"/>
    <w:rsid w:val="00B82898"/>
    <w:rsid w:val="00B96275"/>
    <w:rsid w:val="00BB03CC"/>
    <w:rsid w:val="00C259A4"/>
    <w:rsid w:val="00CF2ABF"/>
    <w:rsid w:val="00D119CF"/>
    <w:rsid w:val="00D239B3"/>
    <w:rsid w:val="00D87F96"/>
    <w:rsid w:val="00DD07C7"/>
    <w:rsid w:val="00E70774"/>
    <w:rsid w:val="00E72571"/>
    <w:rsid w:val="00E74AFA"/>
    <w:rsid w:val="00EC0810"/>
    <w:rsid w:val="00EF2F72"/>
    <w:rsid w:val="00EF6387"/>
    <w:rsid w:val="00EF68BE"/>
    <w:rsid w:val="00F430A7"/>
    <w:rsid w:val="00F87E11"/>
    <w:rsid w:val="00FA69BE"/>
    <w:rsid w:val="00FB6555"/>
    <w:rsid w:val="06797F9E"/>
    <w:rsid w:val="13FF8A9D"/>
    <w:rsid w:val="289A32D9"/>
    <w:rsid w:val="377D2CA4"/>
    <w:rsid w:val="3A9879DF"/>
    <w:rsid w:val="401826F9"/>
    <w:rsid w:val="489F44A5"/>
    <w:rsid w:val="5365056B"/>
    <w:rsid w:val="565449B4"/>
    <w:rsid w:val="6B0A727D"/>
    <w:rsid w:val="6DF428B8"/>
    <w:rsid w:val="6E7D15FA"/>
    <w:rsid w:val="6FF39091"/>
    <w:rsid w:val="70F66AF2"/>
    <w:rsid w:val="76ED3FCC"/>
    <w:rsid w:val="E9DB7AE7"/>
    <w:rsid w:val="FA9F6D20"/>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nhideWhenUsed="0" w:uiPriority="1"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iPriority="99"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nhideWhenUsed="0" w:uiPriority="1" w:semiHidden="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nhideWhenUsed="0" w:uiPriority="0" w:semiHidden="0" w:name="Table Subtle 1"/>
    <w:lsdException w:uiPriority="0" w:name="Table Subtle 2"/>
    <w:lsdException w:uiPriority="0" w:name="Table Web 1"/>
    <w:lsdException w:unhideWhenUsed="0" w:uiPriority="0" w:semiHidden="0" w:name="Table Web 2"/>
    <w:lsdException w:unhideWhenUsed="0" w:uiPriority="0" w:semiHidden="0" w:name="Table Web 3"/>
    <w:lsdException w:uiPriority="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pPr>
    <w:rPr>
      <w:rFonts w:ascii="宋体" w:hAnsi="宋体" w:eastAsia="宋体" w:cs="宋体"/>
      <w:sz w:val="22"/>
      <w:szCs w:val="22"/>
      <w:lang w:val="zh-CN" w:eastAsia="zh-CN" w:bidi="zh-CN"/>
    </w:rPr>
  </w:style>
  <w:style w:type="paragraph" w:styleId="2">
    <w:name w:val="heading 1"/>
    <w:basedOn w:val="1"/>
    <w:next w:val="1"/>
    <w:qFormat/>
    <w:uiPriority w:val="1"/>
    <w:pPr>
      <w:ind w:left="673" w:right="671"/>
      <w:jc w:val="center"/>
      <w:outlineLvl w:val="0"/>
    </w:pPr>
    <w:rPr>
      <w:sz w:val="52"/>
      <w:szCs w:val="52"/>
    </w:rPr>
  </w:style>
  <w:style w:type="paragraph" w:styleId="3">
    <w:name w:val="heading 2"/>
    <w:basedOn w:val="1"/>
    <w:next w:val="1"/>
    <w:qFormat/>
    <w:uiPriority w:val="1"/>
    <w:pPr>
      <w:ind w:left="493" w:hanging="212"/>
      <w:outlineLvl w:val="1"/>
    </w:pPr>
    <w:rPr>
      <w:rFonts w:ascii="Microsoft JhengHei" w:hAnsi="Microsoft JhengHei" w:eastAsia="Microsoft JhengHei" w:cs="Microsoft JhengHei"/>
      <w:b/>
      <w:bCs/>
      <w:sz w:val="21"/>
      <w:szCs w:val="21"/>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4">
    <w:name w:val="annotation text"/>
    <w:basedOn w:val="1"/>
    <w:unhideWhenUsed/>
    <w:qFormat/>
    <w:uiPriority w:val="99"/>
  </w:style>
  <w:style w:type="paragraph" w:styleId="5">
    <w:name w:val="Body Text"/>
    <w:basedOn w:val="1"/>
    <w:link w:val="15"/>
    <w:qFormat/>
    <w:uiPriority w:val="1"/>
    <w:rPr>
      <w:sz w:val="21"/>
      <w:szCs w:val="21"/>
    </w:rPr>
  </w:style>
  <w:style w:type="paragraph" w:styleId="6">
    <w:name w:val="footer"/>
    <w:basedOn w:val="1"/>
    <w:link w:val="14"/>
    <w:qFormat/>
    <w:uiPriority w:val="0"/>
    <w:pPr>
      <w:tabs>
        <w:tab w:val="center" w:pos="4153"/>
        <w:tab w:val="right" w:pos="8306"/>
      </w:tabs>
      <w:snapToGrid w:val="0"/>
    </w:pPr>
    <w:rPr>
      <w:sz w:val="18"/>
      <w:szCs w:val="18"/>
    </w:rPr>
  </w:style>
  <w:style w:type="paragraph" w:styleId="7">
    <w:name w:val="header"/>
    <w:basedOn w:val="1"/>
    <w:link w:val="13"/>
    <w:qFormat/>
    <w:uiPriority w:val="0"/>
    <w:pPr>
      <w:pBdr>
        <w:bottom w:val="single" w:color="auto" w:sz="6" w:space="1"/>
      </w:pBdr>
      <w:tabs>
        <w:tab w:val="center" w:pos="4153"/>
        <w:tab w:val="right" w:pos="8306"/>
      </w:tabs>
      <w:snapToGrid w:val="0"/>
      <w:jc w:val="center"/>
    </w:pPr>
    <w:rPr>
      <w:sz w:val="18"/>
      <w:szCs w:val="18"/>
    </w:rPr>
  </w:style>
  <w:style w:type="table" w:customStyle="1" w:styleId="10">
    <w:name w:val="Table Normal"/>
    <w:semiHidden/>
    <w:unhideWhenUsed/>
    <w:qFormat/>
    <w:uiPriority w:val="2"/>
    <w:tblPr>
      <w:tblCellMar>
        <w:top w:w="0" w:type="dxa"/>
        <w:left w:w="0" w:type="dxa"/>
        <w:bottom w:w="0" w:type="dxa"/>
        <w:right w:w="0" w:type="dxa"/>
      </w:tblCellMar>
    </w:tblPr>
  </w:style>
  <w:style w:type="paragraph" w:styleId="11">
    <w:name w:val="List Paragraph"/>
    <w:basedOn w:val="1"/>
    <w:qFormat/>
    <w:uiPriority w:val="1"/>
    <w:pPr>
      <w:ind w:left="493" w:hanging="212"/>
    </w:pPr>
  </w:style>
  <w:style w:type="paragraph" w:customStyle="1" w:styleId="12">
    <w:name w:val="Table Paragraph"/>
    <w:basedOn w:val="1"/>
    <w:qFormat/>
    <w:uiPriority w:val="1"/>
  </w:style>
  <w:style w:type="character" w:customStyle="1" w:styleId="13">
    <w:name w:val="页眉 字符"/>
    <w:basedOn w:val="9"/>
    <w:link w:val="7"/>
    <w:qFormat/>
    <w:uiPriority w:val="0"/>
    <w:rPr>
      <w:rFonts w:ascii="宋体" w:hAnsi="宋体" w:eastAsia="宋体" w:cs="宋体"/>
      <w:sz w:val="18"/>
      <w:szCs w:val="18"/>
      <w:lang w:val="zh-CN" w:bidi="zh-CN"/>
    </w:rPr>
  </w:style>
  <w:style w:type="character" w:customStyle="1" w:styleId="14">
    <w:name w:val="页脚 字符"/>
    <w:basedOn w:val="9"/>
    <w:link w:val="6"/>
    <w:qFormat/>
    <w:uiPriority w:val="0"/>
    <w:rPr>
      <w:rFonts w:ascii="宋体" w:hAnsi="宋体" w:eastAsia="宋体" w:cs="宋体"/>
      <w:sz w:val="18"/>
      <w:szCs w:val="18"/>
      <w:lang w:val="zh-CN" w:bidi="zh-CN"/>
    </w:rPr>
  </w:style>
  <w:style w:type="character" w:customStyle="1" w:styleId="15">
    <w:name w:val="正文文本 字符"/>
    <w:basedOn w:val="9"/>
    <w:link w:val="5"/>
    <w:qFormat/>
    <w:uiPriority w:val="1"/>
    <w:rPr>
      <w:rFonts w:ascii="宋体" w:hAnsi="宋体" w:eastAsia="宋体" w:cs="宋体"/>
      <w:sz w:val="21"/>
      <w:szCs w:val="21"/>
      <w:lang w:val="zh-CN" w:bidi="zh-CN"/>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3073"/>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ylmfeng.com</Company>
  <Pages>2</Pages>
  <Words>126</Words>
  <Characters>721</Characters>
  <Lines>6</Lines>
  <Paragraphs>1</Paragraphs>
  <TotalTime>57</TotalTime>
  <ScaleCrop>false</ScaleCrop>
  <LinksUpToDate>false</LinksUpToDate>
  <CharactersWithSpaces>846</CharactersWithSpaces>
  <Application>WPS Office_11.8.2.10489_F1E327BC-269C-435d-A152-05C5408002CA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2020-05-23T19:45:00Z</dcterms:created>
  <dc:creator>MC SYSTEM</dc:creator>
  <cp:lastModifiedBy>ysgz</cp:lastModifiedBy>
  <dcterms:modified xsi:type="dcterms:W3CDTF">2023-07-20T18:01:16Z</dcterms:modified>
  <dc:title>产品质量监督抽查实施规范</dc:title>
  <cp:revision>46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2013-05-09T00:00:00Z</vt:filetime>
  </property>
  <property fmtid="{D5CDD505-2E9C-101B-9397-08002B2CF9AE}" pid="3" name="Creator">
    <vt:lpwstr>WPS Office 个人版</vt:lpwstr>
  </property>
  <property fmtid="{D5CDD505-2E9C-101B-9397-08002B2CF9AE}" pid="4" name="LastSaved">
    <vt:filetime>2013-05-09T00:00:00Z</vt:filetime>
  </property>
  <property fmtid="{D5CDD505-2E9C-101B-9397-08002B2CF9AE}" pid="5" name="KSOProductBuildVer">
    <vt:lpwstr>2052-11.8.2.10489</vt:lpwstr>
  </property>
  <property fmtid="{D5CDD505-2E9C-101B-9397-08002B2CF9AE}" pid="6" name="KSOSaveFontToCloudKey">
    <vt:lpwstr>333935165_cloud</vt:lpwstr>
  </property>
  <property fmtid="{D5CDD505-2E9C-101B-9397-08002B2CF9AE}" pid="7" name="ICV">
    <vt:lpwstr>C1ADFABB37384A8EBE736DA1664F7503</vt:lpwstr>
  </property>
</Properties>
</file>