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方正小标宋_GBK" w:eastAsia="方正小标宋_GBK" w:cs="方正小标宋_GBK"/>
          <w:color w:val="000000"/>
          <w:sz w:val="32"/>
          <w:szCs w:val="32"/>
        </w:rPr>
        <w:t>贵州省煤焦油产品质量监督抽查实施细则</w:t>
      </w:r>
    </w:p>
    <w:p>
      <w:pPr>
        <w:keepNext w:val="0"/>
        <w:keepLines w:val="0"/>
        <w:pageBreakBefore w:val="0"/>
        <w:widowControl w:val="0"/>
        <w:kinsoku/>
        <w:wordWrap/>
        <w:overflowPunct/>
        <w:topLinePunct w:val="0"/>
        <w:autoSpaceDE/>
        <w:autoSpaceDN/>
        <w:bidi w:val="0"/>
        <w:snapToGrid w:val="0"/>
        <w:spacing w:line="440" w:lineRule="exact"/>
        <w:ind w:firstLine="636" w:firstLineChars="199"/>
        <w:jc w:val="center"/>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（202</w:t>
      </w:r>
      <w:r>
        <w:rPr>
          <w:rFonts w:hint="eastAsia" w:ascii="楷体_GB2312" w:hAnsi="楷体_GB2312" w:eastAsia="楷体_GB2312" w:cs="楷体_GB2312"/>
          <w:color w:val="auto"/>
          <w:sz w:val="32"/>
          <w:szCs w:val="32"/>
          <w:lang w:val="en-US" w:eastAsia="zh-CN"/>
        </w:rPr>
        <w:t>3</w:t>
      </w:r>
      <w:r>
        <w:rPr>
          <w:rFonts w:hint="eastAsia" w:ascii="楷体_GB2312" w:hAnsi="楷体_GB2312" w:eastAsia="楷体_GB2312" w:cs="楷体_GB2312"/>
          <w:color w:val="auto"/>
          <w:sz w:val="32"/>
          <w:szCs w:val="32"/>
        </w:rPr>
        <w:t>年版）</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 抽样方法</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每批次抽取的样品数量不得少于20L，将样品均分为两份，每份至少10L，其中一份为检验样品，另一份为备用样品。</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2 检验依据</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3718"/>
        <w:gridCol w:w="4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8" w:type="dxa"/>
            <w:noWrap w:val="0"/>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序号</w:t>
            </w:r>
          </w:p>
        </w:tc>
        <w:tc>
          <w:tcPr>
            <w:tcW w:w="371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检验项目</w:t>
            </w:r>
          </w:p>
        </w:tc>
        <w:tc>
          <w:tcPr>
            <w:tcW w:w="4195"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w:t>
            </w:r>
          </w:p>
        </w:tc>
        <w:tc>
          <w:tcPr>
            <w:tcW w:w="371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密度（ρ20）</w:t>
            </w:r>
          </w:p>
        </w:tc>
        <w:tc>
          <w:tcPr>
            <w:tcW w:w="4195"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GB/T2281—2008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12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2</w:t>
            </w:r>
          </w:p>
        </w:tc>
        <w:tc>
          <w:tcPr>
            <w:tcW w:w="371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黏度(E80)</w:t>
            </w:r>
          </w:p>
        </w:tc>
        <w:tc>
          <w:tcPr>
            <w:tcW w:w="4195"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GB/T24209—2009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2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3</w:t>
            </w:r>
          </w:p>
        </w:tc>
        <w:tc>
          <w:tcPr>
            <w:tcW w:w="371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萘含量（无水基）</w:t>
            </w:r>
          </w:p>
        </w:tc>
        <w:tc>
          <w:tcPr>
            <w:tcW w:w="4195"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YB/T5078—2010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4</w:t>
            </w:r>
          </w:p>
        </w:tc>
        <w:tc>
          <w:tcPr>
            <w:tcW w:w="371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甲苯不溶物（无水基）</w:t>
            </w:r>
          </w:p>
        </w:tc>
        <w:tc>
          <w:tcPr>
            <w:tcW w:w="4195"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GB/T2292—2018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5</w:t>
            </w:r>
          </w:p>
        </w:tc>
        <w:tc>
          <w:tcPr>
            <w:tcW w:w="371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灰分</w:t>
            </w:r>
          </w:p>
        </w:tc>
        <w:tc>
          <w:tcPr>
            <w:tcW w:w="4195"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GB/T2295—2008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2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6</w:t>
            </w:r>
          </w:p>
        </w:tc>
        <w:tc>
          <w:tcPr>
            <w:tcW w:w="3718"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水分</w:t>
            </w:r>
          </w:p>
        </w:tc>
        <w:tc>
          <w:tcPr>
            <w:tcW w:w="4195" w:type="dxa"/>
            <w:noWrap w:val="0"/>
            <w:vAlign w:val="center"/>
          </w:tcPr>
          <w:p>
            <w:pPr>
              <w:keepNext w:val="0"/>
              <w:keepLines w:val="0"/>
              <w:pageBreakBefore w:val="0"/>
              <w:widowControl w:val="0"/>
              <w:kinsoku/>
              <w:wordWrap/>
              <w:overflowPunct/>
              <w:topLinePunct w:val="0"/>
              <w:autoSpaceDE/>
              <w:autoSpaceDN/>
              <w:bidi w:val="0"/>
              <w:snapToGrid w:val="0"/>
              <w:spacing w:line="440" w:lineRule="exact"/>
              <w:ind w:firstLine="417" w:firstLineChars="199"/>
              <w:jc w:val="center"/>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GB/T2288—2008</w:t>
            </w:r>
          </w:p>
        </w:tc>
      </w:tr>
    </w:tbl>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3 判定规则</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3.1依据标准</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YB/T</w:t>
      </w:r>
      <w:r>
        <w:rPr>
          <w:rFonts w:hint="eastAsia" w:ascii="Times New Roman" w:hAnsi="Times New Roman" w:eastAsia="宋体" w:cs="Times New Roman"/>
          <w:color w:val="auto"/>
          <w:szCs w:val="21"/>
          <w:lang w:val="en-US" w:eastAsia="zh-CN"/>
        </w:rPr>
        <w:t xml:space="preserve"> </w:t>
      </w:r>
      <w:bookmarkStart w:id="0" w:name="_GoBack"/>
      <w:bookmarkEnd w:id="0"/>
      <w:r>
        <w:rPr>
          <w:rFonts w:hint="eastAsia" w:ascii="Times New Roman" w:hAnsi="Times New Roman" w:eastAsia="宋体" w:cs="Times New Roman"/>
          <w:color w:val="auto"/>
          <w:szCs w:val="21"/>
        </w:rPr>
        <w:t>5075-2010 《煤焦油》</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 xml:space="preserve"> 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3.2判定原则</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r>
        <w:rPr>
          <w:rFonts w:hint="eastAsia" w:ascii="Times New Roman" w:hAnsi="Times New Roman" w:eastAsia="宋体" w:cs="Times New Roman"/>
          <w:color w:val="auto"/>
          <w:szCs w:val="21"/>
        </w:rPr>
        <w:t>若被检产品明示的质量要求缺少本细则中检验项目依据的推荐性标准</w:t>
      </w:r>
      <w:r>
        <w:rPr>
          <w:color w:val="000000"/>
          <w:szCs w:val="21"/>
        </w:rPr>
        <w:t>要求时，该项目不参与判定。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color w:val="000000"/>
          <w:szCs w:val="21"/>
        </w:rPr>
      </w:pPr>
    </w:p>
    <w:p>
      <w:pPr>
        <w:keepNext w:val="0"/>
        <w:keepLines w:val="0"/>
        <w:pageBreakBefore w:val="0"/>
        <w:widowControl w:val="0"/>
        <w:kinsoku/>
        <w:wordWrap/>
        <w:overflowPunct/>
        <w:topLinePunct w:val="0"/>
        <w:autoSpaceDE/>
        <w:autoSpaceDN/>
        <w:bidi w:val="0"/>
        <w:spacing w:line="440" w:lineRule="exact"/>
        <w:textAlignment w:val="auto"/>
        <w:rPr>
          <w:rFonts w:hint="eastAsia" w:eastAsia="黑体"/>
          <w:color w:val="000000"/>
          <w:szCs w:val="21"/>
        </w:rPr>
      </w:pPr>
      <w:r>
        <w:rPr>
          <w:rFonts w:hint="eastAsia" w:ascii="黑体" w:hAnsi="黑体" w:eastAsia="黑体" w:cs="黑体"/>
          <w:color w:val="000000"/>
          <w:szCs w:val="21"/>
        </w:rPr>
        <w:t>4</w:t>
      </w:r>
      <w:r>
        <w:rPr>
          <w:rFonts w:hint="eastAsia" w:eastAsia="黑体"/>
          <w:color w:val="000000"/>
          <w:szCs w:val="21"/>
        </w:rPr>
        <w:t xml:space="preserve"> 附则</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color w:val="000000"/>
          <w:szCs w:val="21"/>
        </w:rPr>
      </w:pPr>
      <w:r>
        <w:rPr>
          <w:rFonts w:hint="eastAsia" w:ascii="Times New Roman" w:hAnsi="Times New Roman" w:eastAsia="宋体" w:cs="Times New Roman"/>
          <w:color w:val="auto"/>
          <w:szCs w:val="21"/>
        </w:rPr>
        <w:t>本细则代替《贵州省市场监管局关于发布2022年版贵州省产品质量监督抽查实施细则（第一批）的公告》（黔市监公告〔2022〕46号）中</w:t>
      </w:r>
      <w:r>
        <w:rPr>
          <w:rFonts w:hint="eastAsia"/>
          <w:color w:val="000000"/>
          <w:szCs w:val="21"/>
        </w:rPr>
        <w:t>的《贵州省煤焦油产品质量监督抽查实</w:t>
      </w:r>
      <w:r>
        <w:rPr>
          <w:rFonts w:hint="eastAsia" w:ascii="Times New Roman" w:hAnsi="Times New Roman" w:eastAsia="宋体" w:cs="Times New Roman"/>
          <w:color w:val="auto"/>
          <w:szCs w:val="21"/>
        </w:rPr>
        <w:t>施细则（</w:t>
      </w:r>
      <w:r>
        <w:rPr>
          <w:rFonts w:hint="eastAsia" w:ascii="Times New Roman" w:hAnsi="Times New Roman" w:eastAsia="宋体" w:cs="Times New Roman"/>
          <w:color w:val="auto"/>
          <w:szCs w:val="21"/>
          <w:lang w:val="en-US" w:eastAsia="zh-CN"/>
        </w:rPr>
        <w:t>2022年版</w:t>
      </w:r>
      <w:r>
        <w:rPr>
          <w:rFonts w:hint="eastAsia" w:ascii="Times New Roman" w:hAnsi="Times New Roman" w:eastAsia="宋体" w:cs="Times New Roman"/>
          <w:color w:val="auto"/>
          <w:szCs w:val="21"/>
        </w:rPr>
        <w:t>）》。</w:t>
      </w:r>
    </w:p>
    <w:p>
      <w:pPr>
        <w:rPr>
          <w:sz w:val="32"/>
          <w:szCs w:val="32"/>
        </w:rPr>
      </w:pP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姚体_GBK">
    <w:panose1 w:val="02000000000000000000"/>
    <w:charset w:val="86"/>
    <w:family w:val="auto"/>
    <w:pitch w:val="default"/>
    <w:sig w:usb0="00000001" w:usb1="08000000" w:usb2="00000000" w:usb3="00000000" w:csb0="00040000" w:csb1="00000000"/>
  </w:font>
  <w:font w:name="方正宋三_GBK">
    <w:panose1 w:val="03000509000000000000"/>
    <w:charset w:val="86"/>
    <w:family w:val="auto"/>
    <w:pitch w:val="default"/>
    <w:sig w:usb0="00000001" w:usb1="080E0000" w:usb2="00000000" w:usb3="00000000" w:csb0="00040000" w:csb1="00000000"/>
  </w:font>
  <w:font w:name="汉仪晓波美妍体W">
    <w:panose1 w:val="00020600040101010101"/>
    <w:charset w:val="86"/>
    <w:family w:val="auto"/>
    <w:pitch w:val="default"/>
    <w:sig w:usb0="A00002AF" w:usb1="0AC17CFA" w:usb2="00000016" w:usb3="00000000" w:csb0="0004009F" w:csb1="DFD70000"/>
  </w:font>
  <w:font w:name="汉仪猴嗨森体简">
    <w:panose1 w:val="02010509060101010101"/>
    <w:charset w:val="86"/>
    <w:family w:val="auto"/>
    <w:pitch w:val="default"/>
    <w:sig w:usb0="00000001" w:usb1="080E0000" w:usb2="00000000" w:usb3="00000000" w:csb0="00040000" w:csb1="00000000"/>
  </w:font>
  <w:font w:name="Bitstream Charter">
    <w:panose1 w:val="00000000000000000000"/>
    <w:charset w:val="00"/>
    <w:family w:val="auto"/>
    <w:pitch w:val="default"/>
    <w:sig w:usb0="00000000" w:usb1="00000000" w:usb2="00000000" w:usb3="00000000" w:csb0="00000000" w:csb1="00000000"/>
  </w:font>
  <w:font w:name="CESI仿宋-GB13000">
    <w:panose1 w:val="02000500000000000000"/>
    <w:charset w:val="86"/>
    <w:family w:val="auto"/>
    <w:pitch w:val="default"/>
    <w:sig w:usb0="800002BF" w:usb1="18CF7CF8"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B1E"/>
    <w:rsid w:val="001D3A1E"/>
    <w:rsid w:val="00506285"/>
    <w:rsid w:val="00644E76"/>
    <w:rsid w:val="007934EE"/>
    <w:rsid w:val="009F3C11"/>
    <w:rsid w:val="00A53B1E"/>
    <w:rsid w:val="00D156D8"/>
    <w:rsid w:val="9F9FBE0E"/>
    <w:rsid w:val="9FC73FD3"/>
    <w:rsid w:val="DFF3D766"/>
    <w:rsid w:val="FDFF3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140</Words>
  <Characters>801</Characters>
  <Lines>6</Lines>
  <Paragraphs>1</Paragraphs>
  <TotalTime>2</TotalTime>
  <ScaleCrop>false</ScaleCrop>
  <LinksUpToDate>false</LinksUpToDate>
  <CharactersWithSpaces>940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2023-07-07T10:56:00Z</dcterms:created>
  <dc:creator>PC</dc:creator>
  <cp:lastModifiedBy>ysgz</cp:lastModifiedBy>
  <cp:lastPrinted>2023-07-06T16:51:00Z</cp:lastPrinted>
  <dcterms:modified xsi:type="dcterms:W3CDTF">2023-07-20T11:19:14Z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