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440" w:lineRule="exact"/>
        <w:jc w:val="center"/>
        <w:rPr>
          <w:rFonts w:hint="default" w:ascii="Times New Roman" w:hAnsi="Times New Roman" w:eastAsia="方正小标宋_GBK" w:cs="Times New Roman"/>
          <w:color w:val="000000"/>
          <w:sz w:val="32"/>
          <w:szCs w:val="32"/>
        </w:rPr>
      </w:pPr>
      <w:r>
        <w:rPr>
          <w:rFonts w:hint="default" w:ascii="Times New Roman" w:hAnsi="Times New Roman" w:eastAsia="方正小标宋_GBK" w:cs="Times New Roman"/>
          <w:color w:val="000000"/>
          <w:sz w:val="32"/>
          <w:szCs w:val="32"/>
        </w:rPr>
        <w:t>贵州省床垫产品质量监督抽查实施细则</w:t>
      </w:r>
    </w:p>
    <w:p>
      <w:pPr>
        <w:adjustRightInd w:val="0"/>
        <w:snapToGrid w:val="0"/>
        <w:spacing w:line="440" w:lineRule="exact"/>
        <w:jc w:val="center"/>
        <w:rPr>
          <w:rFonts w:hint="default" w:ascii="Times New Roman" w:hAnsi="Times New Roman" w:eastAsia="方正小标宋_GBK" w:cs="Times New Roman"/>
          <w:color w:val="000000"/>
          <w:sz w:val="32"/>
          <w:szCs w:val="32"/>
        </w:rPr>
      </w:pPr>
      <w:r>
        <w:rPr>
          <w:rFonts w:hint="default" w:ascii="Times New Roman" w:hAnsi="Times New Roman" w:eastAsia="楷体_GB2312" w:cs="Times New Roman"/>
          <w:color w:val="000000"/>
          <w:sz w:val="32"/>
          <w:szCs w:val="32"/>
        </w:rPr>
        <w:t>（2023年版）</w:t>
      </w:r>
    </w:p>
    <w:p>
      <w:pPr>
        <w:adjustRightInd w:val="0"/>
        <w:snapToGrid w:val="0"/>
        <w:spacing w:line="594" w:lineRule="exact"/>
        <w:jc w:val="center"/>
        <w:rPr>
          <w:rFonts w:hint="default" w:ascii="Times New Roman" w:hAnsi="Times New Roman" w:eastAsia="方正小标宋简体" w:cs="Times New Roman"/>
          <w:color w:val="000000"/>
          <w:sz w:val="32"/>
          <w:szCs w:val="32"/>
        </w:rPr>
      </w:pPr>
    </w:p>
    <w:p>
      <w:pPr>
        <w:snapToGrid w:val="0"/>
        <w:spacing w:line="440" w:lineRule="exact"/>
        <w:rPr>
          <w:rFonts w:hint="default" w:ascii="Times New Roman" w:hAnsi="Times New Roman" w:eastAsia="黑体" w:cs="Times New Roman"/>
          <w:color w:val="000000"/>
          <w:szCs w:val="21"/>
        </w:rPr>
      </w:pPr>
      <w:r>
        <w:rPr>
          <w:rFonts w:hint="default" w:ascii="Times New Roman" w:hAnsi="Times New Roman" w:eastAsia="黑体" w:cs="Times New Roman"/>
          <w:color w:val="000000"/>
          <w:szCs w:val="21"/>
        </w:rPr>
        <w:t>1 抽样方法</w:t>
      </w:r>
    </w:p>
    <w:p>
      <w:pPr>
        <w:snapToGrid w:val="0"/>
        <w:spacing w:line="440" w:lineRule="exact"/>
        <w:ind w:firstLine="420" w:firstLineChars="200"/>
        <w:rPr>
          <w:rFonts w:hint="default" w:ascii="Times New Roman" w:hAnsi="Times New Roman" w:cs="Times New Roman"/>
          <w:color w:val="000000"/>
          <w:szCs w:val="21"/>
        </w:rPr>
      </w:pPr>
      <w:r>
        <w:rPr>
          <w:rFonts w:hint="default" w:ascii="Times New Roman" w:hAnsi="Times New Roman" w:cs="Times New Roman"/>
          <w:color w:val="000000"/>
          <w:szCs w:val="21"/>
        </w:rPr>
        <w:t>以随机抽样的方式在被抽样生产者、销售者的待销产品中抽取。</w:t>
      </w:r>
    </w:p>
    <w:p>
      <w:pPr>
        <w:snapToGrid w:val="0"/>
        <w:spacing w:line="440" w:lineRule="exact"/>
        <w:ind w:firstLine="420" w:firstLineChars="200"/>
        <w:rPr>
          <w:rFonts w:hint="default" w:ascii="Times New Roman" w:hAnsi="Times New Roman" w:cs="Times New Roman"/>
          <w:color w:val="000000"/>
          <w:szCs w:val="21"/>
        </w:rPr>
      </w:pPr>
      <w:r>
        <w:rPr>
          <w:rFonts w:hint="default" w:ascii="Times New Roman" w:hAnsi="Times New Roman" w:cs="Times New Roman"/>
          <w:color w:val="000000"/>
          <w:szCs w:val="21"/>
        </w:rPr>
        <w:t>随机数一般可使用随机数表等方法产生。</w:t>
      </w:r>
    </w:p>
    <w:p>
      <w:pPr>
        <w:adjustRightInd w:val="0"/>
        <w:snapToGrid w:val="0"/>
        <w:spacing w:line="440" w:lineRule="exact"/>
        <w:ind w:firstLine="420" w:firstLineChars="200"/>
        <w:rPr>
          <w:rFonts w:hint="default" w:ascii="Times New Roman" w:hAnsi="Times New Roman" w:cs="Times New Roman"/>
          <w:szCs w:val="21"/>
        </w:rPr>
      </w:pPr>
      <w:r>
        <w:rPr>
          <w:rFonts w:hint="default" w:ascii="Times New Roman" w:hAnsi="Times New Roman" w:cs="Times New Roman"/>
          <w:szCs w:val="21"/>
        </w:rPr>
        <w:t>每批次产品抽取样品</w:t>
      </w:r>
      <w:r>
        <w:rPr>
          <w:rFonts w:hint="default" w:ascii="Times New Roman" w:hAnsi="Times New Roman" w:cs="Times New Roman"/>
          <w:szCs w:val="21"/>
        </w:rPr>
        <w:t>2</w:t>
      </w:r>
      <w:r>
        <w:rPr>
          <w:rFonts w:hint="default" w:ascii="Times New Roman" w:hAnsi="Times New Roman" w:cs="Times New Roman"/>
          <w:szCs w:val="21"/>
        </w:rPr>
        <w:t>件</w:t>
      </w:r>
      <w:r>
        <w:rPr>
          <w:rFonts w:hint="default" w:ascii="Times New Roman" w:hAnsi="Times New Roman" w:cs="Times New Roman"/>
          <w:szCs w:val="21"/>
        </w:rPr>
        <w:t>，其中1</w:t>
      </w:r>
      <w:r>
        <w:rPr>
          <w:rFonts w:hint="default" w:ascii="Times New Roman" w:hAnsi="Times New Roman" w:cs="Times New Roman"/>
          <w:szCs w:val="21"/>
        </w:rPr>
        <w:t>件</w:t>
      </w:r>
      <w:r>
        <w:rPr>
          <w:rFonts w:hint="default" w:ascii="Times New Roman" w:hAnsi="Times New Roman" w:cs="Times New Roman"/>
          <w:szCs w:val="21"/>
        </w:rPr>
        <w:t>作为检验样品，1</w:t>
      </w:r>
      <w:r>
        <w:rPr>
          <w:rFonts w:hint="default" w:ascii="Times New Roman" w:hAnsi="Times New Roman" w:cs="Times New Roman"/>
          <w:szCs w:val="21"/>
        </w:rPr>
        <w:t>件</w:t>
      </w:r>
      <w:r>
        <w:rPr>
          <w:rFonts w:hint="default" w:ascii="Times New Roman" w:hAnsi="Times New Roman" w:cs="Times New Roman"/>
          <w:szCs w:val="21"/>
        </w:rPr>
        <w:t>作</w:t>
      </w:r>
      <w:r>
        <w:rPr>
          <w:rFonts w:hint="default" w:ascii="Times New Roman" w:hAnsi="Times New Roman" w:cs="Times New Roman"/>
          <w:szCs w:val="21"/>
        </w:rPr>
        <w:t>为备用样品。</w:t>
      </w:r>
    </w:p>
    <w:p>
      <w:pPr>
        <w:adjustRightInd w:val="0"/>
        <w:snapToGrid w:val="0"/>
        <w:spacing w:line="440" w:lineRule="exact"/>
        <w:ind w:firstLine="420" w:firstLineChars="200"/>
        <w:rPr>
          <w:rFonts w:hint="default" w:ascii="Times New Roman" w:hAnsi="Times New Roman" w:cs="Times New Roman"/>
          <w:szCs w:val="21"/>
        </w:rPr>
      </w:pPr>
    </w:p>
    <w:p>
      <w:pPr>
        <w:snapToGrid w:val="0"/>
        <w:spacing w:line="440" w:lineRule="exact"/>
        <w:rPr>
          <w:rFonts w:hint="default" w:ascii="Times New Roman" w:hAnsi="Times New Roman" w:eastAsia="黑体" w:cs="Times New Roman"/>
          <w:color w:val="000000"/>
          <w:szCs w:val="21"/>
        </w:rPr>
      </w:pPr>
      <w:r>
        <w:rPr>
          <w:rFonts w:hint="default" w:ascii="Times New Roman" w:hAnsi="Times New Roman" w:eastAsia="黑体" w:cs="Times New Roman"/>
          <w:color w:val="000000"/>
          <w:szCs w:val="21"/>
        </w:rPr>
        <w:t>2 检验依据</w:t>
      </w:r>
    </w:p>
    <w:p>
      <w:pPr>
        <w:snapToGrid w:val="0"/>
        <w:spacing w:line="440" w:lineRule="exact"/>
        <w:jc w:val="center"/>
        <w:rPr>
          <w:rFonts w:hint="default" w:ascii="Times New Roman" w:hAnsi="Times New Roman" w:eastAsia="黑体" w:cs="Times New Roman"/>
          <w:color w:val="000000"/>
          <w:szCs w:val="21"/>
        </w:rPr>
      </w:pPr>
      <w:r>
        <w:rPr>
          <w:rFonts w:hint="default" w:ascii="Times New Roman" w:hAnsi="Times New Roman" w:eastAsia="黑体" w:cs="Times New Roman"/>
          <w:color w:val="000000"/>
          <w:szCs w:val="21"/>
        </w:rPr>
        <w:t>表1</w:t>
      </w:r>
      <w:r>
        <w:rPr>
          <w:rFonts w:hint="default" w:ascii="Times New Roman" w:hAnsi="Times New Roman" w:eastAsia="黑体" w:cs="Times New Roman"/>
          <w:color w:val="000000"/>
          <w:szCs w:val="21"/>
        </w:rPr>
        <w:t xml:space="preserve"> </w:t>
      </w:r>
      <w:r>
        <w:rPr>
          <w:rFonts w:hint="default" w:ascii="Times New Roman" w:hAnsi="Times New Roman" w:eastAsia="黑体" w:cs="Times New Roman"/>
          <w:color w:val="000000"/>
          <w:szCs w:val="21"/>
        </w:rPr>
        <w:t>弹簧软床垫</w:t>
      </w:r>
    </w:p>
    <w:tbl>
      <w:tblPr>
        <w:tblStyle w:val="10"/>
        <w:tblW w:w="884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6"/>
        <w:gridCol w:w="1696"/>
        <w:gridCol w:w="3662"/>
        <w:gridCol w:w="259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tblHeader/>
          <w:jc w:val="center"/>
        </w:trPr>
        <w:tc>
          <w:tcPr>
            <w:tcW w:w="896" w:type="dxa"/>
            <w:vAlign w:val="center"/>
          </w:tcPr>
          <w:p>
            <w:pPr>
              <w:snapToGrid w:val="0"/>
              <w:jc w:val="center"/>
              <w:rPr>
                <w:rFonts w:hint="default" w:ascii="Times New Roman" w:hAnsi="Times New Roman" w:cs="Times New Roman" w:eastAsiaTheme="minorEastAsia"/>
                <w:szCs w:val="21"/>
              </w:rPr>
            </w:pPr>
            <w:r>
              <w:rPr>
                <w:rFonts w:hint="default" w:ascii="Times New Roman" w:hAnsi="Times New Roman" w:cs="Times New Roman" w:eastAsiaTheme="minorEastAsia"/>
                <w:szCs w:val="21"/>
              </w:rPr>
              <w:t>序号</w:t>
            </w:r>
          </w:p>
        </w:tc>
        <w:tc>
          <w:tcPr>
            <w:tcW w:w="5358" w:type="dxa"/>
            <w:gridSpan w:val="2"/>
            <w:vAlign w:val="center"/>
          </w:tcPr>
          <w:p>
            <w:pPr>
              <w:snapToGrid w:val="0"/>
              <w:jc w:val="center"/>
              <w:rPr>
                <w:rFonts w:hint="default" w:ascii="Times New Roman" w:hAnsi="Times New Roman" w:cs="Times New Roman" w:eastAsiaTheme="minorEastAsia"/>
                <w:szCs w:val="21"/>
              </w:rPr>
            </w:pPr>
            <w:r>
              <w:rPr>
                <w:rFonts w:hint="default" w:ascii="Times New Roman" w:hAnsi="Times New Roman" w:cs="Times New Roman" w:eastAsiaTheme="minorEastAsia"/>
                <w:szCs w:val="21"/>
              </w:rPr>
              <w:t>检验项目</w:t>
            </w:r>
          </w:p>
        </w:tc>
        <w:tc>
          <w:tcPr>
            <w:tcW w:w="2591" w:type="dxa"/>
            <w:vAlign w:val="center"/>
          </w:tcPr>
          <w:p>
            <w:pPr>
              <w:snapToGrid w:val="0"/>
              <w:jc w:val="center"/>
              <w:rPr>
                <w:rFonts w:hint="default" w:ascii="Times New Roman" w:hAnsi="Times New Roman" w:cs="Times New Roman" w:eastAsiaTheme="minorEastAsia"/>
                <w:szCs w:val="21"/>
              </w:rPr>
            </w:pPr>
            <w:r>
              <w:rPr>
                <w:rFonts w:hint="default" w:ascii="Times New Roman" w:hAnsi="Times New Roman" w:cs="Times New Roman" w:eastAsiaTheme="minorEastAsia"/>
                <w:color w:val="000000"/>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jc w:val="center"/>
        </w:trPr>
        <w:tc>
          <w:tcPr>
            <w:tcW w:w="896" w:type="dxa"/>
            <w:vAlign w:val="center"/>
          </w:tcPr>
          <w:p>
            <w:pPr>
              <w:jc w:val="center"/>
              <w:textAlignment w:val="center"/>
              <w:rPr>
                <w:rFonts w:hint="default" w:ascii="Times New Roman" w:hAnsi="Times New Roman" w:cs="Times New Roman"/>
                <w:color w:val="000000"/>
                <w:szCs w:val="21"/>
              </w:rPr>
            </w:pPr>
            <w:r>
              <w:rPr>
                <w:rFonts w:hint="default" w:ascii="Times New Roman" w:hAnsi="Times New Roman" w:cs="Times New Roman"/>
                <w:color w:val="000000"/>
                <w:szCs w:val="21"/>
              </w:rPr>
              <w:t>1</w:t>
            </w:r>
          </w:p>
        </w:tc>
        <w:tc>
          <w:tcPr>
            <w:tcW w:w="5358" w:type="dxa"/>
            <w:gridSpan w:val="2"/>
            <w:vAlign w:val="center"/>
          </w:tcPr>
          <w:p>
            <w:pPr>
              <w:jc w:val="center"/>
              <w:textAlignment w:val="center"/>
              <w:rPr>
                <w:rFonts w:hint="default" w:ascii="Times New Roman" w:hAnsi="Times New Roman" w:cs="Times New Roman"/>
                <w:color w:val="000000"/>
                <w:szCs w:val="21"/>
              </w:rPr>
            </w:pPr>
            <w:r>
              <w:rPr>
                <w:rFonts w:hint="default" w:ascii="Times New Roman" w:hAnsi="Times New Roman" w:cs="Times New Roman"/>
                <w:color w:val="000000"/>
                <w:szCs w:val="21"/>
              </w:rPr>
              <w:t>面料要求（表3—序号5）</w:t>
            </w:r>
          </w:p>
        </w:tc>
        <w:tc>
          <w:tcPr>
            <w:tcW w:w="2591" w:type="dxa"/>
            <w:vAlign w:val="center"/>
          </w:tcPr>
          <w:p>
            <w:pPr>
              <w:jc w:val="center"/>
              <w:textAlignment w:val="center"/>
              <w:rPr>
                <w:rFonts w:hint="default" w:ascii="Times New Roman" w:hAnsi="Times New Roman" w:cs="Times New Roman"/>
                <w:color w:val="000000"/>
                <w:szCs w:val="21"/>
              </w:rPr>
            </w:pPr>
            <w:r>
              <w:rPr>
                <w:rFonts w:hint="default" w:ascii="Times New Roman" w:hAnsi="Times New Roman" w:cs="Times New Roman"/>
                <w:color w:val="000000"/>
                <w:szCs w:val="21"/>
              </w:rPr>
              <w:t>QB/T 1952.2—2011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jc w:val="center"/>
        </w:trPr>
        <w:tc>
          <w:tcPr>
            <w:tcW w:w="896" w:type="dxa"/>
            <w:vAlign w:val="center"/>
          </w:tcPr>
          <w:p>
            <w:pPr>
              <w:jc w:val="center"/>
              <w:textAlignment w:val="center"/>
              <w:rPr>
                <w:rFonts w:hint="default" w:ascii="Times New Roman" w:hAnsi="Times New Roman" w:cs="Times New Roman"/>
                <w:color w:val="000000"/>
                <w:szCs w:val="21"/>
              </w:rPr>
            </w:pPr>
            <w:r>
              <w:rPr>
                <w:rFonts w:hint="default" w:ascii="Times New Roman" w:hAnsi="Times New Roman" w:cs="Times New Roman"/>
                <w:color w:val="000000"/>
                <w:szCs w:val="21"/>
              </w:rPr>
              <w:t>2</w:t>
            </w:r>
          </w:p>
        </w:tc>
        <w:tc>
          <w:tcPr>
            <w:tcW w:w="5358" w:type="dxa"/>
            <w:gridSpan w:val="2"/>
            <w:vAlign w:val="center"/>
          </w:tcPr>
          <w:p>
            <w:pPr>
              <w:jc w:val="center"/>
              <w:textAlignment w:val="center"/>
              <w:rPr>
                <w:rFonts w:hint="default" w:ascii="Times New Roman" w:hAnsi="Times New Roman" w:cs="Times New Roman"/>
                <w:color w:val="000000"/>
                <w:szCs w:val="21"/>
              </w:rPr>
            </w:pPr>
            <w:r>
              <w:rPr>
                <w:rFonts w:hint="default" w:ascii="Times New Roman" w:hAnsi="Times New Roman" w:cs="Times New Roman"/>
                <w:color w:val="000000"/>
                <w:szCs w:val="21"/>
              </w:rPr>
              <w:t>铺面、边面缝纫要求（表3—序号8）</w:t>
            </w:r>
          </w:p>
        </w:tc>
        <w:tc>
          <w:tcPr>
            <w:tcW w:w="2591" w:type="dxa"/>
            <w:vAlign w:val="center"/>
          </w:tcPr>
          <w:p>
            <w:pPr>
              <w:jc w:val="center"/>
              <w:textAlignment w:val="center"/>
              <w:rPr>
                <w:rFonts w:hint="default" w:ascii="Times New Roman" w:hAnsi="Times New Roman" w:cs="Times New Roman"/>
                <w:color w:val="000000"/>
                <w:szCs w:val="21"/>
              </w:rPr>
            </w:pPr>
            <w:r>
              <w:rPr>
                <w:rFonts w:hint="default" w:ascii="Times New Roman" w:hAnsi="Times New Roman" w:cs="Times New Roman"/>
                <w:color w:val="000000"/>
                <w:szCs w:val="21"/>
              </w:rPr>
              <w:t>QB/T 1952.2—2011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jc w:val="center"/>
        </w:trPr>
        <w:tc>
          <w:tcPr>
            <w:tcW w:w="896" w:type="dxa"/>
            <w:vAlign w:val="center"/>
          </w:tcPr>
          <w:p>
            <w:pPr>
              <w:jc w:val="center"/>
              <w:textAlignment w:val="center"/>
              <w:rPr>
                <w:rFonts w:hint="default" w:ascii="Times New Roman" w:hAnsi="Times New Roman" w:cs="Times New Roman"/>
                <w:color w:val="000000"/>
                <w:szCs w:val="21"/>
              </w:rPr>
            </w:pPr>
            <w:r>
              <w:rPr>
                <w:rFonts w:hint="default" w:ascii="Times New Roman" w:hAnsi="Times New Roman" w:cs="Times New Roman"/>
                <w:color w:val="000000"/>
                <w:szCs w:val="21"/>
              </w:rPr>
              <w:t>3</w:t>
            </w:r>
          </w:p>
        </w:tc>
        <w:tc>
          <w:tcPr>
            <w:tcW w:w="5358" w:type="dxa"/>
            <w:gridSpan w:val="2"/>
            <w:vAlign w:val="center"/>
          </w:tcPr>
          <w:p>
            <w:pPr>
              <w:jc w:val="center"/>
              <w:textAlignment w:val="center"/>
              <w:rPr>
                <w:rFonts w:hint="default" w:ascii="Times New Roman" w:hAnsi="Times New Roman" w:cs="Times New Roman"/>
                <w:color w:val="000000"/>
                <w:szCs w:val="21"/>
              </w:rPr>
            </w:pPr>
            <w:r>
              <w:rPr>
                <w:rFonts w:hint="default" w:ascii="Times New Roman" w:hAnsi="Times New Roman" w:cs="Times New Roman"/>
                <w:color w:val="000000"/>
                <w:szCs w:val="21"/>
              </w:rPr>
              <w:t>缝边要求（表3—序号15、1</w:t>
            </w:r>
            <w:r>
              <w:rPr>
                <w:rFonts w:hint="default" w:ascii="Times New Roman" w:hAnsi="Times New Roman" w:cs="Times New Roman"/>
                <w:color w:val="000000"/>
                <w:szCs w:val="21"/>
              </w:rPr>
              <w:t>6</w:t>
            </w:r>
            <w:r>
              <w:rPr>
                <w:rFonts w:hint="default" w:ascii="Times New Roman" w:hAnsi="Times New Roman" w:cs="Times New Roman"/>
                <w:color w:val="000000"/>
                <w:szCs w:val="21"/>
              </w:rPr>
              <w:t>、1</w:t>
            </w:r>
            <w:r>
              <w:rPr>
                <w:rFonts w:hint="default" w:ascii="Times New Roman" w:hAnsi="Times New Roman" w:cs="Times New Roman"/>
                <w:color w:val="000000"/>
                <w:szCs w:val="21"/>
              </w:rPr>
              <w:t>8</w:t>
            </w:r>
            <w:r>
              <w:rPr>
                <w:rFonts w:hint="default" w:ascii="Times New Roman" w:hAnsi="Times New Roman" w:cs="Times New Roman"/>
                <w:color w:val="000000"/>
                <w:szCs w:val="21"/>
              </w:rPr>
              <w:t>）</w:t>
            </w:r>
          </w:p>
        </w:tc>
        <w:tc>
          <w:tcPr>
            <w:tcW w:w="2591" w:type="dxa"/>
            <w:vAlign w:val="center"/>
          </w:tcPr>
          <w:p>
            <w:pPr>
              <w:jc w:val="center"/>
              <w:textAlignment w:val="center"/>
              <w:rPr>
                <w:rFonts w:hint="default" w:ascii="Times New Roman" w:hAnsi="Times New Roman" w:cs="Times New Roman"/>
                <w:color w:val="000000"/>
                <w:szCs w:val="21"/>
              </w:rPr>
            </w:pPr>
            <w:r>
              <w:rPr>
                <w:rFonts w:hint="default" w:ascii="Times New Roman" w:hAnsi="Times New Roman" w:cs="Times New Roman"/>
                <w:color w:val="000000"/>
                <w:szCs w:val="21"/>
              </w:rPr>
              <w:t>QB/T 1952.2—2011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jc w:val="center"/>
        </w:trPr>
        <w:tc>
          <w:tcPr>
            <w:tcW w:w="896" w:type="dxa"/>
            <w:vAlign w:val="center"/>
          </w:tcPr>
          <w:p>
            <w:pPr>
              <w:jc w:val="center"/>
              <w:textAlignment w:val="center"/>
              <w:rPr>
                <w:rFonts w:hint="default" w:ascii="Times New Roman" w:hAnsi="Times New Roman" w:cs="Times New Roman"/>
                <w:color w:val="000000"/>
                <w:szCs w:val="21"/>
              </w:rPr>
            </w:pPr>
            <w:r>
              <w:rPr>
                <w:rFonts w:hint="default" w:ascii="Times New Roman" w:hAnsi="Times New Roman" w:cs="Times New Roman"/>
                <w:color w:val="000000"/>
                <w:szCs w:val="21"/>
              </w:rPr>
              <w:t>4</w:t>
            </w:r>
          </w:p>
        </w:tc>
        <w:tc>
          <w:tcPr>
            <w:tcW w:w="5358" w:type="dxa"/>
            <w:gridSpan w:val="2"/>
            <w:vAlign w:val="center"/>
          </w:tcPr>
          <w:p>
            <w:pPr>
              <w:jc w:val="center"/>
              <w:textAlignment w:val="center"/>
              <w:rPr>
                <w:rFonts w:hint="default" w:ascii="Times New Roman" w:hAnsi="Times New Roman" w:cs="Times New Roman"/>
                <w:color w:val="000000"/>
                <w:szCs w:val="21"/>
              </w:rPr>
            </w:pPr>
            <w:r>
              <w:rPr>
                <w:rFonts w:hint="default" w:ascii="Times New Roman" w:hAnsi="Times New Roman" w:cs="Times New Roman"/>
                <w:color w:val="000000"/>
                <w:szCs w:val="21"/>
              </w:rPr>
              <w:t>面料物理性能/面料耐干摩擦牢度</w:t>
            </w:r>
          </w:p>
        </w:tc>
        <w:tc>
          <w:tcPr>
            <w:tcW w:w="2591" w:type="dxa"/>
            <w:vAlign w:val="center"/>
          </w:tcPr>
          <w:p>
            <w:pPr>
              <w:jc w:val="center"/>
              <w:textAlignment w:val="center"/>
              <w:rPr>
                <w:rFonts w:hint="default" w:ascii="Times New Roman" w:hAnsi="Times New Roman" w:cs="Times New Roman"/>
                <w:color w:val="000000"/>
                <w:szCs w:val="21"/>
              </w:rPr>
            </w:pPr>
            <w:r>
              <w:rPr>
                <w:rFonts w:hint="default" w:ascii="Times New Roman" w:hAnsi="Times New Roman" w:cs="Times New Roman"/>
                <w:color w:val="000000"/>
                <w:szCs w:val="21"/>
              </w:rPr>
              <w:t>GB/T 3920—2008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jc w:val="center"/>
        </w:trPr>
        <w:tc>
          <w:tcPr>
            <w:tcW w:w="896" w:type="dxa"/>
            <w:vAlign w:val="center"/>
          </w:tcPr>
          <w:p>
            <w:pPr>
              <w:jc w:val="center"/>
              <w:textAlignment w:val="center"/>
              <w:rPr>
                <w:rFonts w:hint="default" w:ascii="Times New Roman" w:hAnsi="Times New Roman" w:cs="Times New Roman"/>
                <w:color w:val="000000"/>
                <w:szCs w:val="21"/>
              </w:rPr>
            </w:pPr>
            <w:r>
              <w:rPr>
                <w:rFonts w:hint="default" w:ascii="Times New Roman" w:hAnsi="Times New Roman" w:cs="Times New Roman"/>
                <w:color w:val="000000"/>
                <w:szCs w:val="21"/>
              </w:rPr>
              <w:t>5</w:t>
            </w:r>
          </w:p>
        </w:tc>
        <w:tc>
          <w:tcPr>
            <w:tcW w:w="1696" w:type="dxa"/>
            <w:vMerge w:val="restart"/>
            <w:vAlign w:val="center"/>
          </w:tcPr>
          <w:p>
            <w:pPr>
              <w:jc w:val="center"/>
              <w:textAlignment w:val="center"/>
              <w:rPr>
                <w:rFonts w:hint="default" w:ascii="Times New Roman" w:hAnsi="Times New Roman" w:cs="Times New Roman"/>
                <w:color w:val="000000"/>
                <w:szCs w:val="21"/>
              </w:rPr>
            </w:pPr>
            <w:r>
              <w:rPr>
                <w:rFonts w:hint="default" w:ascii="Times New Roman" w:hAnsi="Times New Roman" w:cs="Times New Roman"/>
                <w:color w:val="000000"/>
                <w:szCs w:val="21"/>
              </w:rPr>
              <w:t>铺垫料物理性能</w:t>
            </w:r>
          </w:p>
        </w:tc>
        <w:tc>
          <w:tcPr>
            <w:tcW w:w="3662" w:type="dxa"/>
            <w:vAlign w:val="center"/>
          </w:tcPr>
          <w:p>
            <w:pPr>
              <w:jc w:val="center"/>
              <w:textAlignment w:val="center"/>
              <w:rPr>
                <w:rFonts w:hint="default" w:ascii="Times New Roman" w:hAnsi="Times New Roman" w:cs="Times New Roman"/>
                <w:color w:val="000000"/>
                <w:szCs w:val="21"/>
              </w:rPr>
            </w:pPr>
            <w:r>
              <w:rPr>
                <w:rFonts w:hint="default" w:ascii="Times New Roman" w:hAnsi="Times New Roman" w:cs="Times New Roman"/>
                <w:color w:val="000000"/>
                <w:szCs w:val="21"/>
              </w:rPr>
              <w:t>软质聚氨酯泡沫塑料/回弹性</w:t>
            </w:r>
          </w:p>
        </w:tc>
        <w:tc>
          <w:tcPr>
            <w:tcW w:w="2591" w:type="dxa"/>
            <w:vAlign w:val="center"/>
          </w:tcPr>
          <w:p>
            <w:pPr>
              <w:jc w:val="center"/>
              <w:textAlignment w:val="center"/>
              <w:rPr>
                <w:rFonts w:hint="default" w:ascii="Times New Roman" w:hAnsi="Times New Roman" w:cs="Times New Roman"/>
                <w:color w:val="000000"/>
                <w:szCs w:val="21"/>
              </w:rPr>
            </w:pPr>
            <w:r>
              <w:rPr>
                <w:rFonts w:hint="default" w:ascii="Times New Roman" w:hAnsi="Times New Roman" w:cs="Times New Roman"/>
                <w:color w:val="000000"/>
                <w:szCs w:val="21"/>
              </w:rPr>
              <w:t>GB/T 6670—2008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jc w:val="center"/>
        </w:trPr>
        <w:tc>
          <w:tcPr>
            <w:tcW w:w="896" w:type="dxa"/>
            <w:vAlign w:val="center"/>
          </w:tcPr>
          <w:p>
            <w:pPr>
              <w:jc w:val="center"/>
              <w:textAlignment w:val="center"/>
              <w:rPr>
                <w:rFonts w:hint="default" w:ascii="Times New Roman" w:hAnsi="Times New Roman" w:cs="Times New Roman"/>
                <w:color w:val="000000"/>
                <w:szCs w:val="21"/>
              </w:rPr>
            </w:pPr>
            <w:r>
              <w:rPr>
                <w:rFonts w:hint="default" w:ascii="Times New Roman" w:hAnsi="Times New Roman" w:cs="Times New Roman"/>
                <w:color w:val="000000"/>
                <w:szCs w:val="21"/>
              </w:rPr>
              <w:t>6</w:t>
            </w:r>
          </w:p>
        </w:tc>
        <w:tc>
          <w:tcPr>
            <w:tcW w:w="1696" w:type="dxa"/>
            <w:vMerge w:val="continue"/>
            <w:vAlign w:val="center"/>
          </w:tcPr>
          <w:p>
            <w:pPr>
              <w:jc w:val="center"/>
              <w:textAlignment w:val="center"/>
              <w:rPr>
                <w:rFonts w:hint="default" w:ascii="Times New Roman" w:hAnsi="Times New Roman" w:cs="Times New Roman"/>
                <w:color w:val="000000"/>
                <w:szCs w:val="21"/>
              </w:rPr>
            </w:pPr>
          </w:p>
        </w:tc>
        <w:tc>
          <w:tcPr>
            <w:tcW w:w="3662" w:type="dxa"/>
            <w:vAlign w:val="center"/>
          </w:tcPr>
          <w:p>
            <w:pPr>
              <w:jc w:val="center"/>
              <w:textAlignment w:val="center"/>
              <w:rPr>
                <w:rFonts w:hint="default" w:ascii="Times New Roman" w:hAnsi="Times New Roman" w:cs="Times New Roman"/>
                <w:color w:val="000000"/>
                <w:szCs w:val="21"/>
              </w:rPr>
            </w:pPr>
            <w:r>
              <w:rPr>
                <w:rFonts w:hint="default" w:ascii="Times New Roman" w:hAnsi="Times New Roman" w:cs="Times New Roman"/>
                <w:color w:val="000000"/>
                <w:szCs w:val="21"/>
              </w:rPr>
              <w:t>软质聚氨酯泡沫塑料/拉伸强度</w:t>
            </w:r>
          </w:p>
        </w:tc>
        <w:tc>
          <w:tcPr>
            <w:tcW w:w="2591" w:type="dxa"/>
            <w:vAlign w:val="center"/>
          </w:tcPr>
          <w:p>
            <w:pPr>
              <w:jc w:val="center"/>
              <w:textAlignment w:val="center"/>
              <w:rPr>
                <w:rFonts w:hint="default" w:ascii="Times New Roman" w:hAnsi="Times New Roman" w:cs="Times New Roman"/>
                <w:color w:val="000000"/>
                <w:szCs w:val="21"/>
              </w:rPr>
            </w:pPr>
            <w:r>
              <w:rPr>
                <w:rFonts w:hint="default" w:ascii="Times New Roman" w:hAnsi="Times New Roman" w:cs="Times New Roman"/>
                <w:color w:val="000000"/>
                <w:szCs w:val="21"/>
              </w:rPr>
              <w:t>GB/T 6344—2008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jc w:val="center"/>
        </w:trPr>
        <w:tc>
          <w:tcPr>
            <w:tcW w:w="896" w:type="dxa"/>
            <w:vAlign w:val="center"/>
          </w:tcPr>
          <w:p>
            <w:pPr>
              <w:jc w:val="center"/>
              <w:textAlignment w:val="center"/>
              <w:rPr>
                <w:rFonts w:hint="default" w:ascii="Times New Roman" w:hAnsi="Times New Roman" w:cs="Times New Roman"/>
                <w:color w:val="000000"/>
                <w:szCs w:val="21"/>
              </w:rPr>
            </w:pPr>
            <w:r>
              <w:rPr>
                <w:rFonts w:hint="default" w:ascii="Times New Roman" w:hAnsi="Times New Roman" w:cs="Times New Roman"/>
                <w:color w:val="000000"/>
                <w:szCs w:val="21"/>
              </w:rPr>
              <w:t>7</w:t>
            </w:r>
          </w:p>
        </w:tc>
        <w:tc>
          <w:tcPr>
            <w:tcW w:w="1696" w:type="dxa"/>
            <w:vMerge w:val="restart"/>
            <w:vAlign w:val="center"/>
          </w:tcPr>
          <w:p>
            <w:pPr>
              <w:jc w:val="center"/>
              <w:textAlignment w:val="center"/>
              <w:rPr>
                <w:rFonts w:hint="default" w:ascii="Times New Roman" w:hAnsi="Times New Roman" w:cs="Times New Roman"/>
                <w:color w:val="000000"/>
                <w:szCs w:val="21"/>
              </w:rPr>
            </w:pPr>
            <w:r>
              <w:rPr>
                <w:rFonts w:hint="default" w:ascii="Times New Roman" w:hAnsi="Times New Roman" w:cs="Times New Roman"/>
                <w:color w:val="000000"/>
                <w:szCs w:val="21"/>
              </w:rPr>
              <w:t>卫生、安全</w:t>
            </w:r>
          </w:p>
        </w:tc>
        <w:tc>
          <w:tcPr>
            <w:tcW w:w="3662" w:type="dxa"/>
            <w:vAlign w:val="center"/>
          </w:tcPr>
          <w:p>
            <w:pPr>
              <w:jc w:val="center"/>
              <w:textAlignment w:val="center"/>
              <w:rPr>
                <w:rFonts w:hint="default" w:ascii="Times New Roman" w:hAnsi="Times New Roman" w:cs="Times New Roman"/>
                <w:color w:val="000000"/>
                <w:szCs w:val="21"/>
              </w:rPr>
            </w:pPr>
            <w:r>
              <w:rPr>
                <w:rFonts w:hint="default" w:ascii="Times New Roman" w:hAnsi="Times New Roman" w:cs="Times New Roman"/>
                <w:color w:val="000000"/>
                <w:szCs w:val="21"/>
              </w:rPr>
              <w:t>（表3—序号24</w:t>
            </w:r>
            <w:r>
              <w:rPr>
                <w:rFonts w:hint="default" w:ascii="Times New Roman" w:hAnsi="Times New Roman" w:cs="Times New Roman"/>
                <w:color w:val="000000"/>
                <w:szCs w:val="21"/>
              </w:rPr>
              <w:t>~</w:t>
            </w:r>
            <w:r>
              <w:rPr>
                <w:rFonts w:hint="default" w:ascii="Times New Roman" w:hAnsi="Times New Roman" w:cs="Times New Roman"/>
                <w:color w:val="000000"/>
                <w:szCs w:val="21"/>
              </w:rPr>
              <w:t>2</w:t>
            </w:r>
            <w:r>
              <w:rPr>
                <w:rFonts w:hint="default" w:ascii="Times New Roman" w:hAnsi="Times New Roman" w:cs="Times New Roman"/>
                <w:color w:val="000000"/>
                <w:szCs w:val="21"/>
              </w:rPr>
              <w:t>9</w:t>
            </w:r>
            <w:r>
              <w:rPr>
                <w:rFonts w:hint="default" w:ascii="Times New Roman" w:hAnsi="Times New Roman" w:cs="Times New Roman"/>
                <w:color w:val="000000"/>
                <w:szCs w:val="21"/>
              </w:rPr>
              <w:t>、3</w:t>
            </w:r>
            <w:r>
              <w:rPr>
                <w:rFonts w:hint="default" w:ascii="Times New Roman" w:hAnsi="Times New Roman" w:cs="Times New Roman"/>
                <w:color w:val="000000"/>
                <w:szCs w:val="21"/>
              </w:rPr>
              <w:t>3</w:t>
            </w:r>
            <w:r>
              <w:rPr>
                <w:rFonts w:hint="default" w:ascii="Times New Roman" w:hAnsi="Times New Roman" w:cs="Times New Roman"/>
                <w:color w:val="000000"/>
                <w:szCs w:val="21"/>
              </w:rPr>
              <w:t>）</w:t>
            </w:r>
          </w:p>
        </w:tc>
        <w:tc>
          <w:tcPr>
            <w:tcW w:w="2591" w:type="dxa"/>
            <w:vAlign w:val="center"/>
          </w:tcPr>
          <w:p>
            <w:pPr>
              <w:jc w:val="center"/>
              <w:textAlignment w:val="center"/>
              <w:rPr>
                <w:rFonts w:hint="default" w:ascii="Times New Roman" w:hAnsi="Times New Roman" w:cs="Times New Roman"/>
                <w:color w:val="000000"/>
                <w:szCs w:val="21"/>
              </w:rPr>
            </w:pPr>
            <w:r>
              <w:rPr>
                <w:rFonts w:hint="default" w:ascii="Times New Roman" w:hAnsi="Times New Roman" w:cs="Times New Roman"/>
                <w:color w:val="000000"/>
                <w:szCs w:val="21"/>
              </w:rPr>
              <w:t>QB/T 1952.2—2011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jc w:val="center"/>
        </w:trPr>
        <w:tc>
          <w:tcPr>
            <w:tcW w:w="896" w:type="dxa"/>
            <w:vAlign w:val="center"/>
          </w:tcPr>
          <w:p>
            <w:pPr>
              <w:jc w:val="center"/>
              <w:textAlignment w:val="center"/>
              <w:rPr>
                <w:rFonts w:hint="default" w:ascii="Times New Roman" w:hAnsi="Times New Roman" w:cs="Times New Roman"/>
                <w:color w:val="000000"/>
                <w:szCs w:val="21"/>
              </w:rPr>
            </w:pPr>
            <w:r>
              <w:rPr>
                <w:rFonts w:hint="default" w:ascii="Times New Roman" w:hAnsi="Times New Roman" w:cs="Times New Roman"/>
                <w:color w:val="000000"/>
                <w:szCs w:val="21"/>
              </w:rPr>
              <w:t>8</w:t>
            </w:r>
          </w:p>
        </w:tc>
        <w:tc>
          <w:tcPr>
            <w:tcW w:w="1696" w:type="dxa"/>
            <w:vMerge w:val="continue"/>
            <w:vAlign w:val="center"/>
          </w:tcPr>
          <w:p>
            <w:pPr>
              <w:jc w:val="center"/>
              <w:textAlignment w:val="center"/>
              <w:rPr>
                <w:rFonts w:hint="default" w:ascii="Times New Roman" w:hAnsi="Times New Roman" w:cs="Times New Roman"/>
                <w:color w:val="000000"/>
                <w:szCs w:val="21"/>
              </w:rPr>
            </w:pPr>
          </w:p>
        </w:tc>
        <w:tc>
          <w:tcPr>
            <w:tcW w:w="3662" w:type="dxa"/>
            <w:vAlign w:val="center"/>
          </w:tcPr>
          <w:p>
            <w:pPr>
              <w:jc w:val="center"/>
              <w:textAlignment w:val="center"/>
              <w:rPr>
                <w:rFonts w:hint="default" w:ascii="Times New Roman" w:hAnsi="Times New Roman" w:cs="Times New Roman"/>
                <w:color w:val="000000"/>
                <w:szCs w:val="21"/>
              </w:rPr>
            </w:pPr>
            <w:r>
              <w:rPr>
                <w:rFonts w:hint="default" w:ascii="Times New Roman" w:hAnsi="Times New Roman" w:cs="Times New Roman"/>
                <w:color w:val="000000"/>
                <w:szCs w:val="21"/>
              </w:rPr>
              <w:t>（表3—序号31）</w:t>
            </w:r>
          </w:p>
        </w:tc>
        <w:tc>
          <w:tcPr>
            <w:tcW w:w="2591" w:type="dxa"/>
            <w:vAlign w:val="center"/>
          </w:tcPr>
          <w:p>
            <w:pPr>
              <w:jc w:val="center"/>
              <w:textAlignment w:val="center"/>
              <w:rPr>
                <w:rFonts w:hint="default" w:ascii="Times New Roman" w:hAnsi="Times New Roman" w:cs="Times New Roman"/>
                <w:color w:val="000000"/>
                <w:szCs w:val="21"/>
              </w:rPr>
            </w:pPr>
            <w:r>
              <w:rPr>
                <w:rFonts w:hint="default" w:ascii="Times New Roman" w:hAnsi="Times New Roman" w:cs="Times New Roman"/>
                <w:color w:val="000000"/>
                <w:szCs w:val="21"/>
              </w:rPr>
              <w:t>GB 18587—2001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jc w:val="center"/>
        </w:trPr>
        <w:tc>
          <w:tcPr>
            <w:tcW w:w="896" w:type="dxa"/>
            <w:vAlign w:val="center"/>
          </w:tcPr>
          <w:p>
            <w:pPr>
              <w:jc w:val="center"/>
              <w:textAlignment w:val="center"/>
              <w:rPr>
                <w:rFonts w:hint="default" w:ascii="Times New Roman" w:hAnsi="Times New Roman" w:cs="Times New Roman"/>
                <w:color w:val="000000"/>
                <w:szCs w:val="21"/>
              </w:rPr>
            </w:pPr>
            <w:r>
              <w:rPr>
                <w:rFonts w:hint="default" w:ascii="Times New Roman" w:hAnsi="Times New Roman" w:cs="Times New Roman"/>
                <w:color w:val="000000"/>
                <w:szCs w:val="21"/>
              </w:rPr>
              <w:t>9</w:t>
            </w:r>
          </w:p>
        </w:tc>
        <w:tc>
          <w:tcPr>
            <w:tcW w:w="1696" w:type="dxa"/>
            <w:vMerge w:val="continue"/>
            <w:vAlign w:val="center"/>
          </w:tcPr>
          <w:p>
            <w:pPr>
              <w:jc w:val="center"/>
              <w:textAlignment w:val="center"/>
              <w:rPr>
                <w:rFonts w:hint="default" w:ascii="Times New Roman" w:hAnsi="Times New Roman" w:cs="Times New Roman"/>
                <w:color w:val="000000"/>
                <w:szCs w:val="21"/>
              </w:rPr>
            </w:pPr>
          </w:p>
        </w:tc>
        <w:tc>
          <w:tcPr>
            <w:tcW w:w="3662" w:type="dxa"/>
            <w:vAlign w:val="center"/>
          </w:tcPr>
          <w:p>
            <w:pPr>
              <w:jc w:val="center"/>
              <w:textAlignment w:val="center"/>
              <w:rPr>
                <w:rFonts w:hint="default" w:ascii="Times New Roman" w:hAnsi="Times New Roman" w:cs="Times New Roman"/>
                <w:color w:val="000000"/>
                <w:szCs w:val="21"/>
              </w:rPr>
            </w:pPr>
            <w:r>
              <w:rPr>
                <w:rFonts w:hint="default" w:ascii="Times New Roman" w:hAnsi="Times New Roman" w:cs="Times New Roman"/>
                <w:color w:val="000000"/>
                <w:szCs w:val="21"/>
              </w:rPr>
              <w:t>（表3—序号32）</w:t>
            </w:r>
          </w:p>
        </w:tc>
        <w:tc>
          <w:tcPr>
            <w:tcW w:w="2591" w:type="dxa"/>
            <w:vAlign w:val="center"/>
          </w:tcPr>
          <w:p>
            <w:pPr>
              <w:jc w:val="center"/>
              <w:textAlignment w:val="center"/>
              <w:rPr>
                <w:rFonts w:hint="default" w:ascii="Times New Roman" w:hAnsi="Times New Roman" w:cs="Times New Roman"/>
                <w:color w:val="000000"/>
                <w:szCs w:val="21"/>
              </w:rPr>
            </w:pPr>
            <w:r>
              <w:rPr>
                <w:rFonts w:hint="default" w:ascii="Times New Roman" w:hAnsi="Times New Roman" w:cs="Times New Roman"/>
                <w:color w:val="000000"/>
                <w:szCs w:val="21"/>
              </w:rPr>
              <w:t>GB 17927.</w:t>
            </w:r>
            <w:r>
              <w:rPr>
                <w:rFonts w:hint="default" w:ascii="Times New Roman" w:hAnsi="Times New Roman" w:cs="Times New Roman"/>
                <w:color w:val="000000"/>
                <w:szCs w:val="21"/>
              </w:rPr>
              <w:t>1</w:t>
            </w:r>
            <w:r>
              <w:rPr>
                <w:rFonts w:hint="default" w:ascii="Times New Roman" w:hAnsi="Times New Roman" w:cs="Times New Roman"/>
                <w:color w:val="000000"/>
                <w:szCs w:val="21"/>
              </w:rPr>
              <w:t>—2011</w:t>
            </w:r>
          </w:p>
          <w:p>
            <w:pPr>
              <w:jc w:val="center"/>
              <w:textAlignment w:val="center"/>
              <w:rPr>
                <w:rFonts w:hint="default" w:ascii="Times New Roman" w:hAnsi="Times New Roman" w:cs="Times New Roman"/>
                <w:color w:val="000000"/>
                <w:szCs w:val="21"/>
              </w:rPr>
            </w:pPr>
            <w:r>
              <w:rPr>
                <w:rFonts w:hint="default" w:ascii="Times New Roman" w:hAnsi="Times New Roman" w:cs="Times New Roman"/>
                <w:color w:val="000000"/>
                <w:szCs w:val="21"/>
              </w:rPr>
              <w:t>GB 17927.2</w:t>
            </w:r>
            <w:r>
              <w:rPr>
                <w:rFonts w:hint="default" w:ascii="Times New Roman" w:hAnsi="Times New Roman" w:cs="Times New Roman"/>
                <w:color w:val="000000"/>
                <w:szCs w:val="21"/>
              </w:rPr>
              <w:t>—</w:t>
            </w:r>
            <w:r>
              <w:rPr>
                <w:rFonts w:hint="default" w:ascii="Times New Roman" w:hAnsi="Times New Roman" w:cs="Times New Roman"/>
                <w:color w:val="000000"/>
                <w:szCs w:val="21"/>
              </w:rPr>
              <w:t>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jc w:val="center"/>
        </w:trPr>
        <w:tc>
          <w:tcPr>
            <w:tcW w:w="896" w:type="dxa"/>
            <w:vAlign w:val="center"/>
          </w:tcPr>
          <w:p>
            <w:pPr>
              <w:jc w:val="center"/>
              <w:textAlignment w:val="center"/>
              <w:rPr>
                <w:rFonts w:hint="default" w:ascii="Times New Roman" w:hAnsi="Times New Roman" w:cs="Times New Roman"/>
                <w:color w:val="000000"/>
                <w:szCs w:val="21"/>
              </w:rPr>
            </w:pPr>
            <w:r>
              <w:rPr>
                <w:rFonts w:hint="default" w:ascii="Times New Roman" w:hAnsi="Times New Roman" w:cs="Times New Roman"/>
                <w:color w:val="000000"/>
                <w:szCs w:val="21"/>
              </w:rPr>
              <w:t>10</w:t>
            </w:r>
          </w:p>
        </w:tc>
        <w:tc>
          <w:tcPr>
            <w:tcW w:w="5358" w:type="dxa"/>
            <w:gridSpan w:val="2"/>
            <w:vAlign w:val="center"/>
          </w:tcPr>
          <w:p>
            <w:pPr>
              <w:jc w:val="center"/>
              <w:textAlignment w:val="center"/>
              <w:rPr>
                <w:rFonts w:hint="default" w:ascii="Times New Roman" w:hAnsi="Times New Roman" w:cs="Times New Roman"/>
                <w:color w:val="000000"/>
                <w:szCs w:val="21"/>
              </w:rPr>
            </w:pPr>
            <w:r>
              <w:rPr>
                <w:rFonts w:hint="default" w:ascii="Times New Roman" w:hAnsi="Times New Roman" w:cs="Times New Roman"/>
                <w:color w:val="000000"/>
                <w:szCs w:val="21"/>
              </w:rPr>
              <w:t>弹簧（表3—序号36）</w:t>
            </w:r>
          </w:p>
        </w:tc>
        <w:tc>
          <w:tcPr>
            <w:tcW w:w="2591" w:type="dxa"/>
            <w:vAlign w:val="center"/>
          </w:tcPr>
          <w:p>
            <w:pPr>
              <w:jc w:val="center"/>
              <w:textAlignment w:val="center"/>
              <w:rPr>
                <w:rFonts w:hint="default" w:ascii="Times New Roman" w:hAnsi="Times New Roman" w:cs="Times New Roman"/>
                <w:color w:val="000000"/>
                <w:szCs w:val="21"/>
              </w:rPr>
            </w:pPr>
            <w:r>
              <w:rPr>
                <w:rFonts w:hint="default" w:ascii="Times New Roman" w:hAnsi="Times New Roman" w:cs="Times New Roman"/>
                <w:color w:val="000000"/>
                <w:szCs w:val="21"/>
              </w:rPr>
              <w:t>QB/T 1952.2—2011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jc w:val="center"/>
        </w:trPr>
        <w:tc>
          <w:tcPr>
            <w:tcW w:w="896" w:type="dxa"/>
            <w:vAlign w:val="center"/>
          </w:tcPr>
          <w:p>
            <w:pPr>
              <w:jc w:val="center"/>
              <w:textAlignment w:val="center"/>
              <w:rPr>
                <w:rFonts w:hint="default" w:ascii="Times New Roman" w:hAnsi="Times New Roman" w:cs="Times New Roman"/>
                <w:color w:val="000000"/>
                <w:szCs w:val="21"/>
              </w:rPr>
            </w:pPr>
            <w:r>
              <w:rPr>
                <w:rFonts w:hint="default" w:ascii="Times New Roman" w:hAnsi="Times New Roman" w:cs="Times New Roman"/>
                <w:color w:val="000000"/>
                <w:szCs w:val="21"/>
              </w:rPr>
              <w:t>11</w:t>
            </w:r>
          </w:p>
        </w:tc>
        <w:tc>
          <w:tcPr>
            <w:tcW w:w="1696" w:type="dxa"/>
            <w:vMerge w:val="restart"/>
            <w:vAlign w:val="center"/>
          </w:tcPr>
          <w:p>
            <w:pPr>
              <w:jc w:val="center"/>
              <w:textAlignment w:val="center"/>
              <w:rPr>
                <w:rFonts w:hint="default" w:ascii="Times New Roman" w:hAnsi="Times New Roman" w:cs="Times New Roman"/>
                <w:color w:val="000000"/>
                <w:szCs w:val="21"/>
              </w:rPr>
            </w:pPr>
            <w:r>
              <w:rPr>
                <w:rFonts w:hint="default" w:ascii="Times New Roman" w:hAnsi="Times New Roman" w:cs="Times New Roman"/>
                <w:color w:val="000000"/>
                <w:szCs w:val="21"/>
              </w:rPr>
              <w:t>耐久性</w:t>
            </w:r>
          </w:p>
        </w:tc>
        <w:tc>
          <w:tcPr>
            <w:tcW w:w="3662" w:type="dxa"/>
            <w:vAlign w:val="center"/>
          </w:tcPr>
          <w:p>
            <w:pPr>
              <w:jc w:val="center"/>
              <w:textAlignment w:val="center"/>
              <w:rPr>
                <w:rFonts w:hint="default" w:ascii="Times New Roman" w:hAnsi="Times New Roman" w:cs="Times New Roman"/>
                <w:color w:val="000000"/>
                <w:szCs w:val="21"/>
              </w:rPr>
            </w:pPr>
            <w:r>
              <w:rPr>
                <w:rFonts w:hint="default" w:ascii="Times New Roman" w:hAnsi="Times New Roman" w:cs="Times New Roman"/>
                <w:color w:val="000000"/>
                <w:szCs w:val="21"/>
              </w:rPr>
              <w:t>睡眠区域中心</w:t>
            </w:r>
          </w:p>
        </w:tc>
        <w:tc>
          <w:tcPr>
            <w:tcW w:w="2591" w:type="dxa"/>
            <w:vAlign w:val="center"/>
          </w:tcPr>
          <w:p>
            <w:pPr>
              <w:jc w:val="center"/>
              <w:textAlignment w:val="center"/>
              <w:rPr>
                <w:rFonts w:hint="default" w:ascii="Times New Roman" w:hAnsi="Times New Roman" w:cs="Times New Roman"/>
                <w:color w:val="000000"/>
                <w:szCs w:val="21"/>
              </w:rPr>
            </w:pPr>
            <w:r>
              <w:rPr>
                <w:rFonts w:hint="default" w:ascii="Times New Roman" w:hAnsi="Times New Roman" w:cs="Times New Roman"/>
                <w:color w:val="000000"/>
                <w:szCs w:val="21"/>
              </w:rPr>
              <w:t>QB/T 1952.2—2011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jc w:val="center"/>
        </w:trPr>
        <w:tc>
          <w:tcPr>
            <w:tcW w:w="896" w:type="dxa"/>
            <w:vAlign w:val="center"/>
          </w:tcPr>
          <w:p>
            <w:pPr>
              <w:jc w:val="center"/>
              <w:textAlignment w:val="center"/>
              <w:rPr>
                <w:rFonts w:hint="default" w:ascii="Times New Roman" w:hAnsi="Times New Roman" w:cs="Times New Roman"/>
                <w:color w:val="000000"/>
                <w:szCs w:val="21"/>
              </w:rPr>
            </w:pPr>
            <w:r>
              <w:rPr>
                <w:rFonts w:hint="default" w:ascii="Times New Roman" w:hAnsi="Times New Roman" w:cs="Times New Roman"/>
                <w:color w:val="000000"/>
                <w:szCs w:val="21"/>
              </w:rPr>
              <w:t>12</w:t>
            </w:r>
          </w:p>
        </w:tc>
        <w:tc>
          <w:tcPr>
            <w:tcW w:w="1696" w:type="dxa"/>
            <w:vMerge w:val="continue"/>
            <w:vAlign w:val="center"/>
          </w:tcPr>
          <w:p>
            <w:pPr>
              <w:jc w:val="center"/>
              <w:textAlignment w:val="center"/>
              <w:rPr>
                <w:rFonts w:hint="default" w:ascii="Times New Roman" w:hAnsi="Times New Roman" w:cs="Times New Roman"/>
                <w:color w:val="000000"/>
                <w:szCs w:val="21"/>
              </w:rPr>
            </w:pPr>
          </w:p>
        </w:tc>
        <w:tc>
          <w:tcPr>
            <w:tcW w:w="3662" w:type="dxa"/>
            <w:vAlign w:val="center"/>
          </w:tcPr>
          <w:p>
            <w:pPr>
              <w:jc w:val="center"/>
              <w:textAlignment w:val="center"/>
              <w:rPr>
                <w:rFonts w:hint="default" w:ascii="Times New Roman" w:hAnsi="Times New Roman" w:cs="Times New Roman"/>
                <w:color w:val="000000"/>
                <w:szCs w:val="21"/>
              </w:rPr>
            </w:pPr>
            <w:r>
              <w:rPr>
                <w:rFonts w:hint="default" w:ascii="Times New Roman" w:hAnsi="Times New Roman" w:cs="Times New Roman"/>
                <w:color w:val="000000"/>
                <w:szCs w:val="21"/>
              </w:rPr>
              <w:t>边部</w:t>
            </w:r>
          </w:p>
        </w:tc>
        <w:tc>
          <w:tcPr>
            <w:tcW w:w="2591" w:type="dxa"/>
            <w:vAlign w:val="center"/>
          </w:tcPr>
          <w:p>
            <w:pPr>
              <w:jc w:val="center"/>
              <w:textAlignment w:val="center"/>
              <w:rPr>
                <w:rFonts w:hint="default" w:ascii="Times New Roman" w:hAnsi="Times New Roman" w:cs="Times New Roman"/>
                <w:color w:val="000000"/>
                <w:szCs w:val="21"/>
              </w:rPr>
            </w:pPr>
            <w:r>
              <w:rPr>
                <w:rFonts w:hint="default" w:ascii="Times New Roman" w:hAnsi="Times New Roman" w:cs="Times New Roman"/>
                <w:color w:val="000000"/>
                <w:szCs w:val="21"/>
              </w:rPr>
              <w:t>QB/T 1952.2—2011</w:t>
            </w:r>
          </w:p>
        </w:tc>
      </w:tr>
    </w:tbl>
    <w:p>
      <w:pPr>
        <w:snapToGrid w:val="0"/>
        <w:spacing w:line="440" w:lineRule="exact"/>
        <w:jc w:val="center"/>
        <w:rPr>
          <w:rFonts w:hint="default" w:ascii="Times New Roman" w:hAnsi="Times New Roman" w:eastAsia="黑体" w:cs="Times New Roman"/>
          <w:color w:val="000000"/>
          <w:szCs w:val="21"/>
        </w:rPr>
      </w:pPr>
      <w:r>
        <w:rPr>
          <w:rFonts w:hint="default" w:ascii="Times New Roman" w:hAnsi="Times New Roman" w:eastAsia="黑体" w:cs="Times New Roman"/>
          <w:color w:val="000000"/>
          <w:szCs w:val="21"/>
        </w:rPr>
        <w:t>表</w:t>
      </w:r>
      <w:r>
        <w:rPr>
          <w:rFonts w:hint="default" w:ascii="Times New Roman" w:hAnsi="Times New Roman" w:eastAsia="黑体" w:cs="Times New Roman"/>
          <w:color w:val="000000"/>
          <w:szCs w:val="21"/>
        </w:rPr>
        <w:t xml:space="preserve">2 </w:t>
      </w:r>
      <w:r>
        <w:rPr>
          <w:rFonts w:hint="default" w:ascii="Times New Roman" w:hAnsi="Times New Roman" w:eastAsia="黑体" w:cs="Times New Roman"/>
          <w:color w:val="000000"/>
          <w:szCs w:val="21"/>
        </w:rPr>
        <w:t>棕纤维弹性床垫</w:t>
      </w:r>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1"/>
        <w:gridCol w:w="1843"/>
        <w:gridCol w:w="3685"/>
        <w:gridCol w:w="25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2" w:hRule="atLeast"/>
          <w:tblHeader/>
          <w:jc w:val="center"/>
        </w:trPr>
        <w:tc>
          <w:tcPr>
            <w:tcW w:w="821" w:type="dxa"/>
            <w:tcBorders>
              <w:top w:val="single" w:color="auto" w:sz="4" w:space="0"/>
              <w:left w:val="single" w:color="auto" w:sz="4" w:space="0"/>
              <w:bottom w:val="single" w:color="auto" w:sz="4" w:space="0"/>
              <w:right w:val="single" w:color="auto" w:sz="4" w:space="0"/>
            </w:tcBorders>
            <w:vAlign w:val="center"/>
          </w:tcPr>
          <w:p>
            <w:pPr>
              <w:jc w:val="center"/>
              <w:textAlignment w:val="center"/>
              <w:rPr>
                <w:rFonts w:hint="default" w:ascii="Times New Roman" w:hAnsi="Times New Roman" w:cs="Times New Roman"/>
                <w:color w:val="000000"/>
                <w:szCs w:val="21"/>
              </w:rPr>
            </w:pPr>
            <w:r>
              <w:rPr>
                <w:rFonts w:hint="default" w:ascii="Times New Roman" w:hAnsi="Times New Roman" w:cs="Times New Roman"/>
                <w:color w:val="000000"/>
                <w:szCs w:val="21"/>
              </w:rPr>
              <w:t>序号</w:t>
            </w:r>
          </w:p>
        </w:tc>
        <w:tc>
          <w:tcPr>
            <w:tcW w:w="5528" w:type="dxa"/>
            <w:gridSpan w:val="2"/>
            <w:tcBorders>
              <w:top w:val="single" w:color="auto" w:sz="4" w:space="0"/>
              <w:left w:val="single" w:color="auto" w:sz="4" w:space="0"/>
              <w:bottom w:val="single" w:color="auto" w:sz="4" w:space="0"/>
              <w:right w:val="single" w:color="auto" w:sz="4" w:space="0"/>
            </w:tcBorders>
            <w:vAlign w:val="center"/>
          </w:tcPr>
          <w:p>
            <w:pPr>
              <w:jc w:val="center"/>
              <w:textAlignment w:val="center"/>
              <w:rPr>
                <w:rFonts w:hint="default" w:ascii="Times New Roman" w:hAnsi="Times New Roman" w:cs="Times New Roman"/>
                <w:color w:val="000000"/>
                <w:szCs w:val="21"/>
              </w:rPr>
            </w:pPr>
            <w:r>
              <w:rPr>
                <w:rFonts w:hint="default" w:ascii="Times New Roman" w:hAnsi="Times New Roman" w:cs="Times New Roman"/>
                <w:color w:val="000000"/>
                <w:szCs w:val="21"/>
              </w:rPr>
              <w:t>检验项目</w:t>
            </w:r>
          </w:p>
        </w:tc>
        <w:tc>
          <w:tcPr>
            <w:tcW w:w="2548" w:type="dxa"/>
            <w:tcBorders>
              <w:top w:val="single" w:color="auto" w:sz="4" w:space="0"/>
              <w:left w:val="single" w:color="auto" w:sz="4" w:space="0"/>
              <w:bottom w:val="single" w:color="auto" w:sz="4" w:space="0"/>
              <w:right w:val="single" w:color="auto" w:sz="4" w:space="0"/>
            </w:tcBorders>
            <w:vAlign w:val="center"/>
          </w:tcPr>
          <w:p>
            <w:pPr>
              <w:jc w:val="center"/>
              <w:textAlignment w:val="center"/>
              <w:rPr>
                <w:rFonts w:hint="default" w:ascii="Times New Roman" w:hAnsi="Times New Roman" w:cs="Times New Roman"/>
                <w:color w:val="000000"/>
                <w:szCs w:val="21"/>
              </w:rPr>
            </w:pPr>
            <w:r>
              <w:rPr>
                <w:rFonts w:hint="default" w:ascii="Times New Roman" w:hAnsi="Times New Roman" w:cs="Times New Roman"/>
                <w:color w:val="000000"/>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2" w:hRule="atLeast"/>
          <w:jc w:val="center"/>
        </w:trPr>
        <w:tc>
          <w:tcPr>
            <w:tcW w:w="821" w:type="dxa"/>
            <w:tcBorders>
              <w:top w:val="single" w:color="auto" w:sz="4" w:space="0"/>
              <w:left w:val="single" w:color="auto" w:sz="4" w:space="0"/>
              <w:bottom w:val="single" w:color="auto" w:sz="4" w:space="0"/>
              <w:right w:val="single" w:color="auto" w:sz="4" w:space="0"/>
            </w:tcBorders>
            <w:vAlign w:val="center"/>
          </w:tcPr>
          <w:p>
            <w:pPr>
              <w:jc w:val="center"/>
              <w:textAlignment w:val="center"/>
              <w:rPr>
                <w:rFonts w:hint="default" w:ascii="Times New Roman" w:hAnsi="Times New Roman" w:cs="Times New Roman"/>
                <w:color w:val="000000"/>
                <w:szCs w:val="21"/>
              </w:rPr>
            </w:pPr>
            <w:r>
              <w:rPr>
                <w:rFonts w:hint="default" w:ascii="Times New Roman" w:hAnsi="Times New Roman" w:cs="Times New Roman"/>
                <w:color w:val="000000"/>
                <w:szCs w:val="21"/>
              </w:rPr>
              <w:t>1</w:t>
            </w:r>
          </w:p>
        </w:tc>
        <w:tc>
          <w:tcPr>
            <w:tcW w:w="5528" w:type="dxa"/>
            <w:gridSpan w:val="2"/>
            <w:tcBorders>
              <w:top w:val="single" w:color="auto" w:sz="4" w:space="0"/>
              <w:left w:val="single" w:color="auto" w:sz="4" w:space="0"/>
              <w:bottom w:val="single" w:color="auto" w:sz="4" w:space="0"/>
              <w:right w:val="single" w:color="auto" w:sz="4" w:space="0"/>
            </w:tcBorders>
            <w:vAlign w:val="center"/>
          </w:tcPr>
          <w:p>
            <w:pPr>
              <w:jc w:val="center"/>
              <w:textAlignment w:val="center"/>
              <w:rPr>
                <w:rFonts w:hint="default" w:ascii="Times New Roman" w:hAnsi="Times New Roman" w:cs="Times New Roman"/>
                <w:color w:val="000000"/>
                <w:szCs w:val="21"/>
              </w:rPr>
            </w:pPr>
            <w:r>
              <w:rPr>
                <w:rFonts w:hint="default" w:ascii="Times New Roman" w:hAnsi="Times New Roman" w:cs="Times New Roman"/>
                <w:color w:val="000000"/>
                <w:szCs w:val="21"/>
              </w:rPr>
              <w:t>面料及复合面料物理性能（耐摩擦色牢度）</w:t>
            </w:r>
          </w:p>
        </w:tc>
        <w:tc>
          <w:tcPr>
            <w:tcW w:w="2548" w:type="dxa"/>
            <w:tcBorders>
              <w:top w:val="single" w:color="auto" w:sz="4" w:space="0"/>
              <w:left w:val="single" w:color="auto" w:sz="4" w:space="0"/>
              <w:bottom w:val="single" w:color="auto" w:sz="4" w:space="0"/>
              <w:right w:val="single" w:color="auto" w:sz="4" w:space="0"/>
            </w:tcBorders>
            <w:vAlign w:val="center"/>
          </w:tcPr>
          <w:p>
            <w:pPr>
              <w:jc w:val="center"/>
              <w:textAlignment w:val="center"/>
              <w:rPr>
                <w:rFonts w:hint="default" w:ascii="Times New Roman" w:hAnsi="Times New Roman" w:cs="Times New Roman"/>
                <w:color w:val="000000"/>
                <w:szCs w:val="21"/>
              </w:rPr>
            </w:pPr>
            <w:r>
              <w:rPr>
                <w:rFonts w:hint="default" w:ascii="Times New Roman" w:hAnsi="Times New Roman" w:cs="Times New Roman"/>
                <w:color w:val="000000"/>
                <w:szCs w:val="21"/>
              </w:rPr>
              <w:t>GB/T 3920</w:t>
            </w:r>
            <w:r>
              <w:rPr>
                <w:rFonts w:hint="default" w:ascii="Times New Roman" w:hAnsi="Times New Roman" w:cs="Times New Roman"/>
                <w:color w:val="000000"/>
                <w:szCs w:val="21"/>
              </w:rPr>
              <w:t>—</w:t>
            </w:r>
            <w:r>
              <w:rPr>
                <w:rFonts w:hint="default" w:ascii="Times New Roman" w:hAnsi="Times New Roman" w:cs="Times New Roman"/>
                <w:color w:val="000000"/>
                <w:szCs w:val="21"/>
              </w:rPr>
              <w:t>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2" w:hRule="atLeast"/>
          <w:jc w:val="center"/>
        </w:trPr>
        <w:tc>
          <w:tcPr>
            <w:tcW w:w="821" w:type="dxa"/>
            <w:vMerge w:val="restart"/>
            <w:tcBorders>
              <w:top w:val="single" w:color="auto" w:sz="4" w:space="0"/>
              <w:left w:val="single" w:color="auto" w:sz="4" w:space="0"/>
              <w:bottom w:val="single" w:color="auto" w:sz="4" w:space="0"/>
              <w:right w:val="single" w:color="auto" w:sz="4" w:space="0"/>
            </w:tcBorders>
            <w:vAlign w:val="center"/>
          </w:tcPr>
          <w:p>
            <w:pPr>
              <w:jc w:val="center"/>
              <w:textAlignment w:val="center"/>
              <w:rPr>
                <w:rFonts w:hint="default" w:ascii="Times New Roman" w:hAnsi="Times New Roman" w:cs="Times New Roman"/>
                <w:color w:val="000000"/>
                <w:szCs w:val="21"/>
              </w:rPr>
            </w:pPr>
            <w:r>
              <w:rPr>
                <w:rFonts w:hint="default" w:ascii="Times New Roman" w:hAnsi="Times New Roman" w:cs="Times New Roman"/>
                <w:color w:val="000000"/>
                <w:szCs w:val="21"/>
              </w:rPr>
              <w:t>2</w:t>
            </w:r>
          </w:p>
        </w:tc>
        <w:tc>
          <w:tcPr>
            <w:tcW w:w="1843" w:type="dxa"/>
            <w:vMerge w:val="restart"/>
            <w:tcBorders>
              <w:top w:val="single" w:color="auto" w:sz="4" w:space="0"/>
              <w:left w:val="single" w:color="auto" w:sz="4" w:space="0"/>
              <w:bottom w:val="single" w:color="auto" w:sz="4" w:space="0"/>
              <w:right w:val="single" w:color="auto" w:sz="4" w:space="0"/>
            </w:tcBorders>
            <w:vAlign w:val="center"/>
          </w:tcPr>
          <w:p>
            <w:pPr>
              <w:jc w:val="center"/>
              <w:textAlignment w:val="center"/>
              <w:rPr>
                <w:rFonts w:hint="default" w:ascii="Times New Roman" w:hAnsi="Times New Roman" w:cs="Times New Roman"/>
                <w:color w:val="000000"/>
                <w:szCs w:val="21"/>
              </w:rPr>
            </w:pPr>
            <w:r>
              <w:rPr>
                <w:rFonts w:hint="default" w:ascii="Times New Roman" w:hAnsi="Times New Roman" w:cs="Times New Roman"/>
                <w:color w:val="000000"/>
                <w:szCs w:val="21"/>
              </w:rPr>
              <w:t>芯料物理性能</w:t>
            </w:r>
          </w:p>
        </w:tc>
        <w:tc>
          <w:tcPr>
            <w:tcW w:w="3685" w:type="dxa"/>
            <w:tcBorders>
              <w:top w:val="single" w:color="auto" w:sz="4" w:space="0"/>
              <w:left w:val="single" w:color="auto" w:sz="4" w:space="0"/>
              <w:bottom w:val="single" w:color="auto" w:sz="4" w:space="0"/>
              <w:right w:val="single" w:color="auto" w:sz="4" w:space="0"/>
            </w:tcBorders>
            <w:vAlign w:val="center"/>
          </w:tcPr>
          <w:p>
            <w:pPr>
              <w:jc w:val="center"/>
              <w:textAlignment w:val="center"/>
              <w:rPr>
                <w:rFonts w:hint="default" w:ascii="Times New Roman" w:hAnsi="Times New Roman" w:cs="Times New Roman"/>
                <w:color w:val="000000"/>
                <w:szCs w:val="21"/>
              </w:rPr>
            </w:pPr>
            <w:r>
              <w:rPr>
                <w:rFonts w:hint="default" w:ascii="Times New Roman" w:hAnsi="Times New Roman" w:cs="Times New Roman"/>
                <w:color w:val="000000"/>
                <w:szCs w:val="21"/>
              </w:rPr>
              <w:t>含水率</w:t>
            </w:r>
          </w:p>
        </w:tc>
        <w:tc>
          <w:tcPr>
            <w:tcW w:w="2548" w:type="dxa"/>
            <w:tcBorders>
              <w:top w:val="single" w:color="auto" w:sz="4" w:space="0"/>
              <w:left w:val="single" w:color="auto" w:sz="4" w:space="0"/>
              <w:bottom w:val="single" w:color="auto" w:sz="4" w:space="0"/>
              <w:right w:val="single" w:color="auto" w:sz="4" w:space="0"/>
            </w:tcBorders>
            <w:vAlign w:val="center"/>
          </w:tcPr>
          <w:p>
            <w:pPr>
              <w:jc w:val="center"/>
              <w:textAlignment w:val="center"/>
              <w:rPr>
                <w:rFonts w:hint="default" w:ascii="Times New Roman" w:hAnsi="Times New Roman" w:cs="Times New Roman"/>
                <w:color w:val="000000"/>
                <w:szCs w:val="21"/>
              </w:rPr>
            </w:pPr>
            <w:r>
              <w:rPr>
                <w:rFonts w:hint="default" w:ascii="Times New Roman" w:hAnsi="Times New Roman" w:cs="Times New Roman"/>
                <w:color w:val="000000"/>
                <w:szCs w:val="21"/>
              </w:rPr>
              <w:t>GB/T 26706</w:t>
            </w:r>
            <w:r>
              <w:rPr>
                <w:rFonts w:hint="default" w:ascii="Times New Roman" w:hAnsi="Times New Roman" w:cs="Times New Roman"/>
                <w:color w:val="000000"/>
                <w:szCs w:val="21"/>
              </w:rPr>
              <w:t>—</w:t>
            </w:r>
            <w:r>
              <w:rPr>
                <w:rFonts w:hint="default" w:ascii="Times New Roman" w:hAnsi="Times New Roman" w:cs="Times New Roman"/>
                <w:color w:val="000000"/>
                <w:szCs w:val="21"/>
              </w:rPr>
              <w:t>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2" w:hRule="atLeast"/>
          <w:jc w:val="center"/>
        </w:trPr>
        <w:tc>
          <w:tcPr>
            <w:tcW w:w="821" w:type="dxa"/>
            <w:vMerge w:val="continue"/>
            <w:tcBorders>
              <w:top w:val="single" w:color="auto" w:sz="4" w:space="0"/>
              <w:left w:val="single" w:color="auto" w:sz="4" w:space="0"/>
              <w:bottom w:val="single" w:color="auto" w:sz="4" w:space="0"/>
              <w:right w:val="single" w:color="auto" w:sz="4" w:space="0"/>
            </w:tcBorders>
            <w:vAlign w:val="center"/>
          </w:tcPr>
          <w:p>
            <w:pPr>
              <w:jc w:val="center"/>
              <w:textAlignment w:val="center"/>
              <w:rPr>
                <w:rFonts w:hint="default" w:ascii="Times New Roman" w:hAnsi="Times New Roman" w:cs="Times New Roman"/>
                <w:color w:val="000000"/>
                <w:szCs w:val="21"/>
              </w:rPr>
            </w:pPr>
          </w:p>
        </w:tc>
        <w:tc>
          <w:tcPr>
            <w:tcW w:w="1843" w:type="dxa"/>
            <w:vMerge w:val="continue"/>
            <w:tcBorders>
              <w:top w:val="single" w:color="auto" w:sz="4" w:space="0"/>
              <w:left w:val="single" w:color="auto" w:sz="4" w:space="0"/>
              <w:bottom w:val="single" w:color="auto" w:sz="4" w:space="0"/>
              <w:right w:val="single" w:color="auto" w:sz="4" w:space="0"/>
            </w:tcBorders>
            <w:vAlign w:val="center"/>
          </w:tcPr>
          <w:p>
            <w:pPr>
              <w:jc w:val="center"/>
              <w:textAlignment w:val="center"/>
              <w:rPr>
                <w:rFonts w:hint="default" w:ascii="Times New Roman" w:hAnsi="Times New Roman" w:cs="Times New Roman"/>
                <w:color w:val="000000"/>
                <w:szCs w:val="21"/>
              </w:rPr>
            </w:pPr>
          </w:p>
        </w:tc>
        <w:tc>
          <w:tcPr>
            <w:tcW w:w="3685" w:type="dxa"/>
            <w:tcBorders>
              <w:top w:val="single" w:color="auto" w:sz="4" w:space="0"/>
              <w:left w:val="single" w:color="auto" w:sz="4" w:space="0"/>
              <w:bottom w:val="single" w:color="auto" w:sz="4" w:space="0"/>
              <w:right w:val="single" w:color="auto" w:sz="4" w:space="0"/>
            </w:tcBorders>
            <w:vAlign w:val="center"/>
          </w:tcPr>
          <w:p>
            <w:pPr>
              <w:jc w:val="center"/>
              <w:textAlignment w:val="center"/>
              <w:rPr>
                <w:rFonts w:hint="default" w:ascii="Times New Roman" w:hAnsi="Times New Roman" w:cs="Times New Roman"/>
                <w:color w:val="000000"/>
                <w:szCs w:val="21"/>
              </w:rPr>
            </w:pPr>
            <w:r>
              <w:rPr>
                <w:rFonts w:hint="default" w:ascii="Times New Roman" w:hAnsi="Times New Roman" w:cs="Times New Roman"/>
                <w:color w:val="000000"/>
                <w:szCs w:val="21"/>
              </w:rPr>
              <w:t>压缩永久变形率</w:t>
            </w:r>
          </w:p>
        </w:tc>
        <w:tc>
          <w:tcPr>
            <w:tcW w:w="2548" w:type="dxa"/>
            <w:tcBorders>
              <w:top w:val="single" w:color="auto" w:sz="4" w:space="0"/>
              <w:left w:val="single" w:color="auto" w:sz="4" w:space="0"/>
              <w:bottom w:val="single" w:color="auto" w:sz="4" w:space="0"/>
              <w:right w:val="single" w:color="auto" w:sz="4" w:space="0"/>
            </w:tcBorders>
            <w:vAlign w:val="center"/>
          </w:tcPr>
          <w:p>
            <w:pPr>
              <w:jc w:val="center"/>
              <w:textAlignment w:val="center"/>
              <w:rPr>
                <w:rFonts w:hint="default" w:ascii="Times New Roman" w:hAnsi="Times New Roman" w:cs="Times New Roman"/>
                <w:color w:val="000000"/>
                <w:szCs w:val="21"/>
              </w:rPr>
            </w:pPr>
            <w:r>
              <w:rPr>
                <w:rFonts w:hint="default" w:ascii="Times New Roman" w:hAnsi="Times New Roman" w:cs="Times New Roman"/>
                <w:color w:val="000000"/>
                <w:szCs w:val="21"/>
              </w:rPr>
              <w:t>GB/T 26706</w:t>
            </w:r>
            <w:r>
              <w:rPr>
                <w:rFonts w:hint="default" w:ascii="Times New Roman" w:hAnsi="Times New Roman" w:cs="Times New Roman"/>
                <w:color w:val="000000"/>
                <w:szCs w:val="21"/>
              </w:rPr>
              <w:t>—</w:t>
            </w:r>
            <w:r>
              <w:rPr>
                <w:rFonts w:hint="default" w:ascii="Times New Roman" w:hAnsi="Times New Roman" w:cs="Times New Roman"/>
                <w:color w:val="000000"/>
                <w:szCs w:val="21"/>
              </w:rPr>
              <w:t>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2" w:hRule="atLeast"/>
          <w:jc w:val="center"/>
        </w:trPr>
        <w:tc>
          <w:tcPr>
            <w:tcW w:w="821" w:type="dxa"/>
            <w:vMerge w:val="restart"/>
            <w:tcBorders>
              <w:top w:val="single" w:color="auto" w:sz="4" w:space="0"/>
              <w:left w:val="single" w:color="auto" w:sz="4" w:space="0"/>
              <w:bottom w:val="single" w:color="auto" w:sz="4" w:space="0"/>
              <w:right w:val="single" w:color="auto" w:sz="4" w:space="0"/>
            </w:tcBorders>
            <w:vAlign w:val="center"/>
          </w:tcPr>
          <w:p>
            <w:pPr>
              <w:jc w:val="center"/>
              <w:textAlignment w:val="center"/>
              <w:rPr>
                <w:rFonts w:hint="default" w:ascii="Times New Roman" w:hAnsi="Times New Roman" w:cs="Times New Roman"/>
                <w:color w:val="000000"/>
                <w:szCs w:val="21"/>
              </w:rPr>
            </w:pPr>
            <w:r>
              <w:rPr>
                <w:rFonts w:hint="default" w:ascii="Times New Roman" w:hAnsi="Times New Roman" w:cs="Times New Roman"/>
                <w:color w:val="000000"/>
                <w:szCs w:val="21"/>
              </w:rPr>
              <w:t>3</w:t>
            </w:r>
          </w:p>
        </w:tc>
        <w:tc>
          <w:tcPr>
            <w:tcW w:w="1843" w:type="dxa"/>
            <w:vMerge w:val="restart"/>
            <w:tcBorders>
              <w:top w:val="single" w:color="auto" w:sz="4" w:space="0"/>
              <w:left w:val="single" w:color="auto" w:sz="4" w:space="0"/>
              <w:bottom w:val="single" w:color="auto" w:sz="4" w:space="0"/>
              <w:right w:val="single" w:color="auto" w:sz="4" w:space="0"/>
            </w:tcBorders>
            <w:vAlign w:val="center"/>
          </w:tcPr>
          <w:p>
            <w:pPr>
              <w:jc w:val="center"/>
              <w:textAlignment w:val="center"/>
              <w:rPr>
                <w:rFonts w:hint="default" w:ascii="Times New Roman" w:hAnsi="Times New Roman" w:cs="Times New Roman"/>
                <w:color w:val="000000"/>
                <w:szCs w:val="21"/>
              </w:rPr>
            </w:pPr>
            <w:r>
              <w:rPr>
                <w:rFonts w:hint="default" w:ascii="Times New Roman" w:hAnsi="Times New Roman" w:cs="Times New Roman"/>
                <w:color w:val="000000"/>
                <w:szCs w:val="21"/>
              </w:rPr>
              <w:t>安全卫生要求</w:t>
            </w:r>
          </w:p>
        </w:tc>
        <w:tc>
          <w:tcPr>
            <w:tcW w:w="3685" w:type="dxa"/>
            <w:tcBorders>
              <w:top w:val="single" w:color="auto" w:sz="4" w:space="0"/>
              <w:left w:val="single" w:color="auto" w:sz="4" w:space="0"/>
              <w:bottom w:val="single" w:color="auto" w:sz="4" w:space="0"/>
              <w:right w:val="single" w:color="auto" w:sz="4" w:space="0"/>
            </w:tcBorders>
            <w:vAlign w:val="center"/>
          </w:tcPr>
          <w:p>
            <w:pPr>
              <w:jc w:val="center"/>
              <w:textAlignment w:val="center"/>
              <w:rPr>
                <w:rFonts w:hint="default" w:ascii="Times New Roman" w:hAnsi="Times New Roman" w:cs="Times New Roman"/>
                <w:color w:val="000000"/>
                <w:szCs w:val="21"/>
              </w:rPr>
            </w:pPr>
            <w:r>
              <w:rPr>
                <w:rFonts w:hint="default" w:ascii="Times New Roman" w:hAnsi="Times New Roman" w:cs="Times New Roman"/>
                <w:color w:val="000000"/>
                <w:szCs w:val="21"/>
              </w:rPr>
              <w:t>（表</w:t>
            </w:r>
            <w:r>
              <w:rPr>
                <w:rFonts w:hint="default" w:ascii="Times New Roman" w:hAnsi="Times New Roman" w:cs="Times New Roman"/>
                <w:color w:val="000000"/>
                <w:szCs w:val="21"/>
              </w:rPr>
              <w:t>3</w:t>
            </w:r>
            <w:r>
              <w:rPr>
                <w:rFonts w:hint="default" w:ascii="Times New Roman" w:hAnsi="Times New Roman" w:cs="Times New Roman"/>
                <w:color w:val="000000"/>
                <w:szCs w:val="21"/>
              </w:rPr>
              <w:t>—序号</w:t>
            </w:r>
            <w:r>
              <w:rPr>
                <w:rFonts w:hint="default" w:ascii="Times New Roman" w:hAnsi="Times New Roman" w:cs="Times New Roman"/>
                <w:color w:val="000000"/>
                <w:szCs w:val="21"/>
              </w:rPr>
              <w:t>31</w:t>
            </w:r>
            <w:r>
              <w:rPr>
                <w:rFonts w:hint="default" w:ascii="Times New Roman" w:hAnsi="Times New Roman" w:cs="Times New Roman"/>
                <w:color w:val="000000"/>
                <w:szCs w:val="21"/>
              </w:rPr>
              <w:t>、</w:t>
            </w:r>
            <w:r>
              <w:rPr>
                <w:rFonts w:hint="default" w:ascii="Times New Roman" w:hAnsi="Times New Roman" w:cs="Times New Roman"/>
                <w:color w:val="000000"/>
                <w:szCs w:val="21"/>
              </w:rPr>
              <w:t>33~37</w:t>
            </w:r>
            <w:r>
              <w:rPr>
                <w:rFonts w:hint="default" w:ascii="Times New Roman" w:hAnsi="Times New Roman" w:cs="Times New Roman"/>
                <w:color w:val="000000"/>
                <w:szCs w:val="21"/>
              </w:rPr>
              <w:t>）</w:t>
            </w:r>
          </w:p>
        </w:tc>
        <w:tc>
          <w:tcPr>
            <w:tcW w:w="2548" w:type="dxa"/>
            <w:tcBorders>
              <w:top w:val="single" w:color="auto" w:sz="4" w:space="0"/>
              <w:left w:val="single" w:color="auto" w:sz="4" w:space="0"/>
              <w:bottom w:val="single" w:color="auto" w:sz="4" w:space="0"/>
              <w:right w:val="single" w:color="auto" w:sz="4" w:space="0"/>
            </w:tcBorders>
            <w:vAlign w:val="center"/>
          </w:tcPr>
          <w:p>
            <w:pPr>
              <w:jc w:val="center"/>
              <w:textAlignment w:val="center"/>
              <w:rPr>
                <w:rFonts w:hint="default" w:ascii="Times New Roman" w:hAnsi="Times New Roman" w:cs="Times New Roman"/>
                <w:color w:val="000000"/>
                <w:szCs w:val="21"/>
              </w:rPr>
            </w:pPr>
            <w:r>
              <w:rPr>
                <w:rFonts w:hint="default" w:ascii="Times New Roman" w:hAnsi="Times New Roman" w:cs="Times New Roman"/>
                <w:color w:val="000000"/>
                <w:szCs w:val="21"/>
              </w:rPr>
              <w:t>GB/T 26706</w:t>
            </w:r>
            <w:r>
              <w:rPr>
                <w:rFonts w:hint="default" w:ascii="Times New Roman" w:hAnsi="Times New Roman" w:cs="Times New Roman"/>
                <w:color w:val="000000"/>
                <w:szCs w:val="21"/>
              </w:rPr>
              <w:t>—</w:t>
            </w:r>
            <w:r>
              <w:rPr>
                <w:rFonts w:hint="default" w:ascii="Times New Roman" w:hAnsi="Times New Roman" w:cs="Times New Roman"/>
                <w:color w:val="000000"/>
                <w:szCs w:val="21"/>
              </w:rPr>
              <w:t>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2" w:hRule="atLeast"/>
          <w:jc w:val="center"/>
        </w:trPr>
        <w:tc>
          <w:tcPr>
            <w:tcW w:w="821" w:type="dxa"/>
            <w:vMerge w:val="continue"/>
            <w:tcBorders>
              <w:top w:val="single" w:color="auto" w:sz="4" w:space="0"/>
              <w:left w:val="single" w:color="auto" w:sz="4" w:space="0"/>
              <w:bottom w:val="single" w:color="auto" w:sz="4" w:space="0"/>
              <w:right w:val="single" w:color="auto" w:sz="4" w:space="0"/>
            </w:tcBorders>
            <w:vAlign w:val="center"/>
          </w:tcPr>
          <w:p>
            <w:pPr>
              <w:jc w:val="center"/>
              <w:textAlignment w:val="center"/>
              <w:rPr>
                <w:rFonts w:hint="default" w:ascii="Times New Roman" w:hAnsi="Times New Roman" w:cs="Times New Roman"/>
                <w:color w:val="000000"/>
                <w:szCs w:val="21"/>
              </w:rPr>
            </w:pPr>
          </w:p>
        </w:tc>
        <w:tc>
          <w:tcPr>
            <w:tcW w:w="1843" w:type="dxa"/>
            <w:vMerge w:val="continue"/>
            <w:tcBorders>
              <w:top w:val="single" w:color="auto" w:sz="4" w:space="0"/>
              <w:left w:val="single" w:color="auto" w:sz="4" w:space="0"/>
              <w:bottom w:val="single" w:color="auto" w:sz="4" w:space="0"/>
              <w:right w:val="single" w:color="auto" w:sz="4" w:space="0"/>
            </w:tcBorders>
            <w:vAlign w:val="center"/>
          </w:tcPr>
          <w:p>
            <w:pPr>
              <w:jc w:val="center"/>
              <w:textAlignment w:val="center"/>
              <w:rPr>
                <w:rFonts w:hint="default" w:ascii="Times New Roman" w:hAnsi="Times New Roman" w:cs="Times New Roman"/>
                <w:color w:val="000000"/>
                <w:szCs w:val="21"/>
              </w:rPr>
            </w:pPr>
          </w:p>
        </w:tc>
        <w:tc>
          <w:tcPr>
            <w:tcW w:w="3685" w:type="dxa"/>
            <w:tcBorders>
              <w:top w:val="single" w:color="auto" w:sz="4" w:space="0"/>
              <w:left w:val="single" w:color="auto" w:sz="4" w:space="0"/>
              <w:bottom w:val="single" w:color="auto" w:sz="4" w:space="0"/>
              <w:right w:val="single" w:color="auto" w:sz="4" w:space="0"/>
            </w:tcBorders>
            <w:vAlign w:val="center"/>
          </w:tcPr>
          <w:p>
            <w:pPr>
              <w:jc w:val="center"/>
              <w:textAlignment w:val="center"/>
              <w:rPr>
                <w:rFonts w:hint="default" w:ascii="Times New Roman" w:hAnsi="Times New Roman" w:cs="Times New Roman"/>
                <w:color w:val="000000"/>
                <w:szCs w:val="21"/>
              </w:rPr>
            </w:pPr>
            <w:r>
              <w:rPr>
                <w:rFonts w:hint="default" w:ascii="Times New Roman" w:hAnsi="Times New Roman" w:cs="Times New Roman"/>
                <w:color w:val="000000"/>
                <w:szCs w:val="21"/>
              </w:rPr>
              <w:t>（表</w:t>
            </w:r>
            <w:r>
              <w:rPr>
                <w:rFonts w:hint="default" w:ascii="Times New Roman" w:hAnsi="Times New Roman" w:cs="Times New Roman"/>
                <w:color w:val="000000"/>
                <w:szCs w:val="21"/>
              </w:rPr>
              <w:t>3</w:t>
            </w:r>
            <w:r>
              <w:rPr>
                <w:rFonts w:hint="default" w:ascii="Times New Roman" w:hAnsi="Times New Roman" w:cs="Times New Roman"/>
                <w:color w:val="000000"/>
                <w:szCs w:val="21"/>
              </w:rPr>
              <w:t>—序号</w:t>
            </w:r>
            <w:r>
              <w:rPr>
                <w:rFonts w:hint="default" w:ascii="Times New Roman" w:hAnsi="Times New Roman" w:cs="Times New Roman"/>
                <w:color w:val="000000"/>
                <w:szCs w:val="21"/>
              </w:rPr>
              <w:t>38</w:t>
            </w:r>
            <w:r>
              <w:rPr>
                <w:rFonts w:hint="default" w:ascii="Times New Roman" w:hAnsi="Times New Roman" w:cs="Times New Roman"/>
                <w:color w:val="000000"/>
                <w:szCs w:val="21"/>
              </w:rPr>
              <w:t>）</w:t>
            </w:r>
          </w:p>
        </w:tc>
        <w:tc>
          <w:tcPr>
            <w:tcW w:w="2548" w:type="dxa"/>
            <w:tcBorders>
              <w:top w:val="single" w:color="auto" w:sz="4" w:space="0"/>
              <w:left w:val="single" w:color="auto" w:sz="4" w:space="0"/>
              <w:bottom w:val="single" w:color="auto" w:sz="4" w:space="0"/>
              <w:right w:val="single" w:color="auto" w:sz="4" w:space="0"/>
            </w:tcBorders>
            <w:vAlign w:val="center"/>
          </w:tcPr>
          <w:p>
            <w:pPr>
              <w:jc w:val="center"/>
              <w:textAlignment w:val="center"/>
              <w:rPr>
                <w:rFonts w:hint="default" w:ascii="Times New Roman" w:hAnsi="Times New Roman" w:cs="Times New Roman"/>
                <w:color w:val="000000"/>
                <w:szCs w:val="21"/>
              </w:rPr>
            </w:pPr>
            <w:r>
              <w:rPr>
                <w:rFonts w:hint="default" w:ascii="Times New Roman" w:hAnsi="Times New Roman" w:cs="Times New Roman"/>
                <w:color w:val="000000"/>
                <w:szCs w:val="21"/>
              </w:rPr>
              <w:t>QB/T 1952.2</w:t>
            </w:r>
            <w:r>
              <w:rPr>
                <w:rFonts w:hint="default" w:ascii="Times New Roman" w:hAnsi="Times New Roman" w:cs="Times New Roman"/>
                <w:color w:val="000000"/>
                <w:szCs w:val="21"/>
              </w:rPr>
              <w:t>—</w:t>
            </w:r>
            <w:r>
              <w:rPr>
                <w:rFonts w:hint="default" w:ascii="Times New Roman" w:hAnsi="Times New Roman" w:cs="Times New Roman"/>
                <w:color w:val="000000"/>
                <w:szCs w:val="21"/>
              </w:rPr>
              <w:t>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2" w:hRule="atLeast"/>
          <w:jc w:val="center"/>
        </w:trPr>
        <w:tc>
          <w:tcPr>
            <w:tcW w:w="821" w:type="dxa"/>
            <w:tcBorders>
              <w:top w:val="single" w:color="auto" w:sz="4" w:space="0"/>
              <w:left w:val="single" w:color="auto" w:sz="4" w:space="0"/>
              <w:bottom w:val="single" w:color="auto" w:sz="4" w:space="0"/>
              <w:right w:val="single" w:color="auto" w:sz="4" w:space="0"/>
            </w:tcBorders>
            <w:vAlign w:val="center"/>
          </w:tcPr>
          <w:p>
            <w:pPr>
              <w:jc w:val="center"/>
              <w:textAlignment w:val="center"/>
              <w:rPr>
                <w:rFonts w:hint="default" w:ascii="Times New Roman" w:hAnsi="Times New Roman" w:cs="Times New Roman"/>
                <w:color w:val="000000"/>
                <w:szCs w:val="21"/>
              </w:rPr>
            </w:pPr>
            <w:r>
              <w:rPr>
                <w:rFonts w:hint="default" w:ascii="Times New Roman" w:hAnsi="Times New Roman" w:cs="Times New Roman"/>
                <w:color w:val="000000"/>
                <w:szCs w:val="21"/>
              </w:rPr>
              <w:t>4</w:t>
            </w:r>
          </w:p>
        </w:tc>
        <w:tc>
          <w:tcPr>
            <w:tcW w:w="5528" w:type="dxa"/>
            <w:gridSpan w:val="2"/>
            <w:tcBorders>
              <w:top w:val="single" w:color="auto" w:sz="4" w:space="0"/>
              <w:left w:val="single" w:color="auto" w:sz="4" w:space="0"/>
              <w:bottom w:val="single" w:color="auto" w:sz="4" w:space="0"/>
              <w:right w:val="single" w:color="auto" w:sz="4" w:space="0"/>
            </w:tcBorders>
            <w:vAlign w:val="center"/>
          </w:tcPr>
          <w:p>
            <w:pPr>
              <w:jc w:val="center"/>
              <w:textAlignment w:val="center"/>
              <w:rPr>
                <w:rFonts w:hint="default" w:ascii="Times New Roman" w:hAnsi="Times New Roman" w:cs="Times New Roman"/>
                <w:color w:val="000000"/>
                <w:szCs w:val="21"/>
              </w:rPr>
            </w:pPr>
            <w:r>
              <w:rPr>
                <w:rFonts w:hint="default" w:ascii="Times New Roman" w:hAnsi="Times New Roman" w:cs="Times New Roman"/>
                <w:color w:val="000000"/>
                <w:szCs w:val="21"/>
              </w:rPr>
              <w:t>耐久性要求</w:t>
            </w:r>
          </w:p>
        </w:tc>
        <w:tc>
          <w:tcPr>
            <w:tcW w:w="2548" w:type="dxa"/>
            <w:tcBorders>
              <w:top w:val="single" w:color="auto" w:sz="4" w:space="0"/>
              <w:left w:val="single" w:color="auto" w:sz="4" w:space="0"/>
              <w:bottom w:val="single" w:color="auto" w:sz="4" w:space="0"/>
              <w:right w:val="single" w:color="auto" w:sz="4" w:space="0"/>
            </w:tcBorders>
            <w:vAlign w:val="center"/>
          </w:tcPr>
          <w:p>
            <w:pPr>
              <w:jc w:val="center"/>
              <w:textAlignment w:val="center"/>
              <w:rPr>
                <w:rFonts w:hint="default" w:ascii="Times New Roman" w:hAnsi="Times New Roman" w:cs="Times New Roman"/>
                <w:color w:val="000000"/>
                <w:szCs w:val="21"/>
              </w:rPr>
            </w:pPr>
            <w:r>
              <w:rPr>
                <w:rFonts w:hint="default" w:ascii="Times New Roman" w:hAnsi="Times New Roman" w:cs="Times New Roman"/>
                <w:color w:val="000000"/>
                <w:szCs w:val="21"/>
              </w:rPr>
              <w:t>GB/T 26706</w:t>
            </w:r>
            <w:r>
              <w:rPr>
                <w:rFonts w:hint="default" w:ascii="Times New Roman" w:hAnsi="Times New Roman" w:cs="Times New Roman"/>
                <w:color w:val="000000"/>
                <w:szCs w:val="21"/>
              </w:rPr>
              <w:t>—</w:t>
            </w:r>
            <w:r>
              <w:rPr>
                <w:rFonts w:hint="default" w:ascii="Times New Roman" w:hAnsi="Times New Roman" w:cs="Times New Roman"/>
                <w:color w:val="000000"/>
                <w:szCs w:val="21"/>
              </w:rPr>
              <w:t>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2" w:hRule="atLeast"/>
          <w:jc w:val="center"/>
        </w:trPr>
        <w:tc>
          <w:tcPr>
            <w:tcW w:w="821" w:type="dxa"/>
            <w:tcBorders>
              <w:top w:val="single" w:color="auto" w:sz="4" w:space="0"/>
              <w:left w:val="single" w:color="auto" w:sz="4" w:space="0"/>
              <w:bottom w:val="single" w:color="auto" w:sz="4" w:space="0"/>
              <w:right w:val="single" w:color="auto" w:sz="4" w:space="0"/>
            </w:tcBorders>
            <w:vAlign w:val="center"/>
          </w:tcPr>
          <w:p>
            <w:pPr>
              <w:jc w:val="center"/>
              <w:textAlignment w:val="center"/>
              <w:rPr>
                <w:rFonts w:hint="default" w:ascii="Times New Roman" w:hAnsi="Times New Roman" w:cs="Times New Roman"/>
                <w:color w:val="000000"/>
                <w:szCs w:val="21"/>
              </w:rPr>
            </w:pPr>
            <w:r>
              <w:rPr>
                <w:rFonts w:hint="default" w:ascii="Times New Roman" w:hAnsi="Times New Roman" w:cs="Times New Roman"/>
                <w:color w:val="000000"/>
                <w:szCs w:val="21"/>
              </w:rPr>
              <w:t>5</w:t>
            </w:r>
          </w:p>
        </w:tc>
        <w:tc>
          <w:tcPr>
            <w:tcW w:w="5528" w:type="dxa"/>
            <w:gridSpan w:val="2"/>
            <w:tcBorders>
              <w:top w:val="single" w:color="auto" w:sz="4" w:space="0"/>
              <w:left w:val="single" w:color="auto" w:sz="4" w:space="0"/>
              <w:bottom w:val="single" w:color="auto" w:sz="4" w:space="0"/>
              <w:right w:val="single" w:color="auto" w:sz="4" w:space="0"/>
            </w:tcBorders>
            <w:vAlign w:val="center"/>
          </w:tcPr>
          <w:p>
            <w:pPr>
              <w:jc w:val="center"/>
              <w:textAlignment w:val="center"/>
              <w:rPr>
                <w:rFonts w:hint="default" w:ascii="Times New Roman" w:hAnsi="Times New Roman" w:cs="Times New Roman"/>
                <w:color w:val="000000"/>
                <w:szCs w:val="21"/>
              </w:rPr>
            </w:pPr>
            <w:r>
              <w:rPr>
                <w:rFonts w:hint="default" w:ascii="Times New Roman" w:hAnsi="Times New Roman" w:cs="Times New Roman"/>
                <w:color w:val="000000"/>
                <w:szCs w:val="21"/>
              </w:rPr>
              <w:t>抗引燃特性</w:t>
            </w:r>
          </w:p>
        </w:tc>
        <w:tc>
          <w:tcPr>
            <w:tcW w:w="2548" w:type="dxa"/>
            <w:tcBorders>
              <w:top w:val="single" w:color="auto" w:sz="4" w:space="0"/>
              <w:left w:val="single" w:color="auto" w:sz="4" w:space="0"/>
              <w:bottom w:val="single" w:color="auto" w:sz="4" w:space="0"/>
              <w:right w:val="single" w:color="auto" w:sz="4" w:space="0"/>
            </w:tcBorders>
            <w:vAlign w:val="center"/>
          </w:tcPr>
          <w:p>
            <w:pPr>
              <w:jc w:val="center"/>
              <w:textAlignment w:val="center"/>
              <w:rPr>
                <w:rFonts w:hint="default" w:ascii="Times New Roman" w:hAnsi="Times New Roman" w:cs="Times New Roman"/>
                <w:color w:val="000000"/>
                <w:szCs w:val="21"/>
              </w:rPr>
            </w:pPr>
            <w:r>
              <w:rPr>
                <w:rFonts w:hint="default" w:ascii="Times New Roman" w:hAnsi="Times New Roman" w:cs="Times New Roman"/>
                <w:color w:val="000000"/>
                <w:szCs w:val="21"/>
              </w:rPr>
              <w:t>GB 17927.1</w:t>
            </w:r>
            <w:r>
              <w:rPr>
                <w:rFonts w:hint="default" w:ascii="Times New Roman" w:hAnsi="Times New Roman" w:cs="Times New Roman"/>
                <w:color w:val="000000"/>
                <w:szCs w:val="21"/>
              </w:rPr>
              <w:t>—</w:t>
            </w:r>
            <w:r>
              <w:rPr>
                <w:rFonts w:hint="default" w:ascii="Times New Roman" w:hAnsi="Times New Roman" w:cs="Times New Roman"/>
                <w:color w:val="000000"/>
                <w:szCs w:val="21"/>
              </w:rPr>
              <w:t>2011</w:t>
            </w:r>
          </w:p>
          <w:p>
            <w:pPr>
              <w:jc w:val="center"/>
              <w:textAlignment w:val="center"/>
              <w:rPr>
                <w:rFonts w:hint="default" w:ascii="Times New Roman" w:hAnsi="Times New Roman" w:cs="Times New Roman"/>
                <w:color w:val="000000"/>
                <w:szCs w:val="21"/>
              </w:rPr>
            </w:pPr>
            <w:r>
              <w:rPr>
                <w:rFonts w:hint="default" w:ascii="Times New Roman" w:hAnsi="Times New Roman" w:cs="Times New Roman"/>
                <w:color w:val="000000"/>
                <w:szCs w:val="21"/>
              </w:rPr>
              <w:t>GB 17927.2</w:t>
            </w:r>
            <w:r>
              <w:rPr>
                <w:rFonts w:hint="default" w:ascii="Times New Roman" w:hAnsi="Times New Roman" w:cs="Times New Roman"/>
                <w:color w:val="000000"/>
                <w:szCs w:val="21"/>
              </w:rPr>
              <w:t>—</w:t>
            </w:r>
            <w:r>
              <w:rPr>
                <w:rFonts w:hint="default" w:ascii="Times New Roman" w:hAnsi="Times New Roman" w:cs="Times New Roman"/>
                <w:color w:val="000000"/>
                <w:szCs w:val="21"/>
              </w:rPr>
              <w:t>2011</w:t>
            </w:r>
          </w:p>
        </w:tc>
      </w:tr>
    </w:tbl>
    <w:p>
      <w:pPr>
        <w:adjustRightInd w:val="0"/>
        <w:snapToGrid w:val="0"/>
        <w:spacing w:line="440" w:lineRule="exact"/>
        <w:ind w:firstLine="420" w:firstLineChars="200"/>
        <w:rPr>
          <w:rFonts w:hint="default" w:ascii="Times New Roman" w:hAnsi="Times New Roman" w:cs="Times New Roman"/>
          <w:color w:val="000000"/>
          <w:szCs w:val="21"/>
        </w:rPr>
      </w:pPr>
      <w:r>
        <w:rPr>
          <w:rFonts w:hint="default" w:ascii="Times New Roman" w:hAnsi="Times New Roman" w:cs="Times New Roman"/>
          <w:color w:val="000000"/>
          <w:szCs w:val="21"/>
        </w:rPr>
        <w:t>执行企业标准、团体标准、地方标准的产品，检验项目参照上述内容执行。</w:t>
      </w:r>
    </w:p>
    <w:p>
      <w:pPr>
        <w:snapToGrid w:val="0"/>
        <w:spacing w:line="440" w:lineRule="exact"/>
        <w:ind w:firstLine="420" w:firstLineChars="200"/>
        <w:rPr>
          <w:rFonts w:hint="default" w:ascii="Times New Roman" w:hAnsi="Times New Roman" w:cs="Times New Roman"/>
          <w:color w:val="000000"/>
          <w:szCs w:val="21"/>
        </w:rPr>
      </w:pPr>
      <w:r>
        <w:rPr>
          <w:rFonts w:hint="default" w:ascii="Times New Roman" w:hAnsi="Times New Roman" w:cs="Times New Roman"/>
          <w:color w:val="000000"/>
          <w:szCs w:val="21"/>
        </w:rPr>
        <w:t>凡是注日期的文件，其随后所有的修改单（不包括勘误的内容）或修订版不适用于本细则。凡是不注日期的文件，其最新版本适用于本细则。</w:t>
      </w:r>
    </w:p>
    <w:p>
      <w:pPr>
        <w:snapToGrid w:val="0"/>
        <w:spacing w:line="440" w:lineRule="exact"/>
        <w:ind w:firstLine="420" w:firstLineChars="200"/>
        <w:rPr>
          <w:rFonts w:hint="default" w:ascii="Times New Roman" w:hAnsi="Times New Roman" w:cs="Times New Roman"/>
          <w:color w:val="000000"/>
          <w:szCs w:val="21"/>
        </w:rPr>
      </w:pPr>
    </w:p>
    <w:p>
      <w:pPr>
        <w:spacing w:line="360" w:lineRule="auto"/>
        <w:rPr>
          <w:rFonts w:hint="default" w:ascii="Times New Roman" w:hAnsi="Times New Roman" w:eastAsia="黑体" w:cs="Times New Roman"/>
          <w:color w:val="000000"/>
          <w:szCs w:val="21"/>
        </w:rPr>
      </w:pPr>
      <w:r>
        <w:rPr>
          <w:rFonts w:hint="default" w:ascii="Times New Roman" w:hAnsi="Times New Roman" w:eastAsia="黑体" w:cs="Times New Roman"/>
          <w:color w:val="000000"/>
          <w:szCs w:val="21"/>
        </w:rPr>
        <w:t>3 判定规则</w:t>
      </w:r>
    </w:p>
    <w:p>
      <w:pPr>
        <w:snapToGrid w:val="0"/>
        <w:spacing w:line="360" w:lineRule="auto"/>
        <w:rPr>
          <w:rFonts w:hint="default" w:ascii="Times New Roman" w:hAnsi="Times New Roman" w:cs="Times New Roman"/>
          <w:color w:val="000000"/>
          <w:szCs w:val="21"/>
        </w:rPr>
      </w:pPr>
      <w:r>
        <w:rPr>
          <w:rFonts w:hint="default" w:ascii="Times New Roman" w:hAnsi="Times New Roman" w:cs="Times New Roman"/>
          <w:color w:val="000000"/>
          <w:szCs w:val="21"/>
        </w:rPr>
        <w:t>3.1依据标准</w:t>
      </w:r>
    </w:p>
    <w:p>
      <w:pPr>
        <w:snapToGrid w:val="0"/>
        <w:spacing w:line="384" w:lineRule="auto"/>
        <w:ind w:firstLine="420" w:firstLineChars="200"/>
        <w:rPr>
          <w:rFonts w:hint="default" w:ascii="Times New Roman" w:hAnsi="Times New Roman" w:cs="Times New Roman"/>
          <w:color w:val="000000"/>
          <w:szCs w:val="21"/>
        </w:rPr>
      </w:pPr>
      <w:r>
        <w:rPr>
          <w:rFonts w:hint="default" w:ascii="Times New Roman" w:hAnsi="Times New Roman" w:cs="Times New Roman"/>
          <w:color w:val="000000"/>
          <w:szCs w:val="21"/>
        </w:rPr>
        <w:t>QB/T 1952.2—2011软体家具弹簧软床垫</w:t>
      </w:r>
    </w:p>
    <w:p>
      <w:pPr>
        <w:snapToGrid w:val="0"/>
        <w:spacing w:line="384" w:lineRule="auto"/>
        <w:ind w:firstLine="420" w:firstLineChars="200"/>
        <w:rPr>
          <w:rFonts w:hint="default" w:ascii="Times New Roman" w:hAnsi="Times New Roman" w:cs="Times New Roman"/>
          <w:color w:val="000000"/>
          <w:szCs w:val="21"/>
        </w:rPr>
      </w:pPr>
      <w:r>
        <w:rPr>
          <w:rFonts w:hint="default" w:ascii="Times New Roman" w:hAnsi="Times New Roman" w:cs="Times New Roman"/>
          <w:color w:val="000000"/>
          <w:szCs w:val="21"/>
        </w:rPr>
        <w:t>GB/T 26706—2011 软体家具棕纤维弹性床垫</w:t>
      </w:r>
    </w:p>
    <w:p>
      <w:pPr>
        <w:snapToGrid w:val="0"/>
        <w:spacing w:line="384" w:lineRule="auto"/>
        <w:ind w:firstLine="420" w:firstLineChars="200"/>
        <w:rPr>
          <w:rFonts w:hint="default" w:ascii="Times New Roman" w:hAnsi="Times New Roman" w:cs="Times New Roman"/>
          <w:color w:val="000000"/>
          <w:szCs w:val="21"/>
        </w:rPr>
      </w:pPr>
      <w:r>
        <w:rPr>
          <w:rFonts w:hint="default" w:ascii="Times New Roman" w:hAnsi="Times New Roman" w:cs="Times New Roman"/>
          <w:color w:val="000000"/>
          <w:szCs w:val="21"/>
        </w:rPr>
        <w:t>GB 17927.1—2011 软体家具 床垫和沙发 抗引燃特性的评定 第1部分：阴燃的香烟</w:t>
      </w:r>
    </w:p>
    <w:p>
      <w:pPr>
        <w:snapToGrid w:val="0"/>
        <w:spacing w:line="384" w:lineRule="auto"/>
        <w:ind w:firstLine="420" w:firstLineChars="200"/>
        <w:rPr>
          <w:rFonts w:hint="default" w:ascii="Times New Roman" w:hAnsi="Times New Roman" w:cs="Times New Roman"/>
          <w:color w:val="000000"/>
          <w:szCs w:val="21"/>
        </w:rPr>
      </w:pPr>
      <w:r>
        <w:rPr>
          <w:rFonts w:hint="default" w:ascii="Times New Roman" w:hAnsi="Times New Roman" w:cs="Times New Roman"/>
          <w:color w:val="000000"/>
          <w:szCs w:val="21"/>
        </w:rPr>
        <w:t>GB 17927.2—2011软体家具 床垫和沙发 抗引燃特性的评定 第2部分：模拟火柴火焰</w:t>
      </w:r>
    </w:p>
    <w:p>
      <w:pPr>
        <w:snapToGrid w:val="0"/>
        <w:spacing w:line="384" w:lineRule="auto"/>
        <w:ind w:firstLine="420" w:firstLineChars="200"/>
        <w:rPr>
          <w:rFonts w:hint="default" w:ascii="Times New Roman" w:hAnsi="Times New Roman" w:cs="Times New Roman"/>
          <w:color w:val="000000"/>
          <w:szCs w:val="21"/>
        </w:rPr>
      </w:pPr>
      <w:r>
        <w:rPr>
          <w:rFonts w:hint="default" w:ascii="Times New Roman" w:hAnsi="Times New Roman" w:cs="Times New Roman"/>
          <w:color w:val="000000"/>
          <w:szCs w:val="21"/>
        </w:rPr>
        <w:t>GB 18587—2001</w:t>
      </w:r>
      <w:r>
        <w:rPr>
          <w:rFonts w:hint="default" w:ascii="Times New Roman" w:hAnsi="Times New Roman" w:cs="Times New Roman"/>
          <w:color w:val="000000"/>
          <w:szCs w:val="21"/>
        </w:rPr>
        <w:t>室内装饰装修材料地毯、地毯衬垫及地毯胶合剂有害物质释放限量</w:t>
      </w:r>
    </w:p>
    <w:p>
      <w:pPr>
        <w:snapToGrid w:val="0"/>
        <w:spacing w:line="384" w:lineRule="auto"/>
        <w:ind w:firstLine="420" w:firstLineChars="200"/>
        <w:rPr>
          <w:rFonts w:hint="default" w:ascii="Times New Roman" w:hAnsi="Times New Roman" w:cs="Times New Roman"/>
          <w:color w:val="000000"/>
          <w:szCs w:val="21"/>
        </w:rPr>
      </w:pPr>
      <w:r>
        <w:rPr>
          <w:rFonts w:hint="default" w:ascii="Times New Roman" w:hAnsi="Times New Roman" w:cs="Times New Roman"/>
          <w:color w:val="000000"/>
          <w:szCs w:val="21"/>
        </w:rPr>
        <w:t>现行有效的企业标准、团体标准、地方标准及产品明示质量要求</w:t>
      </w:r>
    </w:p>
    <w:p>
      <w:pPr>
        <w:snapToGrid w:val="0"/>
        <w:spacing w:line="360" w:lineRule="auto"/>
        <w:rPr>
          <w:rFonts w:hint="default" w:ascii="Times New Roman" w:hAnsi="Times New Roman" w:cs="Times New Roman"/>
          <w:color w:val="000000"/>
          <w:szCs w:val="21"/>
        </w:rPr>
      </w:pPr>
      <w:r>
        <w:rPr>
          <w:rFonts w:hint="default" w:ascii="Times New Roman" w:hAnsi="Times New Roman" w:cs="Times New Roman"/>
          <w:color w:val="000000"/>
          <w:szCs w:val="21"/>
        </w:rPr>
        <w:t>3.2判定原则</w:t>
      </w:r>
    </w:p>
    <w:p>
      <w:pPr>
        <w:snapToGrid w:val="0"/>
        <w:spacing w:line="384" w:lineRule="auto"/>
        <w:ind w:firstLine="420" w:firstLineChars="200"/>
        <w:rPr>
          <w:rFonts w:hint="default" w:ascii="Times New Roman" w:hAnsi="Times New Roman" w:cs="Times New Roman"/>
          <w:color w:val="000000"/>
          <w:szCs w:val="21"/>
        </w:rPr>
      </w:pPr>
      <w:r>
        <w:rPr>
          <w:rFonts w:hint="default" w:ascii="Times New Roman" w:hAnsi="Times New Roman" w:cs="Times New Roman"/>
          <w:color w:val="000000"/>
          <w:szCs w:val="21"/>
        </w:rPr>
        <w:t>经检验，检验项目全部合格，判定为被抽查产品所检项目未发现不合格；检验项目中任一项或一项以上不合格，判定为被抽查产品不合格。</w:t>
      </w:r>
    </w:p>
    <w:p>
      <w:pPr>
        <w:snapToGrid w:val="0"/>
        <w:spacing w:line="384" w:lineRule="auto"/>
        <w:ind w:firstLine="420" w:firstLineChars="200"/>
        <w:rPr>
          <w:rFonts w:hint="default" w:ascii="Times New Roman" w:hAnsi="Times New Roman" w:cs="Times New Roman"/>
          <w:color w:val="000000"/>
          <w:szCs w:val="21"/>
        </w:rPr>
      </w:pPr>
      <w:r>
        <w:rPr>
          <w:rFonts w:hint="default" w:ascii="Times New Roman" w:hAnsi="Times New Roman" w:cs="Times New Roman"/>
          <w:color w:val="000000"/>
          <w:szCs w:val="21"/>
        </w:rPr>
        <w:t>若被检产品明示的质量要求高于本细则中检验项目依据的标准要求时，应按被检产品明示的质量要求判定。</w:t>
      </w:r>
    </w:p>
    <w:p>
      <w:pPr>
        <w:snapToGrid w:val="0"/>
        <w:spacing w:line="384" w:lineRule="auto"/>
        <w:ind w:firstLine="420" w:firstLineChars="200"/>
        <w:rPr>
          <w:rFonts w:hint="default" w:ascii="Times New Roman" w:hAnsi="Times New Roman" w:cs="Times New Roman"/>
          <w:color w:val="000000"/>
          <w:szCs w:val="21"/>
        </w:rPr>
      </w:pPr>
      <w:r>
        <w:rPr>
          <w:rFonts w:hint="default" w:ascii="Times New Roman" w:hAnsi="Times New Roman" w:cs="Times New Roman"/>
          <w:color w:val="000000"/>
          <w:szCs w:val="21"/>
        </w:rPr>
        <w:t>若被检产品明示的质量要求低于本细则中检验项目依据的强制性标准要求时，应按照强制性标准要求判定。</w:t>
      </w:r>
    </w:p>
    <w:p>
      <w:pPr>
        <w:snapToGrid w:val="0"/>
        <w:spacing w:line="384" w:lineRule="auto"/>
        <w:ind w:firstLine="420" w:firstLineChars="200"/>
        <w:rPr>
          <w:rFonts w:hint="default" w:ascii="Times New Roman" w:hAnsi="Times New Roman" w:cs="Times New Roman"/>
          <w:color w:val="000000"/>
          <w:szCs w:val="21"/>
        </w:rPr>
      </w:pPr>
      <w:r>
        <w:rPr>
          <w:rFonts w:hint="default" w:ascii="Times New Roman" w:hAnsi="Times New Roman" w:cs="Times New Roman"/>
          <w:color w:val="000000"/>
          <w:szCs w:val="21"/>
        </w:rPr>
        <w:t>若被检产品明示的质量要求低于或包含本细则中检验项目依据的推荐性标准要求时，应以被检产品明示的质量要求判定。</w:t>
      </w:r>
    </w:p>
    <w:p>
      <w:pPr>
        <w:snapToGrid w:val="0"/>
        <w:spacing w:line="384" w:lineRule="auto"/>
        <w:ind w:firstLine="420" w:firstLineChars="200"/>
        <w:rPr>
          <w:rFonts w:hint="default" w:ascii="Times New Roman" w:hAnsi="Times New Roman" w:cs="Times New Roman"/>
          <w:color w:val="000000"/>
          <w:szCs w:val="21"/>
        </w:rPr>
      </w:pPr>
      <w:r>
        <w:rPr>
          <w:rFonts w:hint="default" w:ascii="Times New Roman" w:hAnsi="Times New Roman" w:cs="Times New Roman"/>
          <w:color w:val="000000"/>
          <w:szCs w:val="21"/>
        </w:rPr>
        <w:t>若被检产品明示的质量要求缺少本细则中检验项目依据的强制性标准要求时，应按照强制性标准要求判定。</w:t>
      </w:r>
    </w:p>
    <w:p>
      <w:pPr>
        <w:snapToGrid w:val="0"/>
        <w:spacing w:line="384" w:lineRule="auto"/>
        <w:ind w:firstLine="420" w:firstLineChars="200"/>
        <w:rPr>
          <w:rFonts w:hint="default" w:ascii="Times New Roman" w:hAnsi="Times New Roman" w:cs="Times New Roman"/>
          <w:color w:val="000000"/>
          <w:szCs w:val="21"/>
        </w:rPr>
      </w:pPr>
      <w:r>
        <w:rPr>
          <w:rFonts w:hint="default" w:ascii="Times New Roman" w:hAnsi="Times New Roman" w:cs="Times New Roman"/>
          <w:color w:val="000000"/>
          <w:szCs w:val="21"/>
        </w:rPr>
        <w:t>若被检产品明示的质量要求缺少本细则中检验项目依据的推荐性标准要求时，该项目不参与判定。</w:t>
      </w:r>
    </w:p>
    <w:p>
      <w:pPr>
        <w:snapToGrid w:val="0"/>
        <w:spacing w:line="384" w:lineRule="auto"/>
        <w:ind w:firstLine="420" w:firstLineChars="200"/>
        <w:rPr>
          <w:rFonts w:hint="default" w:ascii="Times New Roman" w:hAnsi="Times New Roman" w:cs="Times New Roman"/>
          <w:color w:val="000000"/>
          <w:szCs w:val="21"/>
        </w:rPr>
      </w:pPr>
    </w:p>
    <w:p>
      <w:pPr>
        <w:spacing w:line="440" w:lineRule="exact"/>
        <w:rPr>
          <w:rFonts w:hint="default" w:ascii="Times New Roman" w:hAnsi="Times New Roman" w:eastAsia="黑体" w:cs="Times New Roman"/>
          <w:color w:val="000000"/>
          <w:szCs w:val="21"/>
        </w:rPr>
      </w:pPr>
      <w:r>
        <w:rPr>
          <w:rFonts w:hint="default" w:ascii="Times New Roman" w:hAnsi="Times New Roman" w:eastAsia="黑体" w:cs="Times New Roman"/>
          <w:color w:val="000000"/>
          <w:szCs w:val="21"/>
        </w:rPr>
        <w:t>4 附则</w:t>
      </w:r>
    </w:p>
    <w:p>
      <w:pPr>
        <w:snapToGrid w:val="0"/>
        <w:spacing w:line="384" w:lineRule="auto"/>
        <w:ind w:firstLine="420" w:firstLineChars="200"/>
        <w:rPr>
          <w:rFonts w:hint="default" w:ascii="Times New Roman" w:hAnsi="Times New Roman" w:cs="Times New Roman"/>
          <w:color w:val="000000"/>
          <w:szCs w:val="21"/>
        </w:rPr>
      </w:pPr>
      <w:r>
        <w:rPr>
          <w:rFonts w:hint="default" w:ascii="Times New Roman" w:hAnsi="Times New Roman" w:cs="Times New Roman"/>
          <w:color w:val="000000"/>
          <w:szCs w:val="21"/>
        </w:rPr>
        <w:t>本细则代替《贵州省市场监管局关于发布2022年版贵州省产品质量监督抽查实施细则（第一批）的公告》（黔市监公告〔2022〕46</w:t>
      </w:r>
      <w:bookmarkStart w:id="0" w:name="_GoBack"/>
      <w:bookmarkEnd w:id="0"/>
      <w:r>
        <w:rPr>
          <w:rFonts w:hint="default" w:ascii="Times New Roman" w:hAnsi="Times New Roman" w:cs="Times New Roman"/>
          <w:color w:val="000000"/>
          <w:szCs w:val="21"/>
        </w:rPr>
        <w:t>号）中的《贵州省床垫产品质量监督抽查实施细则（2022年版）》。</w:t>
      </w:r>
    </w:p>
    <w:sectPr>
      <w:footerReference r:id="rId3" w:type="default"/>
      <w:pgSz w:w="11906" w:h="16838"/>
      <w:pgMar w:top="1984" w:right="1474" w:bottom="1644" w:left="1474" w:header="851" w:footer="1191"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Courier New">
    <w:altName w:val="DejaVu Sans"/>
    <w:panose1 w:val="02070309020205020404"/>
    <w:charset w:val="00"/>
    <w:family w:val="modern"/>
    <w:pitch w:val="default"/>
    <w:sig w:usb0="00000000" w:usb1="00000000" w:usb2="00000009" w:usb3="00000000" w:csb0="000001FF" w:csb1="00000000"/>
  </w:font>
  <w:font w:name="仿宋">
    <w:altName w:val="方正仿宋_GBK"/>
    <w:panose1 w:val="02010609060101010101"/>
    <w:charset w:val="86"/>
    <w:family w:val="modern"/>
    <w:pitch w:val="default"/>
    <w:sig w:usb0="00000000" w:usb1="00000000" w:usb2="00000016" w:usb3="00000000" w:csb0="00040001" w:csb1="00000000"/>
  </w:font>
  <w:font w:name="方正小标宋_GBK">
    <w:panose1 w:val="02000000000000000000"/>
    <w:charset w:val="86"/>
    <w:family w:val="script"/>
    <w:pitch w:val="default"/>
    <w:sig w:usb0="00000001" w:usb1="08000000" w:usb2="00000000" w:usb3="00000000" w:csb0="00040000" w:csb1="00000000"/>
  </w:font>
  <w:font w:name="方正小标宋简体">
    <w:panose1 w:val="02000000000000000000"/>
    <w:charset w:val="86"/>
    <w:family w:val="script"/>
    <w:pitch w:val="default"/>
    <w:sig w:usb0="A00002BF" w:usb1="184F6CFA" w:usb2="00000012" w:usb3="00000000" w:csb0="00040001" w:csb1="00000000"/>
  </w:font>
  <w:font w:name="方正仿宋简体">
    <w:panose1 w:val="03000509000000000000"/>
    <w:charset w:val="86"/>
    <w:family w:val="auto"/>
    <w:pitch w:val="default"/>
    <w:sig w:usb0="00000001" w:usb1="080E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pict>
        <v:shape id="_x0000_s1025" o:spid="_x0000_s1025"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joinstyle="miter"/>
          <v:imagedata o:title=""/>
          <o:lock v:ext="edit"/>
          <v:textbox inset="0mm,0mm,0mm,0mm" style="mso-fit-shape-to-text:t;">
            <w:txbxContent>
              <w:p>
                <w:pPr>
                  <w:pStyle w:val="7"/>
                  <w:rPr>
                    <w:rFonts w:ascii="Times New Roman" w:hAnsi="Times New Roman"/>
                  </w:rPr>
                </w:pPr>
                <w:r>
                  <w:rPr>
                    <w:rFonts w:ascii="Times New Roman" w:hAnsi="Times New Roman"/>
                  </w:rPr>
                  <w:fldChar w:fldCharType="begin"/>
                </w:r>
                <w:r>
                  <w:rPr>
                    <w:rFonts w:ascii="Times New Roman" w:hAnsi="Times New Roman"/>
                  </w:rPr>
                  <w:instrText xml:space="preserve"> PAGE  \* MERGEFORMAT </w:instrText>
                </w:r>
                <w:r>
                  <w:rPr>
                    <w:rFonts w:ascii="Times New Roman" w:hAnsi="Times New Roman"/>
                  </w:rPr>
                  <w:fldChar w:fldCharType="separate"/>
                </w:r>
                <w:r>
                  <w:rPr>
                    <w:rFonts w:ascii="Times New Roman" w:hAnsi="Times New Roman"/>
                  </w:rPr>
                  <w:t>2</w:t>
                </w:r>
                <w:r>
                  <w:rPr>
                    <w:rFonts w:ascii="Times New Roman" w:hAnsi="Times New Roman"/>
                  </w:rPr>
                  <w:fldChar w:fldCharType="end"/>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003611BA"/>
    <w:rsid w:val="00001CE7"/>
    <w:rsid w:val="00005AA7"/>
    <w:rsid w:val="00014997"/>
    <w:rsid w:val="00052D0A"/>
    <w:rsid w:val="0006741A"/>
    <w:rsid w:val="00080190"/>
    <w:rsid w:val="000A0C0F"/>
    <w:rsid w:val="000A1F68"/>
    <w:rsid w:val="000A5883"/>
    <w:rsid w:val="000B7B2B"/>
    <w:rsid w:val="0010045C"/>
    <w:rsid w:val="001134E2"/>
    <w:rsid w:val="0013450E"/>
    <w:rsid w:val="00135D58"/>
    <w:rsid w:val="00144A8A"/>
    <w:rsid w:val="0014671B"/>
    <w:rsid w:val="001479E1"/>
    <w:rsid w:val="00175325"/>
    <w:rsid w:val="001960E8"/>
    <w:rsid w:val="00197FAE"/>
    <w:rsid w:val="001B1ECE"/>
    <w:rsid w:val="001B3557"/>
    <w:rsid w:val="001D3021"/>
    <w:rsid w:val="001E7E75"/>
    <w:rsid w:val="001F4D89"/>
    <w:rsid w:val="002426E5"/>
    <w:rsid w:val="002642D1"/>
    <w:rsid w:val="00266BED"/>
    <w:rsid w:val="00280D69"/>
    <w:rsid w:val="00283526"/>
    <w:rsid w:val="00287CFB"/>
    <w:rsid w:val="002A1067"/>
    <w:rsid w:val="002B2D19"/>
    <w:rsid w:val="002C75FA"/>
    <w:rsid w:val="002F3260"/>
    <w:rsid w:val="00301FD0"/>
    <w:rsid w:val="00341366"/>
    <w:rsid w:val="00342341"/>
    <w:rsid w:val="00354255"/>
    <w:rsid w:val="00355360"/>
    <w:rsid w:val="003611BA"/>
    <w:rsid w:val="003701D3"/>
    <w:rsid w:val="0039351D"/>
    <w:rsid w:val="003B28E3"/>
    <w:rsid w:val="003C4925"/>
    <w:rsid w:val="003D6EDD"/>
    <w:rsid w:val="003E34AA"/>
    <w:rsid w:val="004565AD"/>
    <w:rsid w:val="004A4DFC"/>
    <w:rsid w:val="004B599D"/>
    <w:rsid w:val="004C6EAB"/>
    <w:rsid w:val="004C79DF"/>
    <w:rsid w:val="004D05AF"/>
    <w:rsid w:val="00507AE0"/>
    <w:rsid w:val="0051512A"/>
    <w:rsid w:val="00560FE5"/>
    <w:rsid w:val="00624DD6"/>
    <w:rsid w:val="006350F9"/>
    <w:rsid w:val="00652075"/>
    <w:rsid w:val="00652B40"/>
    <w:rsid w:val="0066041C"/>
    <w:rsid w:val="00660FFF"/>
    <w:rsid w:val="0067449B"/>
    <w:rsid w:val="00675807"/>
    <w:rsid w:val="006C75F5"/>
    <w:rsid w:val="006F3686"/>
    <w:rsid w:val="006F6818"/>
    <w:rsid w:val="00700705"/>
    <w:rsid w:val="007032EA"/>
    <w:rsid w:val="00712FE6"/>
    <w:rsid w:val="00721DBD"/>
    <w:rsid w:val="00766407"/>
    <w:rsid w:val="00772A62"/>
    <w:rsid w:val="007C5B37"/>
    <w:rsid w:val="007E7B78"/>
    <w:rsid w:val="00801099"/>
    <w:rsid w:val="0081765C"/>
    <w:rsid w:val="008447EF"/>
    <w:rsid w:val="008536DB"/>
    <w:rsid w:val="00863267"/>
    <w:rsid w:val="0086350C"/>
    <w:rsid w:val="00863F48"/>
    <w:rsid w:val="00872CC4"/>
    <w:rsid w:val="008737DB"/>
    <w:rsid w:val="00897986"/>
    <w:rsid w:val="008E4C32"/>
    <w:rsid w:val="008F131B"/>
    <w:rsid w:val="00911043"/>
    <w:rsid w:val="00933214"/>
    <w:rsid w:val="00963128"/>
    <w:rsid w:val="00971B6B"/>
    <w:rsid w:val="009A6925"/>
    <w:rsid w:val="009B3AF3"/>
    <w:rsid w:val="009B48C4"/>
    <w:rsid w:val="009C1C38"/>
    <w:rsid w:val="009D2CD9"/>
    <w:rsid w:val="009D2E2A"/>
    <w:rsid w:val="009E6086"/>
    <w:rsid w:val="009F189F"/>
    <w:rsid w:val="00A034D7"/>
    <w:rsid w:val="00A055B0"/>
    <w:rsid w:val="00A0674B"/>
    <w:rsid w:val="00A5157E"/>
    <w:rsid w:val="00A66A3D"/>
    <w:rsid w:val="00A7543F"/>
    <w:rsid w:val="00A77E8A"/>
    <w:rsid w:val="00A916BA"/>
    <w:rsid w:val="00AB2350"/>
    <w:rsid w:val="00AB462B"/>
    <w:rsid w:val="00AE1821"/>
    <w:rsid w:val="00AE471A"/>
    <w:rsid w:val="00AE5734"/>
    <w:rsid w:val="00AF5572"/>
    <w:rsid w:val="00B26562"/>
    <w:rsid w:val="00B51584"/>
    <w:rsid w:val="00B54E2B"/>
    <w:rsid w:val="00B55224"/>
    <w:rsid w:val="00B80476"/>
    <w:rsid w:val="00B908E9"/>
    <w:rsid w:val="00B97F97"/>
    <w:rsid w:val="00BC542A"/>
    <w:rsid w:val="00BD2490"/>
    <w:rsid w:val="00BF0959"/>
    <w:rsid w:val="00C17712"/>
    <w:rsid w:val="00C17F20"/>
    <w:rsid w:val="00C207B1"/>
    <w:rsid w:val="00C21785"/>
    <w:rsid w:val="00C345BB"/>
    <w:rsid w:val="00C46A22"/>
    <w:rsid w:val="00C57739"/>
    <w:rsid w:val="00C83DBF"/>
    <w:rsid w:val="00C87AB5"/>
    <w:rsid w:val="00C9467F"/>
    <w:rsid w:val="00CA6A3B"/>
    <w:rsid w:val="00CB316D"/>
    <w:rsid w:val="00CD3877"/>
    <w:rsid w:val="00CF5F1B"/>
    <w:rsid w:val="00D1325F"/>
    <w:rsid w:val="00D31DB4"/>
    <w:rsid w:val="00D42ED8"/>
    <w:rsid w:val="00D511A7"/>
    <w:rsid w:val="00D6657B"/>
    <w:rsid w:val="00D732ED"/>
    <w:rsid w:val="00D85C2A"/>
    <w:rsid w:val="00D879A0"/>
    <w:rsid w:val="00D9506C"/>
    <w:rsid w:val="00DC0140"/>
    <w:rsid w:val="00DD7E3B"/>
    <w:rsid w:val="00E1076E"/>
    <w:rsid w:val="00E1489E"/>
    <w:rsid w:val="00E24FC8"/>
    <w:rsid w:val="00E44C40"/>
    <w:rsid w:val="00E648F6"/>
    <w:rsid w:val="00E96130"/>
    <w:rsid w:val="00EA38DE"/>
    <w:rsid w:val="00EA6934"/>
    <w:rsid w:val="00ED03C4"/>
    <w:rsid w:val="00EF0AC2"/>
    <w:rsid w:val="00F54BA6"/>
    <w:rsid w:val="00F63EC8"/>
    <w:rsid w:val="00F87966"/>
    <w:rsid w:val="00FA2884"/>
    <w:rsid w:val="00FA45C8"/>
    <w:rsid w:val="00FA59DC"/>
    <w:rsid w:val="00FC0C80"/>
    <w:rsid w:val="00FD5380"/>
    <w:rsid w:val="00FE1549"/>
    <w:rsid w:val="00FF1D7E"/>
    <w:rsid w:val="01757279"/>
    <w:rsid w:val="02394E6E"/>
    <w:rsid w:val="071C39DD"/>
    <w:rsid w:val="0C3020D5"/>
    <w:rsid w:val="14707C4A"/>
    <w:rsid w:val="14A748C1"/>
    <w:rsid w:val="1B146325"/>
    <w:rsid w:val="29817179"/>
    <w:rsid w:val="2C062286"/>
    <w:rsid w:val="44783A96"/>
    <w:rsid w:val="4A1D0919"/>
    <w:rsid w:val="55CC633D"/>
    <w:rsid w:val="57BFB788"/>
    <w:rsid w:val="60D566FD"/>
    <w:rsid w:val="61D054C2"/>
    <w:rsid w:val="61F5033B"/>
    <w:rsid w:val="652F585C"/>
    <w:rsid w:val="6CD32CB6"/>
    <w:rsid w:val="723415EF"/>
    <w:rsid w:val="7BE938B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0"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qFormat="1" w:unhideWhenUsed="0" w:uiPriority="0" w:semiHidden="0"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link w:val="15"/>
    <w:qFormat/>
    <w:uiPriority w:val="9"/>
    <w:pPr>
      <w:keepNext/>
      <w:keepLines/>
      <w:spacing w:before="340" w:after="330" w:line="578" w:lineRule="auto"/>
      <w:outlineLvl w:val="0"/>
    </w:pPr>
    <w:rPr>
      <w:b/>
      <w:bCs/>
      <w:kern w:val="44"/>
      <w:sz w:val="44"/>
      <w:szCs w:val="44"/>
    </w:rPr>
  </w:style>
  <w:style w:type="character" w:default="1" w:styleId="12">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semiHidden/>
    <w:unhideWhenUsed/>
    <w:qFormat/>
    <w:uiPriority w:val="99"/>
    <w:pPr>
      <w:jc w:val="left"/>
    </w:pPr>
  </w:style>
  <w:style w:type="paragraph" w:styleId="4">
    <w:name w:val="Body Text Indent"/>
    <w:basedOn w:val="1"/>
    <w:link w:val="16"/>
    <w:qFormat/>
    <w:uiPriority w:val="0"/>
    <w:pPr>
      <w:ind w:firstLine="600" w:firstLineChars="200"/>
    </w:pPr>
    <w:rPr>
      <w:rFonts w:ascii="Times New Roman" w:hAnsi="Times New Roman" w:eastAsia="仿宋_GB2312"/>
      <w:sz w:val="30"/>
      <w:szCs w:val="24"/>
    </w:rPr>
  </w:style>
  <w:style w:type="paragraph" w:styleId="5">
    <w:name w:val="Plain Text"/>
    <w:basedOn w:val="1"/>
    <w:link w:val="17"/>
    <w:unhideWhenUsed/>
    <w:qFormat/>
    <w:uiPriority w:val="99"/>
    <w:rPr>
      <w:rFonts w:ascii="宋体" w:hAnsi="Courier New"/>
      <w:kern w:val="0"/>
      <w:sz w:val="20"/>
      <w:szCs w:val="20"/>
    </w:rPr>
  </w:style>
  <w:style w:type="paragraph" w:styleId="6">
    <w:name w:val="Balloon Text"/>
    <w:basedOn w:val="1"/>
    <w:link w:val="18"/>
    <w:unhideWhenUsed/>
    <w:qFormat/>
    <w:uiPriority w:val="99"/>
    <w:rPr>
      <w:sz w:val="18"/>
      <w:szCs w:val="18"/>
    </w:rPr>
  </w:style>
  <w:style w:type="paragraph" w:styleId="7">
    <w:name w:val="footer"/>
    <w:basedOn w:val="1"/>
    <w:link w:val="19"/>
    <w:unhideWhenUsed/>
    <w:qFormat/>
    <w:uiPriority w:val="99"/>
    <w:pPr>
      <w:tabs>
        <w:tab w:val="center" w:pos="4153"/>
        <w:tab w:val="right" w:pos="8306"/>
      </w:tabs>
      <w:snapToGrid w:val="0"/>
      <w:jc w:val="left"/>
    </w:pPr>
    <w:rPr>
      <w:sz w:val="18"/>
      <w:szCs w:val="18"/>
    </w:rPr>
  </w:style>
  <w:style w:type="paragraph" w:styleId="8">
    <w:name w:val="header"/>
    <w:basedOn w:val="1"/>
    <w:link w:val="20"/>
    <w:unhideWhenUsed/>
    <w:qFormat/>
    <w:uiPriority w:val="0"/>
    <w:pPr>
      <w:pBdr>
        <w:bottom w:val="single" w:color="auto" w:sz="6" w:space="1"/>
      </w:pBdr>
      <w:tabs>
        <w:tab w:val="center" w:pos="4153"/>
        <w:tab w:val="right" w:pos="8306"/>
      </w:tabs>
      <w:snapToGrid w:val="0"/>
      <w:jc w:val="center"/>
    </w:pPr>
    <w:rPr>
      <w:sz w:val="18"/>
      <w:szCs w:val="18"/>
    </w:rPr>
  </w:style>
  <w:style w:type="paragraph" w:styleId="9">
    <w:name w:val="Body Text Indent 3"/>
    <w:basedOn w:val="1"/>
    <w:link w:val="21"/>
    <w:qFormat/>
    <w:uiPriority w:val="0"/>
    <w:pPr>
      <w:widowControl/>
      <w:autoSpaceDE w:val="0"/>
      <w:autoSpaceDN w:val="0"/>
      <w:adjustRightInd w:val="0"/>
      <w:snapToGrid w:val="0"/>
      <w:spacing w:line="600" w:lineRule="exact"/>
      <w:ind w:left="646" w:leftChars="323" w:firstLine="643" w:firstLineChars="201"/>
    </w:pPr>
    <w:rPr>
      <w:rFonts w:ascii="仿宋_GB2312" w:hAnsi="Times New Roman" w:eastAsia="仿宋_GB2312"/>
      <w:kern w:val="0"/>
      <w:sz w:val="32"/>
      <w:szCs w:val="20"/>
    </w:rPr>
  </w:style>
  <w:style w:type="table" w:styleId="11">
    <w:name w:val="Table Grid"/>
    <w:basedOn w:val="10"/>
    <w:qFormat/>
    <w:uiPriority w:val="0"/>
    <w:pPr>
      <w:widowControl w:val="0"/>
      <w:jc w:val="both"/>
    </w:pPr>
    <w:rPr>
      <w:rFonts w:ascii="Calibri" w:hAnsi="Calibr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3">
    <w:name w:val="page number"/>
    <w:basedOn w:val="12"/>
    <w:qFormat/>
    <w:uiPriority w:val="0"/>
  </w:style>
  <w:style w:type="character" w:styleId="14">
    <w:name w:val="annotation reference"/>
    <w:basedOn w:val="12"/>
    <w:semiHidden/>
    <w:unhideWhenUsed/>
    <w:qFormat/>
    <w:uiPriority w:val="99"/>
    <w:rPr>
      <w:sz w:val="21"/>
      <w:szCs w:val="21"/>
    </w:rPr>
  </w:style>
  <w:style w:type="character" w:customStyle="1" w:styleId="15">
    <w:name w:val="标题 1 字符"/>
    <w:basedOn w:val="12"/>
    <w:link w:val="2"/>
    <w:qFormat/>
    <w:uiPriority w:val="9"/>
    <w:rPr>
      <w:rFonts w:ascii="Calibri" w:hAnsi="Calibri" w:eastAsia="宋体" w:cs="Times New Roman"/>
      <w:b/>
      <w:bCs/>
      <w:kern w:val="44"/>
      <w:sz w:val="44"/>
      <w:szCs w:val="44"/>
    </w:rPr>
  </w:style>
  <w:style w:type="character" w:customStyle="1" w:styleId="16">
    <w:name w:val="正文文本缩进 字符"/>
    <w:basedOn w:val="12"/>
    <w:link w:val="4"/>
    <w:qFormat/>
    <w:uiPriority w:val="0"/>
    <w:rPr>
      <w:rFonts w:ascii="Times New Roman" w:hAnsi="Times New Roman" w:eastAsia="仿宋_GB2312" w:cs="Times New Roman"/>
      <w:sz w:val="30"/>
      <w:szCs w:val="24"/>
    </w:rPr>
  </w:style>
  <w:style w:type="character" w:customStyle="1" w:styleId="17">
    <w:name w:val="纯文本 字符"/>
    <w:basedOn w:val="12"/>
    <w:link w:val="5"/>
    <w:qFormat/>
    <w:uiPriority w:val="99"/>
    <w:rPr>
      <w:rFonts w:ascii="宋体" w:hAnsi="Courier New" w:eastAsia="宋体" w:cs="Times New Roman"/>
      <w:kern w:val="0"/>
      <w:sz w:val="20"/>
      <w:szCs w:val="20"/>
    </w:rPr>
  </w:style>
  <w:style w:type="character" w:customStyle="1" w:styleId="18">
    <w:name w:val="批注框文本 字符"/>
    <w:basedOn w:val="12"/>
    <w:link w:val="6"/>
    <w:qFormat/>
    <w:uiPriority w:val="99"/>
    <w:rPr>
      <w:rFonts w:ascii="Calibri" w:hAnsi="Calibri" w:eastAsia="宋体" w:cs="Times New Roman"/>
      <w:sz w:val="18"/>
      <w:szCs w:val="18"/>
    </w:rPr>
  </w:style>
  <w:style w:type="character" w:customStyle="1" w:styleId="19">
    <w:name w:val="页脚 字符"/>
    <w:basedOn w:val="12"/>
    <w:link w:val="7"/>
    <w:qFormat/>
    <w:uiPriority w:val="99"/>
    <w:rPr>
      <w:rFonts w:ascii="Calibri" w:hAnsi="Calibri" w:eastAsia="宋体" w:cs="Times New Roman"/>
      <w:sz w:val="18"/>
      <w:szCs w:val="18"/>
    </w:rPr>
  </w:style>
  <w:style w:type="character" w:customStyle="1" w:styleId="20">
    <w:name w:val="页眉 字符1"/>
    <w:basedOn w:val="12"/>
    <w:link w:val="8"/>
    <w:qFormat/>
    <w:uiPriority w:val="0"/>
    <w:rPr>
      <w:rFonts w:ascii="Calibri" w:hAnsi="Calibri" w:eastAsia="宋体" w:cs="Times New Roman"/>
      <w:sz w:val="18"/>
      <w:szCs w:val="18"/>
    </w:rPr>
  </w:style>
  <w:style w:type="character" w:customStyle="1" w:styleId="21">
    <w:name w:val="正文文本缩进 3 字符"/>
    <w:basedOn w:val="12"/>
    <w:link w:val="9"/>
    <w:qFormat/>
    <w:uiPriority w:val="0"/>
    <w:rPr>
      <w:rFonts w:ascii="仿宋_GB2312" w:hAnsi="Times New Roman" w:eastAsia="仿宋_GB2312" w:cs="Times New Roman"/>
      <w:kern w:val="0"/>
      <w:sz w:val="32"/>
      <w:szCs w:val="20"/>
    </w:rPr>
  </w:style>
  <w:style w:type="character" w:customStyle="1" w:styleId="22">
    <w:name w:val="页眉 字符"/>
    <w:qFormat/>
    <w:uiPriority w:val="0"/>
    <w:rPr>
      <w:kern w:val="2"/>
      <w:sz w:val="18"/>
      <w:szCs w:val="18"/>
    </w:rPr>
  </w:style>
  <w:style w:type="paragraph" w:customStyle="1" w:styleId="23">
    <w:name w:val="Char11"/>
    <w:basedOn w:val="1"/>
    <w:qFormat/>
    <w:uiPriority w:val="0"/>
    <w:pPr>
      <w:jc w:val="center"/>
    </w:pPr>
    <w:rPr>
      <w:rFonts w:ascii="Times New Roman" w:hAnsi="Times New Roman"/>
      <w:szCs w:val="21"/>
    </w:rPr>
  </w:style>
  <w:style w:type="paragraph" w:customStyle="1" w:styleId="24">
    <w:name w:val="Char Char"/>
    <w:basedOn w:val="1"/>
    <w:semiHidden/>
    <w:qFormat/>
    <w:uiPriority w:val="0"/>
    <w:rPr>
      <w:rFonts w:ascii="Times New Roman" w:hAnsi="Times New Roman"/>
      <w:szCs w:val="20"/>
    </w:rPr>
  </w:style>
  <w:style w:type="paragraph" w:customStyle="1" w:styleId="25">
    <w:name w:val="列出段落1"/>
    <w:basedOn w:val="1"/>
    <w:qFormat/>
    <w:uiPriority w:val="34"/>
    <w:pPr>
      <w:ind w:firstLine="420" w:firstLineChars="200"/>
    </w:pPr>
  </w:style>
  <w:style w:type="paragraph" w:customStyle="1" w:styleId="26">
    <w:name w:val="列出段落2"/>
    <w:basedOn w:val="1"/>
    <w:qFormat/>
    <w:uiPriority w:val="99"/>
    <w:pPr>
      <w:ind w:firstLine="420" w:firstLineChars="200"/>
    </w:pPr>
  </w:style>
  <w:style w:type="paragraph" w:customStyle="1" w:styleId="27">
    <w:name w:val="Default"/>
    <w:qFormat/>
    <w:uiPriority w:val="0"/>
    <w:pPr>
      <w:widowControl w:val="0"/>
      <w:autoSpaceDE w:val="0"/>
      <w:autoSpaceDN w:val="0"/>
      <w:adjustRightInd w:val="0"/>
    </w:pPr>
    <w:rPr>
      <w:rFonts w:ascii="仿宋" w:hAnsi="Times New Roman" w:eastAsia="仿宋" w:cs="仿宋"/>
      <w:color w:val="000000"/>
      <w:sz w:val="24"/>
      <w:szCs w:val="24"/>
      <w:lang w:val="en-US" w:eastAsia="zh-CN" w:bidi="ar-SA"/>
    </w:rPr>
  </w:style>
  <w:style w:type="paragraph" w:customStyle="1" w:styleId="28">
    <w:name w:val="正文1"/>
    <w:basedOn w:val="1"/>
    <w:qFormat/>
    <w:uiPriority w:val="0"/>
    <w:pPr>
      <w:adjustRightInd w:val="0"/>
      <w:spacing w:before="120" w:after="120" w:line="300" w:lineRule="auto"/>
      <w:jc w:val="center"/>
      <w:textAlignment w:val="baseline"/>
    </w:pPr>
    <w:rPr>
      <w:rFonts w:ascii="Times New Roman" w:hAnsi="Times New Roman"/>
      <w:szCs w:val="20"/>
    </w:rPr>
  </w:style>
  <w:style w:type="paragraph" w:customStyle="1" w:styleId="29">
    <w:name w:val="段"/>
    <w:link w:val="31"/>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styleId="30">
    <w:name w:val="List Paragraph"/>
    <w:basedOn w:val="1"/>
    <w:qFormat/>
    <w:uiPriority w:val="34"/>
    <w:pPr>
      <w:ind w:firstLine="420" w:firstLineChars="200"/>
    </w:pPr>
  </w:style>
  <w:style w:type="character" w:customStyle="1" w:styleId="31">
    <w:name w:val="段 Char"/>
    <w:link w:val="29"/>
    <w:qFormat/>
    <w:uiPriority w:val="0"/>
    <w:rPr>
      <w:rFonts w:ascii="宋体" w:hAnsi="Times New Roman" w:eastAsia="宋体" w:cs="Times New Roman"/>
      <w:kern w:val="0"/>
      <w:szCs w:val="20"/>
    </w:rPr>
  </w:style>
  <w:style w:type="character" w:customStyle="1" w:styleId="32">
    <w:name w:val="ask-title"/>
    <w:basedOn w:val="12"/>
    <w:qFormat/>
    <w:uiPriority w:val="0"/>
  </w:style>
  <w:style w:type="character" w:customStyle="1" w:styleId="33">
    <w:name w:val="纯文本 Char1"/>
    <w:qFormat/>
    <w:uiPriority w:val="99"/>
    <w:rPr>
      <w:rFonts w:ascii="宋体" w:hAnsi="Courier New"/>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Lenovo</Company>
  <Pages>3</Pages>
  <Words>235</Words>
  <Characters>1342</Characters>
  <Lines>11</Lines>
  <Paragraphs>3</Paragraphs>
  <TotalTime>85</TotalTime>
  <ScaleCrop>false</ScaleCrop>
  <LinksUpToDate>false</LinksUpToDate>
  <CharactersWithSpaces>1574</CharactersWithSpaces>
  <Application>WPS Office_11.8.2.10489_F1E327BC-269C-435d-A152-05C5408002CA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2020-06-08T07:12:00Z</dcterms:created>
  <dc:creator>lenovo</dc:creator>
  <cp:lastModifiedBy>ysgz</cp:lastModifiedBy>
  <dcterms:modified xsi:type="dcterms:W3CDTF">2023-07-21T09:50:30Z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2052-11.8.2.10489</vt:lpwstr>
  </property>
  <property fmtid="{D5CDD505-2E9C-101B-9397-08002B2CF9AE}" pid="3" name="KSOSaveFontToCloudKey">
    <vt:lpwstr>333935165_cloud</vt:lpwstr>
  </property>
  <property fmtid="{D5CDD505-2E9C-101B-9397-08002B2CF9AE}" pid="4" name="ICV">
    <vt:lpwstr>87A20EE0565042CE9DA56CE10F349474</vt:lpwstr>
  </property>
</Properties>
</file>