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hint="default" w:ascii="Times New Roman" w:hAnsi="Times New Roman" w:eastAsia="方正小标宋_GBK" w:cs="Times New Roman"/>
          <w:color w:val="000000"/>
          <w:sz w:val="32"/>
          <w:szCs w:val="32"/>
        </w:rPr>
      </w:pPr>
      <w:r>
        <w:rPr>
          <w:rFonts w:hint="default" w:ascii="Times New Roman" w:hAnsi="Times New Roman" w:eastAsia="方正小标宋_GBK" w:cs="Times New Roman"/>
          <w:color w:val="000000"/>
          <w:sz w:val="32"/>
          <w:szCs w:val="32"/>
        </w:rPr>
        <w:t>贵州省一次性竹木筷产品质量监督抽查实施细则</w:t>
      </w:r>
    </w:p>
    <w:p>
      <w:pPr>
        <w:adjustRightInd w:val="0"/>
        <w:snapToGrid w:val="0"/>
        <w:spacing w:line="440" w:lineRule="exact"/>
        <w:jc w:val="center"/>
        <w:rPr>
          <w:rFonts w:hint="default" w:ascii="Times New Roman" w:hAnsi="Times New Roman" w:eastAsia="楷体_GB2312" w:cs="Times New Roman"/>
          <w:color w:val="000000"/>
          <w:sz w:val="32"/>
          <w:szCs w:val="32"/>
        </w:rPr>
      </w:pPr>
      <w:r>
        <w:rPr>
          <w:rFonts w:hint="default" w:ascii="Times New Roman" w:hAnsi="Times New Roman" w:eastAsia="楷体_GB2312" w:cs="Times New Roman"/>
          <w:color w:val="000000"/>
          <w:sz w:val="32"/>
          <w:szCs w:val="32"/>
        </w:rPr>
        <w:t>（2023年版）</w:t>
      </w:r>
    </w:p>
    <w:p>
      <w:pPr>
        <w:adjustRightInd w:val="0"/>
        <w:snapToGrid w:val="0"/>
        <w:spacing w:line="594" w:lineRule="exact"/>
        <w:jc w:val="center"/>
        <w:rPr>
          <w:rFonts w:hint="default" w:ascii="Times New Roman" w:hAnsi="Times New Roman" w:eastAsia="方正小标宋简体" w:cs="Times New Roman"/>
          <w:color w:val="000000"/>
          <w:sz w:val="32"/>
          <w:szCs w:val="32"/>
        </w:rPr>
      </w:pPr>
      <w:bookmarkStart w:id="1" w:name="_GoBack"/>
      <w:bookmarkEnd w:id="1"/>
    </w:p>
    <w:p>
      <w:pPr>
        <w:snapToGrid w:val="0"/>
        <w:spacing w:line="440" w:lineRule="exact"/>
        <w:outlineLvl w:val="0"/>
        <w:rPr>
          <w:rFonts w:hint="default" w:ascii="Times New Roman" w:hAnsi="Times New Roman" w:eastAsia="黑体" w:cs="Times New Roman"/>
          <w:color w:val="000000"/>
        </w:rPr>
      </w:pPr>
      <w:r>
        <w:rPr>
          <w:rFonts w:hint="default" w:ascii="Times New Roman" w:hAnsi="Times New Roman" w:eastAsia="黑体" w:cs="Times New Roman"/>
          <w:color w:val="000000"/>
        </w:rPr>
        <w:t xml:space="preserve">1 </w:t>
      </w:r>
      <w:r>
        <w:rPr>
          <w:rFonts w:hint="default" w:ascii="Times New Roman" w:hAnsi="Times New Roman" w:eastAsia="黑体" w:cs="Times New Roman"/>
          <w:color w:val="000000"/>
        </w:rPr>
        <w:t>抽样方法</w:t>
      </w:r>
    </w:p>
    <w:p>
      <w:pPr>
        <w:snapToGrid w:val="0"/>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rPr>
        <w:t>随机数一般可使用随机数表等方法产生。</w:t>
      </w:r>
    </w:p>
    <w:p>
      <w:pPr>
        <w:snapToGrid w:val="0"/>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rPr>
        <w:t>每批次产品抽取样品200</w:t>
      </w:r>
      <w:r>
        <w:rPr>
          <w:rFonts w:hint="default" w:ascii="Times New Roman" w:hAnsi="Times New Roman" w:cs="Times New Roman"/>
        </w:rPr>
        <w:t>双</w:t>
      </w:r>
      <w:r>
        <w:rPr>
          <w:rFonts w:hint="default" w:ascii="Times New Roman" w:hAnsi="Times New Roman" w:cs="Times New Roman"/>
        </w:rPr>
        <w:t>，其中100</w:t>
      </w:r>
      <w:r>
        <w:rPr>
          <w:rFonts w:hint="default" w:ascii="Times New Roman" w:hAnsi="Times New Roman" w:cs="Times New Roman"/>
        </w:rPr>
        <w:t>双</w:t>
      </w:r>
      <w:r>
        <w:rPr>
          <w:rFonts w:hint="default" w:ascii="Times New Roman" w:hAnsi="Times New Roman" w:cs="Times New Roman"/>
        </w:rPr>
        <w:t>作为检验样品，100</w:t>
      </w:r>
      <w:r>
        <w:rPr>
          <w:rFonts w:hint="default" w:ascii="Times New Roman" w:hAnsi="Times New Roman" w:cs="Times New Roman"/>
        </w:rPr>
        <w:t>双</w:t>
      </w:r>
      <w:r>
        <w:rPr>
          <w:rFonts w:hint="default" w:ascii="Times New Roman" w:hAnsi="Times New Roman" w:cs="Times New Roman"/>
        </w:rPr>
        <w:t>作为备用样品。</w:t>
      </w:r>
    </w:p>
    <w:p>
      <w:pPr>
        <w:snapToGrid w:val="0"/>
        <w:spacing w:line="440" w:lineRule="exact"/>
        <w:ind w:firstLine="420" w:firstLineChars="200"/>
        <w:rPr>
          <w:rFonts w:hint="default" w:ascii="Times New Roman" w:hAnsi="Times New Roman" w:cs="Times New Roman"/>
          <w:color w:val="000000"/>
        </w:rPr>
      </w:pPr>
    </w:p>
    <w:p>
      <w:pPr>
        <w:snapToGrid w:val="0"/>
        <w:spacing w:line="440" w:lineRule="exact"/>
        <w:outlineLvl w:val="0"/>
        <w:rPr>
          <w:rFonts w:hint="default" w:ascii="Times New Roman" w:hAnsi="Times New Roman" w:eastAsia="黑体" w:cs="Times New Roman"/>
          <w:color w:val="000000"/>
        </w:rPr>
      </w:pPr>
      <w:r>
        <w:rPr>
          <w:rFonts w:hint="default" w:ascii="Times New Roman" w:hAnsi="Times New Roman" w:eastAsia="黑体" w:cs="Times New Roman"/>
          <w:color w:val="000000"/>
        </w:rPr>
        <w:t xml:space="preserve">2 </w:t>
      </w:r>
      <w:r>
        <w:rPr>
          <w:rFonts w:hint="default" w:ascii="Times New Roman" w:hAnsi="Times New Roman" w:eastAsia="黑体" w:cs="Times New Roman"/>
          <w:color w:val="000000"/>
        </w:rPr>
        <w:t>检验依据</w:t>
      </w:r>
    </w:p>
    <w:p>
      <w:pPr>
        <w:adjustRightInd w:val="0"/>
        <w:snapToGrid w:val="0"/>
        <w:spacing w:line="360" w:lineRule="auto"/>
        <w:ind w:firstLine="420" w:firstLineChars="200"/>
        <w:jc w:val="center"/>
        <w:rPr>
          <w:rFonts w:hint="default" w:ascii="Times New Roman" w:hAnsi="Times New Roman" w:cs="Times New Roman"/>
        </w:rPr>
      </w:pPr>
      <w:r>
        <w:rPr>
          <w:rFonts w:hint="default" w:ascii="Times New Roman" w:hAnsi="Times New Roman" w:cs="Times New Roman"/>
        </w:rPr>
        <w:t>表</w:t>
      </w:r>
      <w:r>
        <w:rPr>
          <w:rFonts w:hint="default" w:ascii="Times New Roman" w:hAnsi="Times New Roman" w:cs="Times New Roman"/>
        </w:rPr>
        <w:t xml:space="preserve">1 </w:t>
      </w:r>
      <w:r>
        <w:rPr>
          <w:rFonts w:hint="default" w:ascii="Times New Roman" w:hAnsi="Times New Roman" w:cs="Times New Roman"/>
        </w:rPr>
        <w:t>一次性筷子</w:t>
      </w:r>
      <w:r>
        <w:rPr>
          <w:rFonts w:hint="default" w:ascii="Times New Roman" w:hAnsi="Times New Roman" w:cs="Times New Roman"/>
        </w:rPr>
        <w:t>-</w:t>
      </w:r>
      <w:r>
        <w:rPr>
          <w:rFonts w:hint="default" w:ascii="Times New Roman" w:hAnsi="Times New Roman" w:cs="Times New Roman"/>
        </w:rPr>
        <w:t>木筷</w:t>
      </w:r>
    </w:p>
    <w:tbl>
      <w:tblPr>
        <w:tblStyle w:val="7"/>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024"/>
        <w:gridCol w:w="40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709" w:type="dxa"/>
            <w:vMerge w:val="restar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序号</w:t>
            </w:r>
          </w:p>
        </w:tc>
        <w:tc>
          <w:tcPr>
            <w:tcW w:w="4024" w:type="dxa"/>
            <w:vMerge w:val="restart"/>
          </w:tcPr>
          <w:p>
            <w:pPr>
              <w:snapToGrid w:val="0"/>
              <w:spacing w:line="440" w:lineRule="exact"/>
              <w:jc w:val="center"/>
              <w:rPr>
                <w:rFonts w:hint="default" w:ascii="Times New Roman" w:hAnsi="Times New Roman" w:cs="Times New Roman"/>
              </w:rPr>
            </w:pPr>
            <w:r>
              <w:rPr>
                <w:rFonts w:hint="default" w:ascii="Times New Roman" w:hAnsi="Times New Roman" w:cs="Times New Roman"/>
                <w:color w:val="000000"/>
              </w:rPr>
              <w:t>检验项目</w:t>
            </w:r>
          </w:p>
        </w:tc>
        <w:tc>
          <w:tcPr>
            <w:tcW w:w="4051" w:type="dxa"/>
            <w:vMerge w:val="restart"/>
          </w:tcPr>
          <w:p>
            <w:pPr>
              <w:snapToGrid w:val="0"/>
              <w:spacing w:line="440" w:lineRule="exact"/>
              <w:jc w:val="center"/>
              <w:rPr>
                <w:rFonts w:hint="default" w:ascii="Times New Roman" w:hAnsi="Times New Roman" w:cs="Times New Roman"/>
              </w:rPr>
            </w:pPr>
            <w:r>
              <w:rPr>
                <w:rFonts w:hint="default" w:ascii="Times New Roman" w:hAnsi="Times New Roman" w:cs="Times New Roman"/>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709" w:type="dxa"/>
            <w:vMerge w:val="continue"/>
          </w:tcPr>
          <w:p>
            <w:pPr>
              <w:adjustRightInd w:val="0"/>
              <w:snapToGrid w:val="0"/>
              <w:jc w:val="center"/>
              <w:rPr>
                <w:rFonts w:hint="default" w:ascii="Times New Roman" w:hAnsi="Times New Roman" w:cs="Times New Roman"/>
              </w:rPr>
            </w:pPr>
          </w:p>
        </w:tc>
        <w:tc>
          <w:tcPr>
            <w:tcW w:w="4024" w:type="dxa"/>
            <w:vMerge w:val="continue"/>
            <w:vAlign w:val="center"/>
          </w:tcPr>
          <w:p>
            <w:pPr>
              <w:adjustRightInd w:val="0"/>
              <w:snapToGrid w:val="0"/>
              <w:rPr>
                <w:rFonts w:hint="default" w:ascii="Times New Roman" w:hAnsi="Times New Roman" w:cs="Times New Roman"/>
              </w:rPr>
            </w:pPr>
          </w:p>
        </w:tc>
        <w:tc>
          <w:tcPr>
            <w:tcW w:w="4051" w:type="dxa"/>
            <w:vMerge w:val="continue"/>
            <w:vAlign w:val="center"/>
          </w:tcPr>
          <w:p>
            <w:pPr>
              <w:adjustRightInd w:val="0"/>
              <w:snapToGrid w:val="0"/>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9"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1</w:t>
            </w:r>
          </w:p>
        </w:tc>
        <w:tc>
          <w:tcPr>
            <w:tcW w:w="4024"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含水率</w:t>
            </w:r>
          </w:p>
        </w:tc>
        <w:tc>
          <w:tcPr>
            <w:tcW w:w="4051"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GB/T 19790.</w:t>
            </w:r>
            <w:r>
              <w:rPr>
                <w:rFonts w:hint="default" w:ascii="Times New Roman" w:hAnsi="Times New Roman" w:cs="Times New Roman"/>
              </w:rPr>
              <w:t>1</w:t>
            </w:r>
            <w:r>
              <w:rPr>
                <w:rFonts w:hint="default" w:ascii="Times New Roman" w:hAnsi="Times New Roman" w:cs="Times New Roman"/>
              </w:rPr>
              <w:t>-20</w:t>
            </w:r>
            <w:r>
              <w:rPr>
                <w:rFonts w:hint="default" w:ascii="Times New Roman" w:hAnsi="Times New Roman" w:cs="Times New Roman"/>
              </w:rPr>
              <w:t>21</w:t>
            </w:r>
          </w:p>
        </w:tc>
      </w:tr>
    </w:tbl>
    <w:p>
      <w:pPr>
        <w:pStyle w:val="3"/>
        <w:tabs>
          <w:tab w:val="left" w:pos="6521"/>
        </w:tabs>
        <w:adjustRightInd w:val="0"/>
        <w:snapToGrid w:val="0"/>
        <w:spacing w:before="0" w:line="360" w:lineRule="auto"/>
        <w:ind w:left="0" w:firstLine="420" w:firstLineChars="200"/>
        <w:rPr>
          <w:rFonts w:hint="default" w:ascii="Times New Roman" w:hAnsi="Times New Roman" w:cs="Times New Roman"/>
        </w:rPr>
      </w:pPr>
    </w:p>
    <w:p>
      <w:pPr>
        <w:adjustRightInd w:val="0"/>
        <w:snapToGrid w:val="0"/>
        <w:spacing w:line="360" w:lineRule="auto"/>
        <w:jc w:val="center"/>
        <w:rPr>
          <w:rFonts w:hint="default" w:ascii="Times New Roman" w:hAnsi="Times New Roman" w:cs="Times New Roman"/>
        </w:rPr>
      </w:pPr>
      <w:r>
        <w:rPr>
          <w:rFonts w:hint="default" w:ascii="Times New Roman" w:hAnsi="Times New Roman" w:cs="Times New Roman"/>
        </w:rPr>
        <w:t>表</w:t>
      </w:r>
      <w:r>
        <w:rPr>
          <w:rFonts w:hint="default" w:ascii="Times New Roman" w:hAnsi="Times New Roman" w:cs="Times New Roman"/>
        </w:rPr>
        <w:t xml:space="preserve">2 </w:t>
      </w:r>
      <w:r>
        <w:rPr>
          <w:rFonts w:hint="default" w:ascii="Times New Roman" w:hAnsi="Times New Roman" w:cs="Times New Roman"/>
        </w:rPr>
        <w:t>一次性筷子</w:t>
      </w:r>
      <w:r>
        <w:rPr>
          <w:rFonts w:hint="default" w:ascii="Times New Roman" w:hAnsi="Times New Roman" w:cs="Times New Roman"/>
        </w:rPr>
        <w:t>-</w:t>
      </w:r>
      <w:r>
        <w:rPr>
          <w:rFonts w:hint="default" w:ascii="Times New Roman" w:hAnsi="Times New Roman" w:cs="Times New Roman"/>
        </w:rPr>
        <w:t>竹筷</w:t>
      </w:r>
    </w:p>
    <w:tbl>
      <w:tblPr>
        <w:tblStyle w:val="7"/>
        <w:tblW w:w="88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3969"/>
        <w:gridCol w:w="4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734" w:type="dxa"/>
            <w:vMerge w:val="restart"/>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序号</w:t>
            </w:r>
          </w:p>
        </w:tc>
        <w:tc>
          <w:tcPr>
            <w:tcW w:w="3969" w:type="dxa"/>
            <w:vMerge w:val="restart"/>
          </w:tcPr>
          <w:p>
            <w:pPr>
              <w:snapToGrid w:val="0"/>
              <w:spacing w:line="440" w:lineRule="exact"/>
              <w:jc w:val="center"/>
              <w:rPr>
                <w:rFonts w:hint="default" w:ascii="Times New Roman" w:hAnsi="Times New Roman" w:cs="Times New Roman"/>
              </w:rPr>
            </w:pPr>
            <w:r>
              <w:rPr>
                <w:rFonts w:hint="default" w:ascii="Times New Roman" w:hAnsi="Times New Roman" w:cs="Times New Roman"/>
                <w:color w:val="000000"/>
              </w:rPr>
              <w:t>检验项目</w:t>
            </w:r>
          </w:p>
        </w:tc>
        <w:tc>
          <w:tcPr>
            <w:tcW w:w="4111" w:type="dxa"/>
            <w:vMerge w:val="restart"/>
          </w:tcPr>
          <w:p>
            <w:pPr>
              <w:snapToGrid w:val="0"/>
              <w:spacing w:line="440" w:lineRule="exact"/>
              <w:jc w:val="center"/>
              <w:rPr>
                <w:rFonts w:hint="default" w:ascii="Times New Roman" w:hAnsi="Times New Roman" w:cs="Times New Roman"/>
              </w:rPr>
            </w:pPr>
            <w:r>
              <w:rPr>
                <w:rFonts w:hint="default" w:ascii="Times New Roman" w:hAnsi="Times New Roman" w:cs="Times New Roman"/>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734" w:type="dxa"/>
            <w:vMerge w:val="continue"/>
          </w:tcPr>
          <w:p>
            <w:pPr>
              <w:adjustRightInd w:val="0"/>
              <w:snapToGrid w:val="0"/>
              <w:jc w:val="center"/>
              <w:rPr>
                <w:rFonts w:hint="default" w:ascii="Times New Roman" w:hAnsi="Times New Roman" w:cs="Times New Roman"/>
              </w:rPr>
            </w:pPr>
          </w:p>
        </w:tc>
        <w:tc>
          <w:tcPr>
            <w:tcW w:w="3969" w:type="dxa"/>
            <w:vMerge w:val="continue"/>
            <w:vAlign w:val="center"/>
          </w:tcPr>
          <w:p>
            <w:pPr>
              <w:adjustRightInd w:val="0"/>
              <w:snapToGrid w:val="0"/>
              <w:rPr>
                <w:rFonts w:hint="default" w:ascii="Times New Roman" w:hAnsi="Times New Roman" w:cs="Times New Roman"/>
              </w:rPr>
            </w:pPr>
          </w:p>
        </w:tc>
        <w:tc>
          <w:tcPr>
            <w:tcW w:w="4111" w:type="dxa"/>
            <w:vMerge w:val="continue"/>
            <w:vAlign w:val="center"/>
          </w:tcPr>
          <w:p>
            <w:pPr>
              <w:adjustRightInd w:val="0"/>
              <w:snapToGrid w:val="0"/>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4"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1</w:t>
            </w:r>
          </w:p>
        </w:tc>
        <w:tc>
          <w:tcPr>
            <w:tcW w:w="3969"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大肠菌群</w:t>
            </w:r>
          </w:p>
        </w:tc>
        <w:tc>
          <w:tcPr>
            <w:tcW w:w="4111"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GB 4789.3-2016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4"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2</w:t>
            </w:r>
          </w:p>
        </w:tc>
        <w:tc>
          <w:tcPr>
            <w:tcW w:w="3969"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沙门氏菌</w:t>
            </w:r>
          </w:p>
        </w:tc>
        <w:tc>
          <w:tcPr>
            <w:tcW w:w="4111"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GB 4789.4-2016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4"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3</w:t>
            </w:r>
          </w:p>
        </w:tc>
        <w:tc>
          <w:tcPr>
            <w:tcW w:w="3969"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志贺氏菌</w:t>
            </w:r>
          </w:p>
        </w:tc>
        <w:tc>
          <w:tcPr>
            <w:tcW w:w="4111"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GB 4789.5-2012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4"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4</w:t>
            </w:r>
          </w:p>
        </w:tc>
        <w:tc>
          <w:tcPr>
            <w:tcW w:w="3969"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金黄色葡萄球菌</w:t>
            </w:r>
          </w:p>
        </w:tc>
        <w:tc>
          <w:tcPr>
            <w:tcW w:w="4111"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GB 4789.10-2016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34"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5</w:t>
            </w:r>
          </w:p>
        </w:tc>
        <w:tc>
          <w:tcPr>
            <w:tcW w:w="3969"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溶血性链球菌</w:t>
            </w:r>
          </w:p>
        </w:tc>
        <w:tc>
          <w:tcPr>
            <w:tcW w:w="4111"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GB 4789.11-2014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734"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6</w:t>
            </w:r>
          </w:p>
        </w:tc>
        <w:tc>
          <w:tcPr>
            <w:tcW w:w="3969"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霉菌</w:t>
            </w:r>
          </w:p>
        </w:tc>
        <w:tc>
          <w:tcPr>
            <w:tcW w:w="4111"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34"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7</w:t>
            </w:r>
          </w:p>
        </w:tc>
        <w:tc>
          <w:tcPr>
            <w:tcW w:w="3969"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噻苯咪唑</w:t>
            </w:r>
          </w:p>
        </w:tc>
        <w:tc>
          <w:tcPr>
            <w:tcW w:w="4111"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GB/T 19790.2-2005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34"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8</w:t>
            </w:r>
          </w:p>
        </w:tc>
        <w:tc>
          <w:tcPr>
            <w:tcW w:w="3969"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邻苯基苯酚</w:t>
            </w:r>
          </w:p>
        </w:tc>
        <w:tc>
          <w:tcPr>
            <w:tcW w:w="4111"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GB/T 19790.2-2005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34"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9</w:t>
            </w:r>
          </w:p>
        </w:tc>
        <w:tc>
          <w:tcPr>
            <w:tcW w:w="3969"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联苯</w:t>
            </w:r>
          </w:p>
        </w:tc>
        <w:tc>
          <w:tcPr>
            <w:tcW w:w="4111"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GB/T 19790.2-2005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4"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10</w:t>
            </w:r>
          </w:p>
        </w:tc>
        <w:tc>
          <w:tcPr>
            <w:tcW w:w="3969"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抑霉唑</w:t>
            </w:r>
          </w:p>
        </w:tc>
        <w:tc>
          <w:tcPr>
            <w:tcW w:w="4111"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GB/T 19790.2-2005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4"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11</w:t>
            </w:r>
          </w:p>
        </w:tc>
        <w:tc>
          <w:tcPr>
            <w:tcW w:w="3969"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二氧化硫浸出量</w:t>
            </w:r>
          </w:p>
        </w:tc>
        <w:tc>
          <w:tcPr>
            <w:tcW w:w="4111" w:type="dxa"/>
            <w:vAlign w:val="center"/>
          </w:tcPr>
          <w:p>
            <w:pPr>
              <w:widowControl/>
              <w:jc w:val="center"/>
              <w:rPr>
                <w:rFonts w:hint="default" w:ascii="Times New Roman" w:hAnsi="Times New Roman" w:cs="Times New Roman"/>
              </w:rPr>
            </w:pPr>
            <w:r>
              <w:rPr>
                <w:rFonts w:hint="default" w:ascii="Times New Roman" w:hAnsi="Times New Roman" w:cs="Times New Roman"/>
              </w:rPr>
              <w:t>GB/T 19790.2-2005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34" w:type="dxa"/>
            <w:vAlign w:val="center"/>
          </w:tcPr>
          <w:p>
            <w:pPr>
              <w:adjustRightInd w:val="0"/>
              <w:snapToGrid w:val="0"/>
              <w:jc w:val="center"/>
              <w:rPr>
                <w:rFonts w:hint="default" w:ascii="Times New Roman" w:hAnsi="Times New Roman" w:cs="Times New Roman"/>
              </w:rPr>
            </w:pPr>
            <w:bookmarkStart w:id="0" w:name="_Hlk40347690"/>
            <w:r>
              <w:rPr>
                <w:rFonts w:hint="default" w:ascii="Times New Roman" w:hAnsi="Times New Roman" w:cs="Times New Roman"/>
              </w:rPr>
              <w:t>12</w:t>
            </w:r>
          </w:p>
        </w:tc>
        <w:tc>
          <w:tcPr>
            <w:tcW w:w="3969"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含水率</w:t>
            </w:r>
          </w:p>
        </w:tc>
        <w:tc>
          <w:tcPr>
            <w:tcW w:w="4111" w:type="dxa"/>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rPr>
              <w:t>GB/T 19790.2-2005</w:t>
            </w:r>
          </w:p>
        </w:tc>
      </w:tr>
    </w:tbl>
    <w:p>
      <w:pPr>
        <w:adjustRightInd w:val="0"/>
        <w:snapToGrid w:val="0"/>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rPr>
        <w:t>执行企业标准、团体标准、地方标准的产品，检验项目参照上述内容执行。</w:t>
      </w:r>
      <w:bookmarkEnd w:id="0"/>
    </w:p>
    <w:p>
      <w:pPr>
        <w:snapToGrid w:val="0"/>
        <w:spacing w:line="440" w:lineRule="exact"/>
        <w:ind w:firstLine="359" w:firstLineChars="171"/>
        <w:rPr>
          <w:rFonts w:hint="default" w:ascii="Times New Roman" w:hAnsi="Times New Roman" w:eastAsia="黑体" w:cs="Times New Roman"/>
          <w:color w:val="000000"/>
        </w:rPr>
      </w:pPr>
      <w:r>
        <w:rPr>
          <w:rFonts w:hint="default" w:ascii="Times New Roman" w:hAnsi="Times New Roman" w:cs="Times New Roman"/>
          <w:color w:val="000000"/>
        </w:rPr>
        <w:t>凡是注日期的文件，其随后所有的修改单（不包括勘误的内容）或修订版不适用于本细则。凡是不注日期的文件，其最新版本适用于本细则。</w:t>
      </w:r>
    </w:p>
    <w:p>
      <w:pPr>
        <w:spacing w:line="360" w:lineRule="auto"/>
        <w:rPr>
          <w:rFonts w:hint="default" w:ascii="Times New Roman" w:hAnsi="Times New Roman" w:eastAsia="黑体" w:cs="Times New Roman"/>
          <w:color w:val="000000"/>
        </w:rPr>
      </w:pPr>
    </w:p>
    <w:p>
      <w:pPr>
        <w:spacing w:line="360" w:lineRule="auto"/>
        <w:rPr>
          <w:rFonts w:hint="default" w:ascii="Times New Roman" w:hAnsi="Times New Roman" w:eastAsia="黑体" w:cs="Times New Roman"/>
          <w:color w:val="000000"/>
        </w:rPr>
      </w:pPr>
      <w:r>
        <w:rPr>
          <w:rFonts w:hint="default" w:ascii="Times New Roman" w:hAnsi="Times New Roman" w:eastAsia="黑体" w:cs="Times New Roman"/>
          <w:color w:val="000000"/>
        </w:rPr>
        <w:t xml:space="preserve">3 </w:t>
      </w:r>
      <w:r>
        <w:rPr>
          <w:rFonts w:hint="default" w:ascii="Times New Roman" w:hAnsi="Times New Roman" w:eastAsia="黑体" w:cs="Times New Roman"/>
          <w:color w:val="000000"/>
        </w:rPr>
        <w:t>判定规则</w:t>
      </w:r>
    </w:p>
    <w:p>
      <w:pPr>
        <w:snapToGrid w:val="0"/>
        <w:spacing w:line="440" w:lineRule="exact"/>
        <w:rPr>
          <w:rFonts w:hint="default" w:ascii="Times New Roman" w:hAnsi="Times New Roman" w:cs="Times New Roman"/>
          <w:color w:val="000000"/>
        </w:rPr>
      </w:pPr>
      <w:r>
        <w:rPr>
          <w:rFonts w:hint="default" w:ascii="Times New Roman" w:hAnsi="Times New Roman" w:cs="Times New Roman"/>
          <w:color w:val="000000"/>
        </w:rPr>
        <w:t>3.1</w:t>
      </w:r>
      <w:r>
        <w:rPr>
          <w:rFonts w:hint="default" w:ascii="Times New Roman" w:hAnsi="Times New Roman" w:cs="Times New Roman"/>
          <w:color w:val="000000"/>
        </w:rPr>
        <w:t>依据标准</w:t>
      </w:r>
    </w:p>
    <w:p>
      <w:pPr>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rPr>
        <w:t>GB/T 19790.1-20</w:t>
      </w:r>
      <w:r>
        <w:rPr>
          <w:rFonts w:hint="default" w:ascii="Times New Roman" w:hAnsi="Times New Roman" w:cs="Times New Roman"/>
          <w:color w:val="000000"/>
        </w:rPr>
        <w:t>21一次性筷子</w:t>
      </w:r>
      <w:r>
        <w:rPr>
          <w:rFonts w:hint="default" w:ascii="Times New Roman" w:hAnsi="Times New Roman" w:cs="Times New Roman"/>
          <w:color w:val="000000"/>
        </w:rPr>
        <w:t xml:space="preserve"> </w:t>
      </w:r>
      <w:r>
        <w:rPr>
          <w:rFonts w:hint="default" w:ascii="Times New Roman" w:hAnsi="Times New Roman" w:cs="Times New Roman"/>
          <w:color w:val="000000"/>
        </w:rPr>
        <w:t>第</w:t>
      </w:r>
      <w:r>
        <w:rPr>
          <w:rFonts w:hint="default" w:ascii="Times New Roman" w:hAnsi="Times New Roman" w:cs="Times New Roman"/>
          <w:color w:val="000000"/>
        </w:rPr>
        <w:t>1</w:t>
      </w:r>
      <w:r>
        <w:rPr>
          <w:rFonts w:hint="default" w:ascii="Times New Roman" w:hAnsi="Times New Roman" w:cs="Times New Roman"/>
          <w:color w:val="000000"/>
        </w:rPr>
        <w:t>部分：木筷</w:t>
      </w:r>
    </w:p>
    <w:p>
      <w:pPr>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rPr>
        <w:t>GB/T 19790.2-2005</w:t>
      </w:r>
      <w:r>
        <w:rPr>
          <w:rFonts w:hint="default" w:ascii="Times New Roman" w:hAnsi="Times New Roman" w:cs="Times New Roman"/>
          <w:color w:val="000000"/>
        </w:rPr>
        <w:t>一次性筷子</w:t>
      </w:r>
      <w:r>
        <w:rPr>
          <w:rFonts w:hint="default" w:ascii="Times New Roman" w:hAnsi="Times New Roman" w:cs="Times New Roman"/>
          <w:color w:val="000000"/>
        </w:rPr>
        <w:t xml:space="preserve"> </w:t>
      </w:r>
      <w:r>
        <w:rPr>
          <w:rFonts w:hint="default" w:ascii="Times New Roman" w:hAnsi="Times New Roman" w:cs="Times New Roman"/>
          <w:color w:val="000000"/>
        </w:rPr>
        <w:t>第</w:t>
      </w:r>
      <w:r>
        <w:rPr>
          <w:rFonts w:hint="default" w:ascii="Times New Roman" w:hAnsi="Times New Roman" w:cs="Times New Roman"/>
          <w:color w:val="000000"/>
        </w:rPr>
        <w:t>2</w:t>
      </w:r>
      <w:r>
        <w:rPr>
          <w:rFonts w:hint="default" w:ascii="Times New Roman" w:hAnsi="Times New Roman" w:cs="Times New Roman"/>
          <w:color w:val="000000"/>
        </w:rPr>
        <w:t>部分：竹筷</w:t>
      </w:r>
    </w:p>
    <w:p>
      <w:pPr>
        <w:snapToGrid w:val="0"/>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rPr>
        <w:t>现行有效的企业标准、团体标准、地方标准及产品明示质量要求</w:t>
      </w:r>
    </w:p>
    <w:p>
      <w:pPr>
        <w:snapToGrid w:val="0"/>
        <w:spacing w:line="440" w:lineRule="exact"/>
        <w:outlineLvl w:val="0"/>
        <w:rPr>
          <w:rFonts w:hint="default" w:ascii="Times New Roman" w:hAnsi="Times New Roman" w:cs="Times New Roman"/>
          <w:color w:val="000000"/>
        </w:rPr>
      </w:pPr>
      <w:r>
        <w:rPr>
          <w:rFonts w:hint="default" w:ascii="Times New Roman" w:hAnsi="Times New Roman" w:cs="Times New Roman"/>
          <w:color w:val="000000"/>
        </w:rPr>
        <w:t>3.2</w:t>
      </w:r>
      <w:r>
        <w:rPr>
          <w:rFonts w:hint="default" w:ascii="Times New Roman" w:hAnsi="Times New Roman" w:cs="Times New Roman"/>
          <w:color w:val="000000"/>
        </w:rPr>
        <w:t>判定原则</w:t>
      </w:r>
    </w:p>
    <w:p>
      <w:pPr>
        <w:snapToGrid w:val="0"/>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default" w:ascii="Times New Roman" w:hAnsi="Times New Roman" w:cs="Times New Roman"/>
          <w:color w:val="000000"/>
        </w:rPr>
      </w:pPr>
      <w:r>
        <w:rPr>
          <w:rFonts w:hint="default" w:ascii="Times New Roman" w:hAnsi="Times New Roman" w:cs="Times New Roman"/>
          <w:color w:val="000000"/>
        </w:rPr>
        <w:t>若被检产品明示的质量要求高于本细则中检验项目依据的标准要求时，应按被检产品明示的质量要求判定。</w:t>
      </w:r>
    </w:p>
    <w:p>
      <w:pPr>
        <w:snapToGrid w:val="0"/>
        <w:spacing w:line="440" w:lineRule="exact"/>
        <w:ind w:firstLine="417" w:firstLineChars="199"/>
        <w:rPr>
          <w:rFonts w:hint="default" w:ascii="Times New Roman" w:hAnsi="Times New Roman" w:cs="Times New Roman"/>
          <w:color w:val="000000"/>
        </w:rPr>
      </w:pPr>
      <w:r>
        <w:rPr>
          <w:rFonts w:hint="default" w:ascii="Times New Roman" w:hAnsi="Times New Roman" w:cs="Times New Roman"/>
          <w:color w:val="000000"/>
        </w:rPr>
        <w:t>若被检产品明示的质量要求低于本细则中检验项目依据的强制性标准要求时，应按照强制性标准要求判定。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color w:val="000000"/>
        </w:rPr>
      </w:pPr>
      <w:r>
        <w:rPr>
          <w:rFonts w:hint="default" w:ascii="Times New Roman" w:hAnsi="Times New Roman" w:cs="Times New Roman"/>
          <w:color w:val="000000"/>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default" w:ascii="Times New Roman" w:hAnsi="Times New Roman" w:cs="Times New Roman"/>
        </w:rPr>
      </w:pPr>
      <w:r>
        <w:rPr>
          <w:rFonts w:hint="default" w:ascii="Times New Roman" w:hAnsi="Times New Roman" w:cs="Times New Roman"/>
        </w:rPr>
        <w:t>若被检产品明示的质量要求缺少本细则中检验项目依据的强制性标准要求时，应按照强制性标准要求判定。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rPr>
      </w:pPr>
      <w:r>
        <w:rPr>
          <w:rFonts w:hint="default" w:ascii="Times New Roman" w:hAnsi="Times New Roman" w:cs="Times New Roman"/>
        </w:rPr>
        <w:t>若被检产品明示的质量要求缺少本细则中检验项目依据的推荐性标准要求时，该项目不参与判定。</w:t>
      </w:r>
    </w:p>
    <w:p>
      <w:pPr>
        <w:snapToGrid w:val="0"/>
        <w:spacing w:line="440" w:lineRule="exact"/>
        <w:ind w:firstLine="417" w:firstLineChars="199"/>
        <w:rPr>
          <w:rFonts w:hint="default" w:ascii="Times New Roman" w:hAnsi="Times New Roman" w:cs="Times New Roman"/>
        </w:rPr>
      </w:pPr>
      <w:r>
        <w:rPr>
          <w:rFonts w:hint="default" w:ascii="Times New Roman" w:hAnsi="Times New Roman" w:cs="Times New Roman"/>
        </w:rPr>
        <w:t>依据卫健委“卫监督发</w:t>
      </w:r>
      <w:r>
        <w:rPr>
          <w:rFonts w:hint="default" w:ascii="Times New Roman" w:hAnsi="Times New Roman" w:cs="Times New Roman"/>
        </w:rPr>
        <w:t>[2005]515</w:t>
      </w:r>
      <w:r>
        <w:rPr>
          <w:rFonts w:hint="default" w:ascii="Times New Roman" w:hAnsi="Times New Roman" w:cs="Times New Roman"/>
        </w:rPr>
        <w:t>号”《健康相关产品国家卫生监督抽检规定》第十九条“产品微生物指标超标的不予复检”及</w:t>
      </w:r>
      <w:r>
        <w:rPr>
          <w:rFonts w:hint="default" w:ascii="Times New Roman" w:hAnsi="Times New Roman" w:cs="Times New Roman"/>
        </w:rPr>
        <w:t>GB 4789.1-2016</w:t>
      </w:r>
      <w:r>
        <w:rPr>
          <w:rFonts w:hint="default" w:ascii="Times New Roman" w:hAnsi="Times New Roman" w:cs="Times New Roman"/>
        </w:rPr>
        <w:t>《食品安全国家标准</w:t>
      </w:r>
      <w:r>
        <w:rPr>
          <w:rFonts w:hint="default" w:ascii="Times New Roman" w:hAnsi="Times New Roman" w:cs="Times New Roman"/>
        </w:rPr>
        <w:t xml:space="preserve"> </w:t>
      </w:r>
      <w:r>
        <w:rPr>
          <w:rFonts w:hint="default" w:ascii="Times New Roman" w:hAnsi="Times New Roman" w:cs="Times New Roman"/>
        </w:rPr>
        <w:t>食品微生物学检验</w:t>
      </w:r>
      <w:r>
        <w:rPr>
          <w:rFonts w:hint="default" w:ascii="Times New Roman" w:hAnsi="Times New Roman" w:cs="Times New Roman"/>
        </w:rPr>
        <w:t xml:space="preserve"> </w:t>
      </w:r>
      <w:r>
        <w:rPr>
          <w:rFonts w:hint="default" w:ascii="Times New Roman" w:hAnsi="Times New Roman" w:cs="Times New Roman"/>
        </w:rPr>
        <w:t>总则》第</w:t>
      </w:r>
      <w:r>
        <w:rPr>
          <w:rFonts w:hint="default" w:ascii="Times New Roman" w:hAnsi="Times New Roman" w:cs="Times New Roman"/>
        </w:rPr>
        <w:t>7.3</w:t>
      </w:r>
      <w:r>
        <w:rPr>
          <w:rFonts w:hint="default" w:ascii="Times New Roman" w:hAnsi="Times New Roman" w:cs="Times New Roman"/>
        </w:rPr>
        <w:t>条“检验结果报告后，剩余样品和同批产品不进行微生物项目的复检”的规定，微生物项目（大肠菌群、沙门氏菌、志贺氏菌、金黄色葡萄球菌、溶血性链球菌、霉菌）不合格不复检。</w:t>
      </w:r>
    </w:p>
    <w:p>
      <w:pPr>
        <w:snapToGrid w:val="0"/>
        <w:spacing w:line="440" w:lineRule="exact"/>
        <w:ind w:firstLine="417" w:firstLineChars="199"/>
        <w:rPr>
          <w:rFonts w:hint="default" w:ascii="Times New Roman" w:hAnsi="Times New Roman" w:cs="Times New Roman"/>
        </w:rPr>
      </w:pPr>
    </w:p>
    <w:p>
      <w:pPr>
        <w:spacing w:line="360" w:lineRule="auto"/>
        <w:rPr>
          <w:rFonts w:hint="default" w:ascii="Times New Roman" w:hAnsi="Times New Roman" w:eastAsia="黑体" w:cs="Times New Roman"/>
          <w:color w:val="000000"/>
        </w:rPr>
      </w:pPr>
      <w:r>
        <w:rPr>
          <w:rFonts w:hint="default" w:ascii="Times New Roman" w:hAnsi="Times New Roman" w:eastAsia="黑体" w:cs="Times New Roman"/>
          <w:color w:val="000000"/>
        </w:rPr>
        <w:t>4附则</w:t>
      </w:r>
    </w:p>
    <w:p>
      <w:pPr>
        <w:snapToGrid w:val="0"/>
        <w:spacing w:line="440" w:lineRule="exact"/>
        <w:ind w:firstLine="417" w:firstLineChars="199"/>
        <w:rPr>
          <w:rFonts w:hint="default" w:ascii="Times New Roman" w:hAnsi="Times New Roman" w:cs="Times New Roman"/>
        </w:rPr>
      </w:pPr>
      <w:r>
        <w:rPr>
          <w:rFonts w:hint="default" w:ascii="Times New Roman" w:hAnsi="Times New Roman" w:cs="Times New Roman"/>
          <w:color w:val="000000"/>
        </w:rPr>
        <w:t>本细则代替《贵州省市场监管局关于发布2022年版贵州省产品质量监督抽查实施细则（第二批）的公告》中的《贵州省一次性竹木筷产品质量监督抽查实施细则（2022年版）》。</w:t>
      </w:r>
    </w:p>
    <w:sectPr>
      <w:footerReference r:id="rId3" w:type="default"/>
      <w:pgSz w:w="11906" w:h="16838"/>
      <w:pgMar w:top="1985"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2</w:t>
    </w:r>
    <w: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oNotHyphenateCaps/>
  <w:drawingGridVerticalSpacing w:val="156"/>
  <w:noPunctuationKerning w:val="true"/>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I0Y2QyZTk5NDc0MzViZjY3Mzg3OTQ2MGViNmNjOGEifQ=="/>
  </w:docVars>
  <w:rsids>
    <w:rsidRoot w:val="009954B1"/>
    <w:rsid w:val="0002480E"/>
    <w:rsid w:val="00041658"/>
    <w:rsid w:val="00111574"/>
    <w:rsid w:val="00155417"/>
    <w:rsid w:val="003279C2"/>
    <w:rsid w:val="0038243E"/>
    <w:rsid w:val="003C39A2"/>
    <w:rsid w:val="004A7E64"/>
    <w:rsid w:val="004D567B"/>
    <w:rsid w:val="00524B4D"/>
    <w:rsid w:val="00590E7F"/>
    <w:rsid w:val="005A79B0"/>
    <w:rsid w:val="005C4214"/>
    <w:rsid w:val="00676F40"/>
    <w:rsid w:val="006D5E0A"/>
    <w:rsid w:val="00720A45"/>
    <w:rsid w:val="0089439E"/>
    <w:rsid w:val="008C7C66"/>
    <w:rsid w:val="008D3D04"/>
    <w:rsid w:val="00903030"/>
    <w:rsid w:val="00941B29"/>
    <w:rsid w:val="0099399A"/>
    <w:rsid w:val="009954B1"/>
    <w:rsid w:val="00A00229"/>
    <w:rsid w:val="00A26D13"/>
    <w:rsid w:val="00A81B05"/>
    <w:rsid w:val="00AB42D2"/>
    <w:rsid w:val="00AD0538"/>
    <w:rsid w:val="00AD464A"/>
    <w:rsid w:val="00B009E7"/>
    <w:rsid w:val="00B214B9"/>
    <w:rsid w:val="00B21F32"/>
    <w:rsid w:val="00B43E48"/>
    <w:rsid w:val="00BD721B"/>
    <w:rsid w:val="00C87527"/>
    <w:rsid w:val="00DB6744"/>
    <w:rsid w:val="00DD6278"/>
    <w:rsid w:val="00DE77CC"/>
    <w:rsid w:val="00E11E68"/>
    <w:rsid w:val="00E220AC"/>
    <w:rsid w:val="00E62773"/>
    <w:rsid w:val="00EB0A02"/>
    <w:rsid w:val="00EC3875"/>
    <w:rsid w:val="00EC5FAE"/>
    <w:rsid w:val="00F011AE"/>
    <w:rsid w:val="00FA260A"/>
    <w:rsid w:val="00FA534E"/>
    <w:rsid w:val="047316E8"/>
    <w:rsid w:val="086402EF"/>
    <w:rsid w:val="087047AA"/>
    <w:rsid w:val="0AEE4650"/>
    <w:rsid w:val="111823C9"/>
    <w:rsid w:val="130F6129"/>
    <w:rsid w:val="14190272"/>
    <w:rsid w:val="23E267C3"/>
    <w:rsid w:val="248B12BB"/>
    <w:rsid w:val="2D1369B9"/>
    <w:rsid w:val="2E880CF1"/>
    <w:rsid w:val="321553F2"/>
    <w:rsid w:val="32742734"/>
    <w:rsid w:val="33EA467F"/>
    <w:rsid w:val="36797AD8"/>
    <w:rsid w:val="371562F7"/>
    <w:rsid w:val="3B465273"/>
    <w:rsid w:val="3C663A6D"/>
    <w:rsid w:val="3D435A49"/>
    <w:rsid w:val="3E8141A0"/>
    <w:rsid w:val="48F14FF7"/>
    <w:rsid w:val="4978763C"/>
    <w:rsid w:val="4AB61C83"/>
    <w:rsid w:val="4C1052ED"/>
    <w:rsid w:val="4CC01709"/>
    <w:rsid w:val="4D5D20B7"/>
    <w:rsid w:val="4E513C16"/>
    <w:rsid w:val="509E67AB"/>
    <w:rsid w:val="5542156E"/>
    <w:rsid w:val="589E2E26"/>
    <w:rsid w:val="5CA15874"/>
    <w:rsid w:val="5D1A5A26"/>
    <w:rsid w:val="5DDC4E44"/>
    <w:rsid w:val="5DEF6218"/>
    <w:rsid w:val="5E650F05"/>
    <w:rsid w:val="5F175282"/>
    <w:rsid w:val="63D46ED9"/>
    <w:rsid w:val="670843DD"/>
    <w:rsid w:val="682E6168"/>
    <w:rsid w:val="69AA0094"/>
    <w:rsid w:val="6A806516"/>
    <w:rsid w:val="6DF7156D"/>
    <w:rsid w:val="70F82956"/>
    <w:rsid w:val="729022D2"/>
    <w:rsid w:val="73F24AFF"/>
    <w:rsid w:val="75FFEA70"/>
    <w:rsid w:val="762B12E3"/>
    <w:rsid w:val="76E10DA7"/>
    <w:rsid w:val="77E62F3D"/>
    <w:rsid w:val="78442A50"/>
    <w:rsid w:val="7A0658EE"/>
    <w:rsid w:val="7DE9052B"/>
    <w:rsid w:val="7E367274"/>
    <w:rsid w:val="7FD791D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0"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qFormat="1" w:unhideWhenUsed="0"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iPriority="59"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4"/>
    <w:semiHidden/>
    <w:qFormat/>
    <w:locked/>
    <w:uiPriority w:val="99"/>
    <w:pPr>
      <w:shd w:val="clear" w:color="auto" w:fill="000080"/>
    </w:pPr>
    <w:rPr>
      <w:kern w:val="0"/>
      <w:sz w:val="0"/>
      <w:szCs w:val="0"/>
    </w:rPr>
  </w:style>
  <w:style w:type="paragraph" w:styleId="3">
    <w:name w:val="Body Text"/>
    <w:basedOn w:val="1"/>
    <w:link w:val="10"/>
    <w:qFormat/>
    <w:uiPriority w:val="99"/>
    <w:pPr>
      <w:spacing w:before="166"/>
      <w:ind w:left="101"/>
    </w:pPr>
    <w:rPr>
      <w:kern w:val="0"/>
    </w:rPr>
  </w:style>
  <w:style w:type="paragraph" w:styleId="4">
    <w:name w:val="Balloon Text"/>
    <w:basedOn w:val="1"/>
    <w:link w:val="13"/>
    <w:semiHidden/>
    <w:qFormat/>
    <w:uiPriority w:val="99"/>
    <w:rPr>
      <w:sz w:val="18"/>
      <w:szCs w:val="18"/>
    </w:rPr>
  </w:style>
  <w:style w:type="paragraph" w:styleId="5">
    <w:name w:val="footer"/>
    <w:basedOn w:val="1"/>
    <w:link w:val="12"/>
    <w:qFormat/>
    <w:uiPriority w:val="99"/>
    <w:pPr>
      <w:tabs>
        <w:tab w:val="center" w:pos="4153"/>
        <w:tab w:val="right" w:pos="8306"/>
      </w:tabs>
      <w:snapToGrid w:val="0"/>
      <w:jc w:val="left"/>
    </w:pPr>
    <w:rPr>
      <w:sz w:val="18"/>
      <w:szCs w:val="18"/>
    </w:rPr>
  </w:style>
  <w:style w:type="paragraph" w:styleId="6">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locked/>
    <w:uiPriority w:val="0"/>
  </w:style>
  <w:style w:type="character" w:customStyle="1" w:styleId="10">
    <w:name w:val="正文文本 Char"/>
    <w:link w:val="3"/>
    <w:semiHidden/>
    <w:qFormat/>
    <w:locked/>
    <w:uiPriority w:val="99"/>
    <w:rPr>
      <w:sz w:val="21"/>
      <w:szCs w:val="21"/>
    </w:rPr>
  </w:style>
  <w:style w:type="character" w:customStyle="1" w:styleId="11">
    <w:name w:val="页眉 Char"/>
    <w:link w:val="6"/>
    <w:qFormat/>
    <w:locked/>
    <w:uiPriority w:val="99"/>
    <w:rPr>
      <w:kern w:val="2"/>
      <w:sz w:val="18"/>
      <w:szCs w:val="18"/>
    </w:rPr>
  </w:style>
  <w:style w:type="character" w:customStyle="1" w:styleId="12">
    <w:name w:val="页脚 Char"/>
    <w:link w:val="5"/>
    <w:qFormat/>
    <w:locked/>
    <w:uiPriority w:val="99"/>
    <w:rPr>
      <w:kern w:val="2"/>
      <w:sz w:val="18"/>
      <w:szCs w:val="18"/>
    </w:rPr>
  </w:style>
  <w:style w:type="character" w:customStyle="1" w:styleId="13">
    <w:name w:val="批注框文本 Char"/>
    <w:link w:val="4"/>
    <w:qFormat/>
    <w:locked/>
    <w:uiPriority w:val="99"/>
    <w:rPr>
      <w:kern w:val="2"/>
      <w:sz w:val="18"/>
      <w:szCs w:val="18"/>
    </w:rPr>
  </w:style>
  <w:style w:type="character" w:customStyle="1" w:styleId="14">
    <w:name w:val="文档结构图 Char"/>
    <w:link w:val="2"/>
    <w:semiHidden/>
    <w:qFormat/>
    <w:uiPriority w:val="99"/>
    <w:rPr>
      <w:sz w:val="0"/>
      <w:szCs w:val="0"/>
    </w:rPr>
  </w:style>
  <w:style w:type="character" w:customStyle="1" w:styleId="15">
    <w:name w:val="fontstyle01"/>
    <w:basedOn w:val="8"/>
    <w:qFormat/>
    <w:uiPriority w:val="0"/>
    <w:rPr>
      <w:rFonts w:ascii="仿宋" w:hAnsi="仿宋" w:eastAsia="仿宋" w:cs="仿宋"/>
      <w:color w:val="000000"/>
      <w:sz w:val="2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195</Words>
  <Characters>1114</Characters>
  <Lines>9</Lines>
  <Paragraphs>2</Paragraphs>
  <TotalTime>0</TotalTime>
  <ScaleCrop>false</ScaleCrop>
  <LinksUpToDate>false</LinksUpToDate>
  <CharactersWithSpaces>1307</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2020-06-04T00:46:00Z</dcterms:created>
  <dc:creator>Administrator</dc:creator>
  <cp:lastModifiedBy>ysgz</cp:lastModifiedBy>
  <cp:lastPrinted>2022-07-11T09:43:00Z</cp:lastPrinted>
  <dcterms:modified xsi:type="dcterms:W3CDTF">2023-07-20T17:59:39Z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KSOSaveFontToCloudKey">
    <vt:lpwstr>333935165_cloud</vt:lpwstr>
  </property>
  <property fmtid="{D5CDD505-2E9C-101B-9397-08002B2CF9AE}" pid="4" name="ICV">
    <vt:lpwstr>75CC2C3485974F70950836D69AE6B95E</vt:lpwstr>
  </property>
</Properties>
</file>