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06" w:rsidRDefault="0090797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贵州省地方标准应用实施技术手册</w:t>
      </w:r>
    </w:p>
    <w:p w:rsidR="00314406" w:rsidRDefault="0090797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（涉农领域）</w:t>
      </w:r>
    </w:p>
    <w:p w:rsidR="00314406" w:rsidRPr="006A57E2" w:rsidRDefault="00314406"/>
    <w:p w:rsidR="00314406" w:rsidRDefault="00314406"/>
    <w:p w:rsidR="00314406" w:rsidRDefault="00314406"/>
    <w:p w:rsidR="00314406" w:rsidRDefault="0090797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</w:t>
      </w:r>
      <w:r w:rsidR="006A57E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准</w:t>
      </w:r>
      <w:r w:rsidR="006A57E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</w:t>
      </w:r>
      <w:r w:rsidR="006A57E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称</w:t>
      </w:r>
      <w:r w:rsidR="006A57E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6A57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</w:t>
      </w:r>
      <w:r w:rsidR="00907970">
        <w:rPr>
          <w:rFonts w:ascii="仿宋_GB2312" w:eastAsia="仿宋_GB2312" w:hint="eastAsia"/>
          <w:sz w:val="32"/>
          <w:szCs w:val="32"/>
        </w:rPr>
        <w:t>起草单位：</w:t>
      </w:r>
    </w:p>
    <w:p w:rsidR="006A57E2" w:rsidRDefault="006A57E2" w:rsidP="006A57E2">
      <w:pPr>
        <w:rPr>
          <w:rFonts w:ascii="仿宋_GB2312" w:eastAsia="仿宋_GB2312"/>
          <w:sz w:val="32"/>
          <w:szCs w:val="32"/>
        </w:rPr>
      </w:pPr>
    </w:p>
    <w:p w:rsidR="006A57E2" w:rsidRPr="006A57E2" w:rsidRDefault="006A57E2">
      <w:pPr>
        <w:rPr>
          <w:rFonts w:ascii="仿宋_GB2312" w:eastAsia="仿宋_GB2312"/>
          <w:sz w:val="32"/>
          <w:szCs w:val="32"/>
        </w:rPr>
      </w:pPr>
      <w:r w:rsidRPr="006A57E2">
        <w:rPr>
          <w:rFonts w:ascii="仿宋_GB2312" w:eastAsia="仿宋_GB2312" w:hint="eastAsia"/>
          <w:sz w:val="32"/>
          <w:szCs w:val="32"/>
        </w:rPr>
        <w:t>标准归口单位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14406" w:rsidRDefault="00314406"/>
    <w:p w:rsidR="00314406" w:rsidRDefault="0090797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手册制作单位：</w:t>
      </w: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90797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81600" cy="2667000"/>
                <wp:effectExtent l="0" t="0" r="19050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14406" w:rsidRDefault="00907970">
                            <w:r>
                              <w:rPr>
                                <w:rFonts w:hint="eastAsia"/>
                              </w:rPr>
                              <w:t>本区域插入有关图片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top:0pt;height:210pt;width:408pt;mso-position-horizontal:center;z-index:251659264;mso-width-relative:page;mso-height-relative:page;" fillcolor="#FFFFFF" filled="t" stroked="t" coordsize="21600,21600" o:gfxdata="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KbRrQTUAAAABQEAAA8AAAAAAAAAAQAgAAAAOAAAAGRycy9kb3du&#10;cmV2LnhtbFBLAQIUABQAAAAIAIdO4kCXhciYJgIAADoEAAAOAAAAAAAAAAEAIAAAADk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本区域插入有关图片</w:t>
                      </w:r>
                    </w:p>
                  </w:txbxContent>
                </v:textbox>
              </v:shape>
            </w:pict>
          </mc:Fallback>
        </mc:AlternateContent>
      </w: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314406">
      <w:pPr>
        <w:rPr>
          <w:rFonts w:ascii="仿宋_GB2312" w:eastAsia="仿宋_GB2312"/>
          <w:sz w:val="32"/>
          <w:szCs w:val="32"/>
        </w:rPr>
      </w:pPr>
    </w:p>
    <w:p w:rsidR="00314406" w:rsidRDefault="0090797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314406" w:rsidRDefault="00314406"/>
    <w:p w:rsidR="00314406" w:rsidRDefault="00907970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前</w:t>
      </w:r>
      <w:r>
        <w:rPr>
          <w:rFonts w:ascii="黑体" w:eastAsia="黑体" w:hAnsi="黑体" w:hint="eastAsia"/>
          <w:sz w:val="44"/>
          <w:szCs w:val="44"/>
        </w:rPr>
        <w:t xml:space="preserve">  </w:t>
      </w:r>
      <w:r>
        <w:rPr>
          <w:rFonts w:ascii="黑体" w:eastAsia="黑体" w:hAnsi="黑体" w:hint="eastAsia"/>
          <w:sz w:val="44"/>
          <w:szCs w:val="44"/>
        </w:rPr>
        <w:t>言</w:t>
      </w:r>
    </w:p>
    <w:p w:rsidR="00314406" w:rsidRDefault="00314406">
      <w:pPr>
        <w:jc w:val="center"/>
      </w:pPr>
    </w:p>
    <w:p w:rsidR="00314406" w:rsidRDefault="0090797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845185</wp:posOffset>
            </wp:positionV>
            <wp:extent cx="5274310" cy="4013835"/>
            <wp:effectExtent l="1587" t="0" r="4128" b="4127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为加强涉农地方标准宣贯实施，推动将标准文本转化为简便易懂的生产模式图、操作明白纸、风险管控手册等宣贯推广手册，便于农业生产技术的推广运用，确保农业一线生产者、经营者和管理者识标准、懂标准、用标准，特制定本地方标准应用实施技术手册。</w:t>
      </w:r>
    </w:p>
    <w:p w:rsidR="00314406" w:rsidRDefault="0090797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可通过以下方式对地方标准与本技术手册提出意见建议：</w:t>
      </w:r>
    </w:p>
    <w:p w:rsidR="00314406" w:rsidRDefault="0090797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一、地方标准。通过“贵州省标准化公共服务平台”（</w:t>
      </w:r>
      <w:r>
        <w:rPr>
          <w:rFonts w:ascii="仿宋_GB2312" w:eastAsia="仿宋_GB2312" w:hint="eastAsia"/>
          <w:sz w:val="32"/>
          <w:szCs w:val="32"/>
        </w:rPr>
        <w:t>http://db52.amr.guizhou.gov.cn/</w:t>
      </w:r>
      <w:r>
        <w:rPr>
          <w:rFonts w:ascii="仿宋_GB2312" w:eastAsia="仿宋_GB2312" w:hint="eastAsia"/>
          <w:sz w:val="32"/>
          <w:szCs w:val="32"/>
        </w:rPr>
        <w:t>）向有关地方标准提出意见建议。</w:t>
      </w:r>
    </w:p>
    <w:p w:rsidR="00314406" w:rsidRDefault="0090797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二、技术手册。联系单位：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；单位地址：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；联系电话：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；电子邮箱：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14406" w:rsidRDefault="0031440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14406" w:rsidRDefault="0090797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本手册编辑：</w:t>
      </w:r>
      <w:r>
        <w:rPr>
          <w:rFonts w:ascii="仿宋_GB2312" w:eastAsia="仿宋_GB2312" w:hint="eastAsia"/>
          <w:sz w:val="32"/>
          <w:szCs w:val="32"/>
        </w:rPr>
        <w:t>XXX,XXXX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14406" w:rsidRDefault="00314406">
      <w:pPr>
        <w:ind w:firstLineChars="200" w:firstLine="640"/>
        <w:jc w:val="left"/>
        <w:rPr>
          <w:rFonts w:ascii="仿宋_GB2312" w:eastAsia="仿宋_GB2312"/>
          <w:sz w:val="32"/>
          <w:szCs w:val="32"/>
        </w:rPr>
        <w:sectPr w:rsidR="003144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4406" w:rsidRDefault="00907970">
      <w:pPr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一、标准制定目的与意义</w:t>
      </w:r>
    </w:p>
    <w:p w:rsidR="00314406" w:rsidRDefault="00907970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</w:p>
    <w:p w:rsidR="00314406" w:rsidRDefault="00907970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</w:p>
    <w:p w:rsidR="00314406" w:rsidRDefault="00907970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</w:p>
    <w:p w:rsidR="00314406" w:rsidRDefault="00907970" w:rsidP="00907970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标准主要条款与释义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主要技术内容及相应条款的细致解读）</w:t>
      </w:r>
    </w:p>
    <w:p w:rsidR="00314406" w:rsidRDefault="00907970">
      <w:pPr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示例：</w:t>
      </w:r>
    </w:p>
    <w:p w:rsidR="00314406" w:rsidRDefault="00907970">
      <w:pPr>
        <w:numPr>
          <w:ilvl w:val="0"/>
          <w:numId w:val="1"/>
        </w:numPr>
        <w:spacing w:line="360" w:lineRule="auto"/>
        <w:ind w:firstLine="482"/>
        <w:outlineLvl w:val="2"/>
        <w:rPr>
          <w:rFonts w:ascii="仿宋" w:eastAsia="仿宋" w:hAnsi="仿宋"/>
          <w:b/>
          <w:sz w:val="24"/>
          <w:szCs w:val="24"/>
        </w:rPr>
      </w:pPr>
      <w:bookmarkStart w:id="1" w:name="_Toc24919"/>
      <w:r>
        <w:rPr>
          <w:rFonts w:ascii="仿宋" w:eastAsia="仿宋" w:hAnsi="仿宋" w:hint="eastAsia"/>
          <w:b/>
          <w:sz w:val="24"/>
          <w:szCs w:val="24"/>
        </w:rPr>
        <w:t>种子采收与贮藏</w:t>
      </w:r>
      <w:bookmarkEnd w:id="1"/>
    </w:p>
    <w:p w:rsidR="00314406" w:rsidRDefault="00907970">
      <w:pPr>
        <w:spacing w:line="360" w:lineRule="auto"/>
        <w:ind w:firstLine="482"/>
        <w:jc w:val="left"/>
        <w:rPr>
          <w:rFonts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本章节分别按照“</w:t>
      </w:r>
      <w:bookmarkStart w:id="2" w:name="_Toc5785"/>
      <w:bookmarkStart w:id="3" w:name="_Toc28477"/>
      <w:bookmarkStart w:id="4" w:name="_Toc31660"/>
      <w:bookmarkStart w:id="5" w:name="_Toc16950"/>
      <w:bookmarkStart w:id="6" w:name="_Toc4920"/>
      <w:bookmarkStart w:id="7" w:name="_Toc21047"/>
      <w:bookmarkStart w:id="8" w:name="_Toc181"/>
      <w:bookmarkStart w:id="9" w:name="_Toc32239"/>
      <w:bookmarkStart w:id="10" w:name="_Toc2586"/>
      <w:bookmarkStart w:id="11" w:name="_Toc18116"/>
      <w:bookmarkStart w:id="12" w:name="_Toc19177"/>
      <w:bookmarkStart w:id="13" w:name="_Toc1031"/>
      <w:bookmarkStart w:id="14" w:name="_Toc28230"/>
      <w:bookmarkStart w:id="15" w:name="_Toc20696"/>
      <w:bookmarkStart w:id="16" w:name="_Toc26773"/>
      <w:bookmarkStart w:id="17" w:name="_Toc13489"/>
      <w:bookmarkStart w:id="18" w:name="_Toc20607"/>
      <w:bookmarkStart w:id="19" w:name="_Toc11367"/>
      <w:bookmarkStart w:id="20" w:name="_Toc25396"/>
      <w:bookmarkStart w:id="21" w:name="_Toc28402"/>
      <w:bookmarkStart w:id="22" w:name="_Toc4763"/>
      <w:bookmarkStart w:id="23" w:name="_Toc3594"/>
      <w:bookmarkStart w:id="24" w:name="_Toc27227"/>
      <w:bookmarkStart w:id="25" w:name="_Toc3239"/>
      <w:bookmarkStart w:id="26" w:name="_Toc23861"/>
      <w:bookmarkStart w:id="27" w:name="_Toc13982"/>
      <w:bookmarkStart w:id="28" w:name="_Toc18182"/>
      <w:bookmarkStart w:id="29" w:name="_Toc27010"/>
      <w:r>
        <w:rPr>
          <w:rFonts w:ascii="仿宋" w:eastAsia="仿宋" w:hAnsi="仿宋" w:hint="eastAsia"/>
          <w:sz w:val="24"/>
          <w:szCs w:val="24"/>
        </w:rPr>
        <w:t xml:space="preserve">4.1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仿宋" w:eastAsia="仿宋" w:hAnsi="仿宋" w:hint="eastAsia"/>
          <w:sz w:val="24"/>
          <w:szCs w:val="24"/>
        </w:rPr>
        <w:t>采种及处理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仿宋" w:eastAsia="仿宋" w:hAnsi="仿宋" w:hint="eastAsia"/>
          <w:sz w:val="24"/>
          <w:szCs w:val="24"/>
        </w:rPr>
        <w:t>；</w:t>
      </w:r>
      <w:bookmarkStart w:id="30" w:name="_Toc14801"/>
      <w:bookmarkStart w:id="31" w:name="_Toc29276"/>
      <w:bookmarkStart w:id="32" w:name="_Toc11693"/>
      <w:bookmarkStart w:id="33" w:name="_Toc25995"/>
      <w:bookmarkStart w:id="34" w:name="_Toc16132"/>
      <w:bookmarkStart w:id="35" w:name="_Toc16556"/>
      <w:bookmarkStart w:id="36" w:name="_Toc30636"/>
      <w:bookmarkStart w:id="37" w:name="_Toc25424"/>
      <w:bookmarkStart w:id="38" w:name="_Toc27946"/>
      <w:bookmarkStart w:id="39" w:name="_Toc30291"/>
      <w:bookmarkStart w:id="40" w:name="_Toc14073"/>
      <w:bookmarkStart w:id="41" w:name="_Toc14184"/>
      <w:bookmarkStart w:id="42" w:name="_Toc24308"/>
      <w:bookmarkStart w:id="43" w:name="_Toc16171"/>
      <w:bookmarkStart w:id="44" w:name="_Toc8548"/>
      <w:bookmarkStart w:id="45" w:name="_Toc30710"/>
      <w:bookmarkStart w:id="46" w:name="_Toc9028"/>
      <w:bookmarkStart w:id="47" w:name="_Toc10295"/>
      <w:bookmarkStart w:id="48" w:name="_Toc10907"/>
      <w:bookmarkStart w:id="49" w:name="_Toc23136"/>
      <w:bookmarkStart w:id="50" w:name="_Toc30761"/>
      <w:bookmarkStart w:id="51" w:name="_Toc1469"/>
      <w:bookmarkStart w:id="52" w:name="_Toc22478"/>
      <w:bookmarkStart w:id="53" w:name="_Toc6954"/>
      <w:bookmarkStart w:id="54" w:name="_Toc30768"/>
      <w:bookmarkStart w:id="55" w:name="_Toc21"/>
      <w:bookmarkStart w:id="56" w:name="_Toc23382"/>
      <w:bookmarkStart w:id="57" w:name="_Toc9613"/>
      <w:r>
        <w:rPr>
          <w:rFonts w:ascii="仿宋" w:eastAsia="仿宋" w:hAnsi="仿宋" w:hint="eastAsia"/>
          <w:sz w:val="24"/>
          <w:szCs w:val="24"/>
        </w:rPr>
        <w:t xml:space="preserve">4.2 </w:t>
      </w:r>
      <w:r>
        <w:rPr>
          <w:rFonts w:ascii="仿宋" w:eastAsia="仿宋" w:hAnsi="仿宋" w:hint="eastAsia"/>
          <w:sz w:val="24"/>
          <w:szCs w:val="24"/>
        </w:rPr>
        <w:t>种子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rFonts w:ascii="仿宋" w:eastAsia="仿宋" w:hAnsi="仿宋" w:hint="eastAsia"/>
          <w:sz w:val="24"/>
          <w:szCs w:val="24"/>
        </w:rPr>
        <w:t>贮藏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rFonts w:ascii="仿宋" w:eastAsia="仿宋" w:hAnsi="仿宋" w:hint="eastAsia"/>
          <w:sz w:val="24"/>
          <w:szCs w:val="24"/>
        </w:rPr>
        <w:t>；</w:t>
      </w:r>
      <w:bookmarkStart w:id="58" w:name="_Toc20683"/>
      <w:bookmarkStart w:id="59" w:name="_Toc14027"/>
      <w:bookmarkStart w:id="60" w:name="_Toc30586"/>
      <w:bookmarkStart w:id="61" w:name="_Toc27137"/>
      <w:bookmarkStart w:id="62" w:name="_Toc21600"/>
      <w:bookmarkStart w:id="63" w:name="_Toc27000"/>
      <w:bookmarkStart w:id="64" w:name="_Toc3048"/>
      <w:bookmarkStart w:id="65" w:name="_Toc13825"/>
      <w:bookmarkStart w:id="66" w:name="_Toc15259"/>
      <w:bookmarkStart w:id="67" w:name="_Toc23696"/>
      <w:bookmarkStart w:id="68" w:name="_Toc9890"/>
      <w:bookmarkStart w:id="69" w:name="_Toc9184"/>
      <w:bookmarkStart w:id="70" w:name="_Toc16133"/>
      <w:bookmarkStart w:id="71" w:name="_Toc20328"/>
      <w:bookmarkStart w:id="72" w:name="_Toc8210"/>
      <w:bookmarkStart w:id="73" w:name="_Toc11240"/>
      <w:bookmarkStart w:id="74" w:name="_Toc6460"/>
      <w:bookmarkStart w:id="75" w:name="_Toc16791"/>
      <w:bookmarkStart w:id="76" w:name="_Toc14908"/>
      <w:bookmarkStart w:id="77" w:name="_Toc178"/>
      <w:bookmarkStart w:id="78" w:name="_Toc15942"/>
      <w:bookmarkStart w:id="79" w:name="_Toc11190"/>
      <w:bookmarkStart w:id="80" w:name="_Toc17264"/>
      <w:bookmarkStart w:id="81" w:name="_Toc28780"/>
      <w:bookmarkStart w:id="82" w:name="_Toc19914"/>
      <w:bookmarkStart w:id="83" w:name="_Toc23096"/>
      <w:bookmarkStart w:id="84" w:name="_Toc26923"/>
      <w:bookmarkStart w:id="85" w:name="_Toc12922"/>
      <w:r>
        <w:rPr>
          <w:rFonts w:ascii="仿宋" w:eastAsia="仿宋" w:hAnsi="仿宋" w:hint="eastAsia"/>
          <w:sz w:val="24"/>
          <w:szCs w:val="24"/>
        </w:rPr>
        <w:t xml:space="preserve">4.3 </w:t>
      </w:r>
      <w:r>
        <w:rPr>
          <w:rFonts w:ascii="仿宋" w:eastAsia="仿宋" w:hAnsi="仿宋" w:hint="eastAsia"/>
          <w:sz w:val="24"/>
          <w:szCs w:val="24"/>
        </w:rPr>
        <w:t>种子质量要求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rFonts w:ascii="仿宋" w:eastAsia="仿宋" w:hAnsi="仿宋" w:hint="eastAsia"/>
          <w:sz w:val="24"/>
          <w:szCs w:val="24"/>
        </w:rPr>
        <w:t>”分别作出规定。参考引用了公开发表论文《山茶属五种稀有濒危植物种子的生物学特性研究》</w:t>
      </w:r>
      <w:r>
        <w:rPr>
          <w:rFonts w:ascii="仿宋" w:eastAsia="仿宋" w:hAnsi="仿宋" w:hint="eastAsia"/>
          <w:sz w:val="24"/>
          <w:szCs w:val="24"/>
        </w:rPr>
        <w:t>[9]</w:t>
      </w:r>
      <w:r>
        <w:rPr>
          <w:rFonts w:ascii="仿宋" w:eastAsia="仿宋" w:hAnsi="仿宋" w:hint="eastAsia"/>
          <w:sz w:val="24"/>
          <w:szCs w:val="24"/>
        </w:rPr>
        <w:t>和《贵州五种野山茶种子氨基酸及脂肪酸成分含量的研究》</w:t>
      </w:r>
      <w:r>
        <w:rPr>
          <w:rFonts w:ascii="仿宋" w:eastAsia="仿宋" w:hAnsi="仿宋" w:hint="eastAsia"/>
          <w:sz w:val="24"/>
          <w:szCs w:val="24"/>
          <w:vertAlign w:val="superscript"/>
        </w:rPr>
        <w:t>[10]</w:t>
      </w:r>
      <w:r>
        <w:rPr>
          <w:rFonts w:ascii="仿宋" w:eastAsia="仿宋" w:hAnsi="仿宋" w:hint="eastAsia"/>
          <w:sz w:val="24"/>
          <w:szCs w:val="24"/>
        </w:rPr>
        <w:t>的技术数据，综合我们的研究成果及其验证数据统计总结得出表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的结果，结合项目组的育苗实践，确定贵州红山茶最佳采种母树年龄为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年以上，最佳采种时间为</w:t>
      </w:r>
      <w:r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月上中旬到</w:t>
      </w: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月底，由于在不同的年份存在着一定的气候条件差异，具体采种时间以</w:t>
      </w:r>
      <w:r>
        <w:rPr>
          <w:rFonts w:eastAsia="仿宋" w:hAnsi="仿宋" w:hint="eastAsia"/>
          <w:sz w:val="24"/>
          <w:szCs w:val="24"/>
        </w:rPr>
        <w:t>果实渐变为黄棕色，自然开裂时开始采摘。将采摘的果实放在阴凉通风处堆放，堆放厚度不超过</w:t>
      </w:r>
      <w:r>
        <w:rPr>
          <w:rFonts w:eastAsia="仿宋" w:hAnsi="仿宋" w:hint="eastAsia"/>
          <w:sz w:val="24"/>
          <w:szCs w:val="24"/>
        </w:rPr>
        <w:t>20 cm</w:t>
      </w:r>
      <w:r>
        <w:rPr>
          <w:rFonts w:eastAsia="仿宋" w:hAnsi="仿宋" w:hint="eastAsia"/>
          <w:sz w:val="24"/>
          <w:szCs w:val="24"/>
        </w:rPr>
        <w:t>，待果实自然开裂后剥出种子。因贵州红山茶为大粒种子，为保持种子活力其含水量应保持在</w:t>
      </w:r>
      <w:r>
        <w:rPr>
          <w:sz w:val="24"/>
          <w:szCs w:val="24"/>
        </w:rPr>
        <w:t>40%</w:t>
      </w:r>
      <w:r>
        <w:rPr>
          <w:sz w:val="24"/>
          <w:szCs w:val="24"/>
        </w:rPr>
        <w:t>～</w:t>
      </w:r>
      <w:r>
        <w:rPr>
          <w:sz w:val="24"/>
          <w:szCs w:val="24"/>
        </w:rPr>
        <w:t>45%</w:t>
      </w:r>
      <w:r>
        <w:rPr>
          <w:rFonts w:hint="eastAsia"/>
          <w:sz w:val="24"/>
          <w:szCs w:val="24"/>
        </w:rPr>
        <w:t>。</w:t>
      </w:r>
    </w:p>
    <w:tbl>
      <w:tblPr>
        <w:tblpPr w:leftFromText="180" w:rightFromText="180" w:vertAnchor="text" w:horzAnchor="page" w:tblpX="1486" w:tblpY="266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175"/>
        <w:gridCol w:w="640"/>
        <w:gridCol w:w="830"/>
        <w:gridCol w:w="970"/>
        <w:gridCol w:w="760"/>
        <w:gridCol w:w="822"/>
        <w:gridCol w:w="810"/>
        <w:gridCol w:w="930"/>
        <w:gridCol w:w="878"/>
      </w:tblGrid>
      <w:tr w:rsidR="00314406">
        <w:trPr>
          <w:trHeight w:val="657"/>
        </w:trPr>
        <w:tc>
          <w:tcPr>
            <w:tcW w:w="89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贵州红山茶产地概况及种子性状</w:t>
            </w:r>
          </w:p>
        </w:tc>
      </w:tr>
      <w:tr w:rsidR="00314406">
        <w:trPr>
          <w:trHeight w:val="657"/>
        </w:trPr>
        <w:tc>
          <w:tcPr>
            <w:tcW w:w="10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产地</w:t>
            </w:r>
          </w:p>
        </w:tc>
        <w:tc>
          <w:tcPr>
            <w:tcW w:w="11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海拔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土壤类型</w:t>
            </w: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土壤</w:t>
            </w:r>
          </w:p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pH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采种时间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种子</w:t>
            </w:r>
          </w:p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完好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率</w:t>
            </w:r>
          </w:p>
        </w:tc>
        <w:tc>
          <w:tcPr>
            <w:tcW w:w="8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种子</w:t>
            </w:r>
          </w:p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千粒重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种子</w:t>
            </w:r>
          </w:p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含水量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种子</w:t>
            </w:r>
          </w:p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含油率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种子</w:t>
            </w:r>
          </w:p>
          <w:p w:rsidR="00314406" w:rsidRDefault="009079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生活力</w:t>
            </w:r>
          </w:p>
        </w:tc>
      </w:tr>
      <w:tr w:rsidR="00314406">
        <w:trPr>
          <w:trHeight w:val="716"/>
        </w:trPr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九龙山和宝塔山区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1200~1700m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黄壤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4.0~5.0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2015.11.5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42%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786.33g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43.15%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43.91%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14406" w:rsidRDefault="0090797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76.67%</w:t>
            </w:r>
          </w:p>
        </w:tc>
      </w:tr>
    </w:tbl>
    <w:p w:rsidR="00907970" w:rsidRDefault="00907970" w:rsidP="00907970">
      <w:pPr>
        <w:spacing w:line="5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:rsidR="00907970" w:rsidRDefault="00907970" w:rsidP="00907970">
      <w:pPr>
        <w:spacing w:line="5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:rsidR="00907970" w:rsidRDefault="00907970" w:rsidP="00907970">
      <w:pPr>
        <w:spacing w:line="5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:rsidR="00907970" w:rsidRDefault="00907970" w:rsidP="00907970">
      <w:pPr>
        <w:spacing w:line="5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:rsidR="00907970" w:rsidRDefault="00907970" w:rsidP="00907970">
      <w:pPr>
        <w:spacing w:line="5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:rsidR="00907970" w:rsidRDefault="00907970" w:rsidP="00907970">
      <w:pPr>
        <w:spacing w:line="5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:rsidR="00907970" w:rsidRDefault="00907970" w:rsidP="00907970">
      <w:pPr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</w:t>
      </w:r>
      <w:r>
        <w:rPr>
          <w:rFonts w:ascii="黑体" w:eastAsia="黑体" w:hAnsi="黑体" w:hint="eastAsia"/>
          <w:sz w:val="32"/>
          <w:szCs w:val="32"/>
        </w:rPr>
        <w:t>标准主要技术内容</w:t>
      </w:r>
      <w:r>
        <w:rPr>
          <w:rFonts w:ascii="黑体" w:eastAsia="黑体" w:hAnsi="黑体" w:hint="eastAsia"/>
          <w:sz w:val="32"/>
          <w:szCs w:val="32"/>
        </w:rPr>
        <w:t>（</w:t>
      </w:r>
      <w:r w:rsidRPr="00907970">
        <w:rPr>
          <w:rFonts w:ascii="仿宋_GB2312" w:eastAsia="仿宋_GB2312" w:hint="eastAsia"/>
          <w:sz w:val="32"/>
          <w:szCs w:val="32"/>
        </w:rPr>
        <w:t>可以用</w:t>
      </w:r>
      <w:r>
        <w:rPr>
          <w:rFonts w:ascii="仿宋_GB2312" w:eastAsia="仿宋_GB2312" w:hint="eastAsia"/>
          <w:sz w:val="32"/>
          <w:szCs w:val="32"/>
        </w:rPr>
        <w:t>生产模式图、操作明白纸</w:t>
      </w:r>
      <w:r>
        <w:rPr>
          <w:rFonts w:ascii="仿宋_GB2312" w:eastAsia="仿宋_GB2312" w:hint="eastAsia"/>
          <w:sz w:val="32"/>
          <w:szCs w:val="32"/>
        </w:rPr>
        <w:t>、明白卡</w:t>
      </w:r>
      <w:r>
        <w:rPr>
          <w:rFonts w:ascii="仿宋_GB2312" w:eastAsia="仿宋_GB2312" w:hint="eastAsia"/>
          <w:sz w:val="32"/>
          <w:szCs w:val="32"/>
        </w:rPr>
        <w:t>、风险管控手册</w:t>
      </w:r>
      <w:r>
        <w:rPr>
          <w:rFonts w:ascii="仿宋_GB2312" w:eastAsia="仿宋_GB2312" w:hint="eastAsia"/>
          <w:sz w:val="32"/>
          <w:szCs w:val="32"/>
        </w:rPr>
        <w:t>等形式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907970" w:rsidRDefault="00907970" w:rsidP="00907970">
      <w:pPr>
        <w:spacing w:line="50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示例：</w:t>
      </w:r>
    </w:p>
    <w:p w:rsidR="00907970" w:rsidRDefault="00907970" w:rsidP="00907970">
      <w:pPr>
        <w:spacing w:beforeLines="50" w:before="156" w:afterLines="50" w:after="156"/>
        <w:jc w:val="center"/>
        <w:rPr>
          <w:rFonts w:eastAsia="黑体"/>
        </w:rPr>
      </w:pPr>
      <w:r>
        <w:rPr>
          <w:b/>
          <w:szCs w:val="21"/>
          <w:lang w:val="en"/>
        </w:rPr>
        <w:t xml:space="preserve"> </w:t>
      </w:r>
      <w:r>
        <w:rPr>
          <w:rFonts w:eastAsia="黑体" w:hint="eastAsia"/>
        </w:rPr>
        <w:t>稻渔综合种养克</w:t>
      </w:r>
      <w:r>
        <w:rPr>
          <w:rFonts w:eastAsia="黑体"/>
        </w:rPr>
        <w:t>氏原螯虾</w:t>
      </w:r>
      <w:r>
        <w:rPr>
          <w:rFonts w:eastAsia="黑体" w:hint="eastAsia"/>
        </w:rPr>
        <w:t>繁殖技术规程明白卡</w:t>
      </w:r>
    </w:p>
    <w:p w:rsidR="00907970" w:rsidRDefault="00907970" w:rsidP="00907970">
      <w:pPr>
        <w:ind w:firstLineChars="200" w:firstLine="422"/>
        <w:jc w:val="left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/>
          <w:b/>
          <w:szCs w:val="21"/>
          <w:lang w:val="en"/>
        </w:rPr>
        <w:t xml:space="preserve"> </w:t>
      </w:r>
      <w:r>
        <w:rPr>
          <w:noProof/>
        </w:rPr>
        <w:drawing>
          <wp:inline distT="0" distB="0" distL="114300" distR="114300" wp14:anchorId="143CE4B8" wp14:editId="7F1F35BD">
            <wp:extent cx="5978525" cy="3480435"/>
            <wp:effectExtent l="0" t="0" r="3175" b="571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406" w:rsidRDefault="0031440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314406" w:rsidRDefault="00907970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四、其他内容</w:t>
      </w:r>
    </w:p>
    <w:sectPr w:rsidR="00314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9BBB"/>
    <w:multiLevelType w:val="singleLevel"/>
    <w:tmpl w:val="3EDD9BBB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AE"/>
    <w:rsid w:val="F7FF75C4"/>
    <w:rsid w:val="000576B9"/>
    <w:rsid w:val="00070751"/>
    <w:rsid w:val="000C7BBB"/>
    <w:rsid w:val="00114305"/>
    <w:rsid w:val="0028344C"/>
    <w:rsid w:val="00296CCC"/>
    <w:rsid w:val="002E4956"/>
    <w:rsid w:val="00314406"/>
    <w:rsid w:val="00345500"/>
    <w:rsid w:val="004513DB"/>
    <w:rsid w:val="00467F46"/>
    <w:rsid w:val="00512150"/>
    <w:rsid w:val="00553ADF"/>
    <w:rsid w:val="005D4BDD"/>
    <w:rsid w:val="00642E0F"/>
    <w:rsid w:val="006A3656"/>
    <w:rsid w:val="006A57E2"/>
    <w:rsid w:val="008724B7"/>
    <w:rsid w:val="008814EC"/>
    <w:rsid w:val="008F2F58"/>
    <w:rsid w:val="00907421"/>
    <w:rsid w:val="00907970"/>
    <w:rsid w:val="00972F57"/>
    <w:rsid w:val="00A6610A"/>
    <w:rsid w:val="00AA1542"/>
    <w:rsid w:val="00AB0B1A"/>
    <w:rsid w:val="00B444A0"/>
    <w:rsid w:val="00BF68A0"/>
    <w:rsid w:val="00C03311"/>
    <w:rsid w:val="00CF309A"/>
    <w:rsid w:val="00D5404C"/>
    <w:rsid w:val="00D8516F"/>
    <w:rsid w:val="00D919AE"/>
    <w:rsid w:val="00E131D4"/>
    <w:rsid w:val="00EC2B13"/>
    <w:rsid w:val="00EE3E4A"/>
    <w:rsid w:val="00F24EE6"/>
    <w:rsid w:val="00F9132E"/>
    <w:rsid w:val="3A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杨黎</cp:lastModifiedBy>
  <cp:revision>3</cp:revision>
  <dcterms:created xsi:type="dcterms:W3CDTF">2023-06-07T06:33:00Z</dcterms:created>
  <dcterms:modified xsi:type="dcterms:W3CDTF">2023-06-07T06:38:00Z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