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附件1</w:t>
      </w:r>
    </w:p>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jc w:val="center"/>
        <w:textAlignment w:val="auto"/>
        <w:rPr>
          <w:rFonts w:hint="eastAsia" w:ascii="方正小标宋简体" w:hAnsi="黑体" w:eastAsia="方正小标宋简体" w:cs="黑体"/>
          <w:bCs/>
          <w:sz w:val="44"/>
          <w:szCs w:val="44"/>
          <w:lang w:eastAsia="zh-CN"/>
        </w:rPr>
      </w:pPr>
      <w:r>
        <w:rPr>
          <w:rFonts w:hint="eastAsia" w:ascii="方正小标宋简体" w:hAnsi="黑体" w:eastAsia="方正小标宋简体" w:cs="黑体"/>
          <w:bCs/>
          <w:sz w:val="44"/>
          <w:szCs w:val="44"/>
          <w:lang w:eastAsia="zh-CN"/>
        </w:rPr>
        <w:t>企业准营（餐饮店）“一件事一次办”</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jc w:val="center"/>
        <w:textAlignment w:val="auto"/>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一次性告知单</w:t>
      </w:r>
    </w:p>
    <w:tbl>
      <w:tblPr>
        <w:tblStyle w:val="6"/>
        <w:tblpPr w:leftFromText="180" w:rightFromText="180" w:vertAnchor="text" w:horzAnchor="page" w:tblpX="758" w:tblpY="1134"/>
        <w:tblOverlap w:val="never"/>
        <w:tblW w:w="10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4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ind w:left="105" w:leftChars="50" w:right="105" w:rightChars="50"/>
              <w:jc w:val="center"/>
              <w:textAlignment w:val="auto"/>
              <w:rPr>
                <w:rFonts w:hint="eastAsia" w:ascii="楷体" w:hAnsi="楷体" w:eastAsia="楷体" w:cs="楷体"/>
                <w:b/>
                <w:bCs/>
                <w:kern w:val="2"/>
                <w:sz w:val="32"/>
                <w:szCs w:val="32"/>
                <w:lang w:val="en-US" w:eastAsia="zh-CN" w:bidi="ar-SA"/>
              </w:rPr>
            </w:pPr>
            <w:r>
              <w:rPr>
                <w:rFonts w:hint="eastAsia" w:ascii="黑体" w:hAnsi="黑体" w:eastAsia="黑体" w:cs="黑体"/>
                <w:b/>
                <w:bCs/>
                <w:sz w:val="32"/>
                <w:szCs w:val="32"/>
              </w:rPr>
              <w:t>“集成套餐”综合</w:t>
            </w:r>
            <w:r>
              <w:rPr>
                <w:rFonts w:hint="eastAsia" w:ascii="黑体" w:hAnsi="黑体" w:eastAsia="黑体" w:cs="黑体"/>
                <w:b/>
                <w:bCs/>
                <w:sz w:val="32"/>
                <w:szCs w:val="32"/>
                <w:lang w:eastAsia="zh-CN"/>
              </w:rPr>
              <w:t>受理</w:t>
            </w:r>
            <w:r>
              <w:rPr>
                <w:rFonts w:hint="eastAsia" w:ascii="黑体" w:hAnsi="黑体" w:eastAsia="黑体" w:cs="黑体"/>
                <w:b/>
                <w:bCs/>
                <w:sz w:val="32"/>
                <w:szCs w:val="32"/>
              </w:rPr>
              <w:t>窗口统一收件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4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ind w:left="105" w:leftChars="50" w:right="105" w:rightChars="50"/>
              <w:jc w:val="center"/>
              <w:textAlignment w:val="auto"/>
              <w:rPr>
                <w:rFonts w:hint="eastAsia" w:ascii="楷体" w:hAnsi="楷体" w:eastAsia="楷体" w:cs="楷体"/>
                <w:b/>
                <w:bCs/>
                <w:sz w:val="32"/>
                <w:szCs w:val="32"/>
              </w:rPr>
            </w:pPr>
            <w:r>
              <w:rPr>
                <w:rFonts w:hint="eastAsia" w:ascii="楷体" w:hAnsi="楷体" w:eastAsia="楷体" w:cs="楷体"/>
                <w:b/>
                <w:bCs/>
                <w:sz w:val="28"/>
                <w:szCs w:val="28"/>
              </w:rPr>
              <w:t>套餐办理内容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424"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numPr>
                <w:ilvl w:val="0"/>
                <w:numId w:val="1"/>
              </w:numPr>
              <w:kinsoku/>
              <w:wordWrap/>
              <w:overflowPunct/>
              <w:topLinePunct w:val="0"/>
              <w:autoSpaceDE/>
              <w:autoSpaceDN/>
              <w:bidi w:val="0"/>
              <w:spacing w:line="320" w:lineRule="exact"/>
              <w:ind w:left="462" w:leftChars="50" w:right="105" w:rightChars="50" w:hanging="357" w:firstLineChars="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食品经营许可证（新办）</w:t>
            </w:r>
          </w:p>
          <w:p>
            <w:pPr>
              <w:pStyle w:val="8"/>
              <w:keepNext w:val="0"/>
              <w:keepLines w:val="0"/>
              <w:pageBreakBefore w:val="0"/>
              <w:widowControl w:val="0"/>
              <w:numPr>
                <w:ilvl w:val="0"/>
                <w:numId w:val="1"/>
              </w:numPr>
              <w:kinsoku/>
              <w:wordWrap/>
              <w:overflowPunct/>
              <w:topLinePunct w:val="0"/>
              <w:autoSpaceDE/>
              <w:autoSpaceDN/>
              <w:bidi w:val="0"/>
              <w:spacing w:line="320" w:lineRule="exact"/>
              <w:ind w:left="462" w:leftChars="50" w:right="105" w:rightChars="50" w:hanging="357" w:firstLineChars="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设置大型户外广告及在城市建筑物、设施上悬挂、张贴宣传品审批</w:t>
            </w:r>
          </w:p>
          <w:p>
            <w:pPr>
              <w:pStyle w:val="8"/>
              <w:keepNext w:val="0"/>
              <w:keepLines w:val="0"/>
              <w:pageBreakBefore w:val="0"/>
              <w:widowControl w:val="0"/>
              <w:numPr>
                <w:ilvl w:val="0"/>
                <w:numId w:val="1"/>
              </w:numPr>
              <w:kinsoku/>
              <w:wordWrap/>
              <w:overflowPunct/>
              <w:topLinePunct w:val="0"/>
              <w:autoSpaceDE/>
              <w:autoSpaceDN/>
              <w:bidi w:val="0"/>
              <w:spacing w:line="320" w:lineRule="exact"/>
              <w:ind w:left="462" w:leftChars="50" w:right="105" w:rightChars="50" w:hanging="357" w:firstLineChars="0"/>
              <w:jc w:val="center"/>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公众聚集场所投入使用、营业前消防安全检查（不超过300㎡的商店、宾馆、饭店可不申请投入使用、营业前消防安全检查）</w:t>
            </w:r>
          </w:p>
          <w:p>
            <w:pPr>
              <w:pStyle w:val="8"/>
              <w:keepNext w:val="0"/>
              <w:keepLines w:val="0"/>
              <w:pageBreakBefore w:val="0"/>
              <w:widowControl w:val="0"/>
              <w:numPr>
                <w:ilvl w:val="0"/>
                <w:numId w:val="0"/>
              </w:numPr>
              <w:kinsoku/>
              <w:wordWrap/>
              <w:overflowPunct/>
              <w:topLinePunct w:val="0"/>
              <w:autoSpaceDE/>
              <w:autoSpaceDN/>
              <w:bidi w:val="0"/>
              <w:spacing w:line="320" w:lineRule="exact"/>
              <w:ind w:left="105" w:leftChars="50" w:right="105" w:rightChars="50"/>
              <w:jc w:val="center"/>
              <w:textAlignment w:val="auto"/>
              <w:rPr>
                <w:rFonts w:hint="eastAsia" w:ascii="仿宋" w:hAnsi="仿宋" w:eastAsia="仿宋"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ind w:left="105" w:leftChars="50" w:right="105" w:rightChars="50"/>
              <w:jc w:val="center"/>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所需材料</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ind w:left="105" w:leftChars="50" w:right="105" w:rightChars="50"/>
              <w:jc w:val="center"/>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firstLine="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1.食品经营许可证（新办）申请书</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线下申请的提交纸质版原件1份，线上申请的通过系统提交系统生成的电子版申请书。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2.与食品经营相适应的主要设备设施布局、操作流程等文件</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线下申请的提交原件1份，线上申请的通过系统提交电子版申请材料。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3.法定代表人（负责人）、食品安全管理人员的身份证明复印件</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线下申请的提交纸质版复印件1份，复印件应当注明“与原件一致”并由申请人签署，或者由其指定的代表或共同委托的代理人签字。线上申请的通过系统提交电子版申请材料。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4.食品安全管理制度</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线下申请的提供法定代表人（负责人）签字、加盖公章的食品安全管理制度原件1份。线上申请的通过系统提交电子版申请材料。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5.从事直接入口食品经营、散装食品经营和餐饮服务的，需提交食品从业人员健康证明</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线下申请的提交纸质版复印件1份，复印件应当注明“与原件一致”并由申请人签署，或者由其指定的代表或共同委托的代理人签字。线上申请的通过系统提交电子版申请材料。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color w:val="FF0000"/>
                <w:kern w:val="2"/>
                <w:sz w:val="21"/>
                <w:szCs w:val="21"/>
                <w:lang w:val="en-US" w:eastAsia="zh-CN" w:bidi="ar-SA"/>
              </w:rPr>
            </w:pPr>
            <w:r>
              <w:rPr>
                <w:rFonts w:hint="eastAsia" w:ascii="仿宋" w:hAnsi="仿宋" w:eastAsia="仿宋" w:cs="仿宋"/>
                <w:color w:val="auto"/>
                <w:kern w:val="2"/>
                <w:sz w:val="21"/>
                <w:szCs w:val="21"/>
                <w:lang w:val="en-US" w:eastAsia="zh-CN" w:bidi="ar-SA"/>
              </w:rPr>
              <w:t>6.设置户外广告申请书及户外广告安全责任书</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color w:val="FF0000"/>
                <w:kern w:val="2"/>
                <w:sz w:val="21"/>
                <w:szCs w:val="21"/>
                <w:lang w:val="en-US" w:eastAsia="zh-CN" w:bidi="ar-SA"/>
              </w:rPr>
            </w:pPr>
            <w:r>
              <w:rPr>
                <w:rFonts w:hint="eastAsia" w:ascii="仿宋" w:hAnsi="仿宋" w:eastAsia="仿宋" w:cs="仿宋"/>
                <w:kern w:val="2"/>
                <w:sz w:val="21"/>
                <w:szCs w:val="21"/>
                <w:lang w:val="en-US" w:eastAsia="zh-CN" w:bidi="ar-SA"/>
              </w:rPr>
              <w:t>提交有申请人签字或签章纸质版原件1份,符合模板格式要求。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color w:val="FF0000"/>
                <w:kern w:val="2"/>
                <w:sz w:val="21"/>
                <w:szCs w:val="21"/>
                <w:lang w:val="en-US" w:eastAsia="zh-CN" w:bidi="ar-SA"/>
              </w:rPr>
            </w:pPr>
            <w:r>
              <w:rPr>
                <w:rFonts w:hint="eastAsia" w:ascii="仿宋" w:hAnsi="仿宋" w:eastAsia="仿宋" w:cs="仿宋"/>
                <w:color w:val="auto"/>
                <w:kern w:val="2"/>
                <w:sz w:val="21"/>
                <w:szCs w:val="21"/>
                <w:lang w:val="en-US" w:eastAsia="zh-CN" w:bidi="ar-SA"/>
              </w:rPr>
              <w:t>7.设置场地、场所、建构筑物、设施等的权属证明材料。属于自建房的需要提交房屋安全鉴定合格证明。</w:t>
            </w:r>
            <w:bookmarkStart w:id="0" w:name="_GoBack"/>
            <w:bookmarkEnd w:id="0"/>
            <w:r>
              <w:rPr>
                <w:rFonts w:hint="eastAsia" w:ascii="仿宋" w:hAnsi="仿宋" w:eastAsia="仿宋" w:cs="仿宋"/>
                <w:color w:val="auto"/>
                <w:kern w:val="2"/>
                <w:sz w:val="21"/>
                <w:szCs w:val="21"/>
                <w:lang w:val="en-US" w:eastAsia="zh-CN" w:bidi="ar-SA"/>
              </w:rPr>
              <w:t>其中，租赁场地、建构筑物、设施设置的，还应当提供产权人同意设置的证明材料。</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验原件，提交有申请人签字或签章的纸质版复印件1份。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color w:val="FF0000"/>
                <w:kern w:val="2"/>
                <w:sz w:val="21"/>
                <w:szCs w:val="21"/>
                <w:lang w:val="en-US" w:eastAsia="zh-CN" w:bidi="ar-SA"/>
              </w:rPr>
            </w:pPr>
            <w:r>
              <w:rPr>
                <w:rFonts w:hint="eastAsia" w:ascii="仿宋" w:hAnsi="仿宋" w:eastAsia="仿宋" w:cs="仿宋"/>
                <w:color w:val="auto"/>
                <w:kern w:val="2"/>
                <w:sz w:val="21"/>
                <w:szCs w:val="21"/>
                <w:lang w:val="en-US" w:eastAsia="zh-CN" w:bidi="ar-SA"/>
              </w:rPr>
              <w:t>8.户外广告设施有关设计文件（至少包含装修前后对比实际图和广告尺寸及材质图）</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验原件，收复印件1份、电子版/纸质版等。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color w:val="FF0000"/>
                <w:kern w:val="2"/>
                <w:sz w:val="21"/>
                <w:szCs w:val="21"/>
                <w:lang w:val="en-US" w:eastAsia="zh-CN" w:bidi="ar-SA"/>
              </w:rPr>
            </w:pPr>
            <w:r>
              <w:rPr>
                <w:rFonts w:hint="eastAsia" w:ascii="仿宋" w:hAnsi="仿宋" w:eastAsia="仿宋" w:cs="仿宋"/>
                <w:color w:val="auto"/>
                <w:kern w:val="2"/>
                <w:sz w:val="21"/>
                <w:szCs w:val="21"/>
                <w:lang w:val="en-US" w:eastAsia="zh-CN" w:bidi="ar-SA"/>
              </w:rPr>
              <w:t>9.涉及年审的需提供安全检测机构出具的《安全检测报告》（非必要）（适用于设置大型户外广告）</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需安全检查机构盖章，提供原件1份。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10.户外广告设施施工、运行安全承诺书（适用于设置大型户外广告）</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kern w:val="2"/>
                <w:sz w:val="21"/>
                <w:szCs w:val="21"/>
                <w:lang w:val="en-US" w:eastAsia="zh-CN" w:bidi="ar-SA"/>
              </w:rPr>
              <w:t>验原件，</w:t>
            </w:r>
            <w:r>
              <w:rPr>
                <w:rFonts w:hint="eastAsia" w:ascii="仿宋" w:hAnsi="仿宋" w:eastAsia="仿宋" w:cs="仿宋"/>
                <w:color w:val="auto"/>
                <w:kern w:val="2"/>
                <w:sz w:val="21"/>
                <w:szCs w:val="21"/>
                <w:lang w:val="en-US" w:eastAsia="zh-CN" w:bidi="ar-SA"/>
              </w:rPr>
              <w:t>需提供盖章的复印件。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color w:val="FF0000"/>
                <w:kern w:val="2"/>
                <w:sz w:val="21"/>
                <w:szCs w:val="21"/>
                <w:lang w:val="en-US" w:eastAsia="zh-CN" w:bidi="ar-SA"/>
              </w:rPr>
            </w:pPr>
            <w:r>
              <w:rPr>
                <w:rFonts w:hint="eastAsia" w:ascii="仿宋" w:hAnsi="仿宋" w:eastAsia="仿宋" w:cs="仿宋"/>
                <w:color w:val="auto"/>
                <w:kern w:val="2"/>
                <w:sz w:val="21"/>
                <w:szCs w:val="21"/>
                <w:lang w:val="en-US" w:eastAsia="zh-CN" w:bidi="ar-SA"/>
              </w:rPr>
              <w:t>11.</w:t>
            </w:r>
            <w:r>
              <w:rPr>
                <w:rFonts w:hint="eastAsia" w:ascii="仿宋" w:hAnsi="仿宋" w:eastAsia="仿宋" w:cs="仿宋"/>
                <w:kern w:val="2"/>
                <w:sz w:val="21"/>
                <w:szCs w:val="21"/>
                <w:lang w:val="en-US" w:eastAsia="zh-CN" w:bidi="ar-SA"/>
              </w:rPr>
              <w:t>委托书及委托代理人身份证复印件（非必要）</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提供委托书纸质版原件及委托代理人有效身份证复印件1份。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color w:val="FF0000"/>
                <w:kern w:val="2"/>
                <w:sz w:val="21"/>
                <w:szCs w:val="21"/>
                <w:lang w:val="en-US" w:eastAsia="zh-CN" w:bidi="ar-SA"/>
              </w:rPr>
            </w:pPr>
            <w:r>
              <w:rPr>
                <w:rFonts w:hint="eastAsia" w:ascii="仿宋" w:hAnsi="仿宋" w:eastAsia="仿宋" w:cs="仿宋"/>
                <w:kern w:val="2"/>
                <w:sz w:val="21"/>
                <w:szCs w:val="21"/>
                <w:lang w:val="en-US" w:eastAsia="zh-CN" w:bidi="ar-SA"/>
              </w:rPr>
              <w:t>12.广告涉及相应商标的需要提供相应商标的资质及授权书（不涉及的不需提供）</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验原件，收复印件1份、电子版/纸质版等。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color w:val="auto"/>
                <w:kern w:val="2"/>
                <w:sz w:val="21"/>
                <w:szCs w:val="21"/>
                <w:lang w:val="en-US" w:eastAsia="zh-CN" w:bidi="ar-SA"/>
              </w:rPr>
              <w:t>13.提供与一楼商家协议同意占用一楼商铺门前装修的协议（非必要）（适用于设置大型户外广告）</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color w:val="auto"/>
                <w:kern w:val="2"/>
                <w:sz w:val="21"/>
                <w:szCs w:val="21"/>
                <w:lang w:val="en-US" w:eastAsia="zh-CN" w:bidi="ar-SA"/>
              </w:rPr>
              <w:t>提交复印件1份，需占用一楼商铺门负责人签字盖章。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14.消防安全检查申报表或公众</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聚集场所消防安全承诺书或公</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众聚集场所投入使用、营业消防</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安全告知承诺书（根据单位申办</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w:t>
            </w:r>
            <w:r>
              <w:rPr>
                <w:rFonts w:hint="default" w:ascii="仿宋" w:hAnsi="仿宋" w:eastAsia="仿宋" w:cs="仿宋"/>
                <w:color w:val="auto"/>
                <w:kern w:val="2"/>
                <w:sz w:val="21"/>
                <w:szCs w:val="21"/>
                <w:lang w:val="en-US" w:eastAsia="zh-CN" w:bidi="ar-SA"/>
              </w:rPr>
              <w:t>方式择一提交）</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根据申报单位的实际情况提交、填写。</w:t>
            </w:r>
            <w:r>
              <w:rPr>
                <w:rFonts w:hint="default" w:ascii="仿宋" w:hAnsi="仿宋" w:eastAsia="仿宋" w:cs="仿宋"/>
                <w:b/>
                <w:bCs/>
                <w:color w:val="auto"/>
                <w:kern w:val="2"/>
                <w:sz w:val="21"/>
                <w:szCs w:val="21"/>
                <w:lang w:val="en-US" w:eastAsia="zh-CN" w:bidi="ar-SA"/>
              </w:rPr>
              <w:t>申报制</w:t>
            </w:r>
            <w:r>
              <w:rPr>
                <w:rFonts w:hint="default" w:ascii="仿宋" w:hAnsi="仿宋" w:eastAsia="仿宋" w:cs="仿宋"/>
                <w:color w:val="auto"/>
                <w:kern w:val="2"/>
                <w:sz w:val="21"/>
                <w:szCs w:val="21"/>
                <w:lang w:val="en-US" w:eastAsia="zh-CN" w:bidi="ar-SA"/>
              </w:rPr>
              <w:t>提交消防安全检查申报表纸质</w:t>
            </w:r>
          </w:p>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版原件1份，</w:t>
            </w:r>
            <w:r>
              <w:rPr>
                <w:rFonts w:hint="default" w:ascii="仿宋" w:hAnsi="仿宋" w:eastAsia="仿宋" w:cs="仿宋"/>
                <w:b/>
                <w:bCs/>
                <w:color w:val="auto"/>
                <w:kern w:val="2"/>
                <w:sz w:val="21"/>
                <w:szCs w:val="21"/>
                <w:lang w:val="en-US" w:eastAsia="zh-CN" w:bidi="ar-SA"/>
              </w:rPr>
              <w:t>告知承诺制</w:t>
            </w:r>
            <w:r>
              <w:rPr>
                <w:rFonts w:hint="default" w:ascii="仿宋" w:hAnsi="仿宋" w:eastAsia="仿宋" w:cs="仿宋"/>
                <w:color w:val="auto"/>
                <w:kern w:val="2"/>
                <w:sz w:val="21"/>
                <w:szCs w:val="21"/>
                <w:lang w:val="en-US" w:eastAsia="zh-CN" w:bidi="ar-SA"/>
              </w:rPr>
              <w:t>提交公众聚集场所消防安全承诺书或公众聚集场所</w:t>
            </w:r>
          </w:p>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投入使用、营业消防安全告知承诺书纸质版原件1份，且申报场所法定代表</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                              人或主要负责人当场作出承诺。</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15.消防安全制度、灭火和应急疏散预案（容缺受理材料）</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提交纸质版复印件1份，加盖建设单位公章（制度需明确各个岗位消防安全</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责任，由申报单位自行编制，申请人如缺少消防安全制度的，可以在消防救</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                                援机构现场核查时提交）</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16.场所平面布置图、场所消防设施平面图（容缺受理材料）</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交纸质版复印件各1份，加盖建设单位公章（场所平面布置图要能真实反映场所实际情况，场所消防设施平面图要能真实反映消防设施实际情况，申请人如缺少场所平面布置图或场所消防设施平面图的，可以在消防救援机构现场核查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17.员工岗前消防安全教育培训</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记录（容缺受理材料）</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楷体" w:hAnsi="楷体" w:eastAsia="楷体" w:cs="楷体"/>
                <w:b/>
                <w:bCs/>
                <w:kern w:val="2"/>
                <w:sz w:val="28"/>
                <w:szCs w:val="28"/>
                <w:lang w:val="en-US" w:eastAsia="zh-CN" w:bidi="ar-SA"/>
              </w:rPr>
            </w:pPr>
          </w:p>
        </w:tc>
        <w:tc>
          <w:tcPr>
            <w:tcW w:w="7199"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kern w:val="2"/>
                <w:sz w:val="21"/>
                <w:szCs w:val="21"/>
                <w:lang w:val="en-US" w:eastAsia="zh-CN" w:bidi="ar-SA"/>
              </w:rPr>
            </w:pPr>
            <w:r>
              <w:t>                                </w:t>
            </w:r>
            <w:r>
              <w:rPr>
                <w:rFonts w:hint="eastAsia" w:ascii="仿宋" w:hAnsi="仿宋" w:eastAsia="仿宋" w:cs="仿宋"/>
                <w:color w:val="auto"/>
                <w:kern w:val="2"/>
                <w:sz w:val="21"/>
                <w:szCs w:val="21"/>
                <w:lang w:val="en-US" w:eastAsia="zh-CN" w:bidi="ar-SA"/>
              </w:rPr>
              <w:t>提交纸质版复印件1</w:t>
            </w:r>
            <w:r>
              <w:rPr>
                <w:rFonts w:hint="default" w:ascii="仿宋" w:hAnsi="仿宋" w:eastAsia="仿宋" w:cs="仿宋"/>
                <w:color w:val="auto"/>
                <w:kern w:val="2"/>
                <w:sz w:val="21"/>
                <w:szCs w:val="21"/>
                <w:lang w:val="en-US" w:eastAsia="zh-CN" w:bidi="ar-SA"/>
              </w:rPr>
              <w:t>份。</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楷体" w:hAnsi="楷体" w:eastAsia="楷体" w:cs="楷体"/>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18.自动消防系统操作人员取得</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的消防行业特有工种职业资格</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证书（不涉及的不需提供）</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    （容缺受理材料）</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楷体" w:hAnsi="楷体" w:eastAsia="楷体" w:cs="楷体"/>
                <w:b/>
                <w:bCs/>
                <w:kern w:val="2"/>
                <w:sz w:val="28"/>
                <w:szCs w:val="28"/>
                <w:lang w:val="en-US" w:eastAsia="zh-CN" w:bidi="ar-SA"/>
              </w:rPr>
            </w:pPr>
          </w:p>
        </w:tc>
        <w:tc>
          <w:tcPr>
            <w:tcW w:w="7199" w:type="dxa"/>
            <w:tcBorders>
              <w:top w:val="single" w:color="auto" w:sz="4" w:space="0"/>
              <w:left w:val="nil"/>
              <w:bottom w:val="single" w:color="auto" w:sz="4" w:space="0"/>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具有自动消防设施的单位需提供消防设施操作员职业资格证书复印件，也可由消防救援机构网上核查。</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楷体" w:hAnsi="楷体" w:eastAsia="楷体" w:cs="楷体"/>
                <w:b w:val="0"/>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承诺办结时限</w:t>
            </w:r>
          </w:p>
        </w:tc>
        <w:tc>
          <w:tcPr>
            <w:tcW w:w="71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lang w:val="en-US" w:eastAsia="zh-CN"/>
              </w:rPr>
            </w:pPr>
            <w:r>
              <w:rPr>
                <w:rFonts w:hint="eastAsia"/>
                <w:lang w:val="en-US" w:eastAsia="zh-CN"/>
              </w:rPr>
              <w:t>10个工作日</w:t>
            </w:r>
          </w:p>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（对于建筑面积1万平方米以下的宾馆、饭店、商场、集贸市场，建筑面积</w:t>
            </w:r>
          </w:p>
          <w:p>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auto"/>
              <w:rPr>
                <w:rFonts w:hint="default"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val="en-US" w:eastAsia="zh-CN" w:bidi="ar-SA"/>
              </w:rPr>
              <w:t>3000平方米以下的公共娱乐场所，选择申报制办理公众聚集场所投入使用、</w:t>
            </w:r>
          </w:p>
          <w:p>
            <w:pPr>
              <w:pStyle w:val="4"/>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pPr>
            <w:r>
              <w:rPr>
                <w:rFonts w:hint="default" w:ascii="仿宋" w:hAnsi="仿宋" w:eastAsia="仿宋" w:cs="仿宋"/>
                <w:color w:val="auto"/>
                <w:kern w:val="2"/>
                <w:sz w:val="21"/>
                <w:szCs w:val="21"/>
                <w:lang w:val="en-US" w:eastAsia="zh-CN" w:bidi="ar-SA"/>
              </w:rPr>
              <w:t>  营业前消防安全检查的，缩减办理时限，自受理之日起5个工作日内办结）</w:t>
            </w:r>
          </w:p>
          <w:p>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rPr>
      </w:pPr>
    </w:p>
    <w:p>
      <w:pPr>
        <w:keepNext w:val="0"/>
        <w:keepLines w:val="0"/>
        <w:pageBreakBefore w:val="0"/>
        <w:widowControl w:val="0"/>
        <w:kinsoku/>
        <w:wordWrap/>
        <w:overflowPunct/>
        <w:topLinePunct w:val="0"/>
        <w:autoSpaceDE/>
        <w:autoSpaceDN/>
        <w:bidi w:val="0"/>
        <w:ind w:left="105" w:leftChars="50" w:right="105" w:rightChars="50"/>
        <w:jc w:val="center"/>
        <w:textAlignment w:val="auto"/>
      </w:pPr>
    </w:p>
    <w:p>
      <w:pPr>
        <w:pStyle w:val="2"/>
        <w:keepNext w:val="0"/>
        <w:keepLines w:val="0"/>
        <w:pageBreakBefore w:val="0"/>
        <w:widowControl w:val="0"/>
        <w:kinsoku/>
        <w:wordWrap/>
        <w:overflowPunct/>
        <w:topLinePunct w:val="0"/>
        <w:autoSpaceDE/>
        <w:autoSpaceDN/>
        <w:bidi w:val="0"/>
        <w:ind w:left="105" w:leftChars="50" w:right="105" w:rightChars="50"/>
        <w:jc w:val="center"/>
        <w:textAlignment w:val="auto"/>
      </w:pPr>
    </w:p>
    <w:p>
      <w:pPr>
        <w:pStyle w:val="3"/>
        <w:keepNext w:val="0"/>
        <w:keepLines w:val="0"/>
        <w:pageBreakBefore w:val="0"/>
        <w:widowControl w:val="0"/>
        <w:kinsoku/>
        <w:wordWrap/>
        <w:overflowPunct/>
        <w:topLinePunct w:val="0"/>
        <w:autoSpaceDE/>
        <w:autoSpaceDN/>
        <w:bidi w:val="0"/>
        <w:ind w:left="105" w:leftChars="50" w:right="105" w:rightChars="50"/>
        <w:jc w:val="center"/>
        <w:textAlignment w:val="auto"/>
      </w:pPr>
    </w:p>
    <w:p>
      <w:pPr>
        <w:pStyle w:val="3"/>
        <w:keepNext w:val="0"/>
        <w:keepLines w:val="0"/>
        <w:pageBreakBefore w:val="0"/>
        <w:widowControl w:val="0"/>
        <w:kinsoku/>
        <w:wordWrap/>
        <w:overflowPunct/>
        <w:topLinePunct w:val="0"/>
        <w:autoSpaceDE/>
        <w:autoSpaceDN/>
        <w:bidi w:val="0"/>
        <w:ind w:left="105" w:leftChars="50" w:right="105" w:rightChars="50"/>
        <w:jc w:val="center"/>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1474B"/>
    <w:multiLevelType w:val="multilevel"/>
    <w:tmpl w:val="1911474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03950"/>
    <w:rsid w:val="000079FC"/>
    <w:rsid w:val="00377E35"/>
    <w:rsid w:val="00CA4FAD"/>
    <w:rsid w:val="00DE4634"/>
    <w:rsid w:val="0192353D"/>
    <w:rsid w:val="019E031C"/>
    <w:rsid w:val="01D74F3A"/>
    <w:rsid w:val="03307BE2"/>
    <w:rsid w:val="03BB4F0C"/>
    <w:rsid w:val="03CF4026"/>
    <w:rsid w:val="03CF728F"/>
    <w:rsid w:val="0582307F"/>
    <w:rsid w:val="05B90965"/>
    <w:rsid w:val="06860D05"/>
    <w:rsid w:val="06FD2348"/>
    <w:rsid w:val="07406EEF"/>
    <w:rsid w:val="07A95582"/>
    <w:rsid w:val="07BC586B"/>
    <w:rsid w:val="08132952"/>
    <w:rsid w:val="08151A30"/>
    <w:rsid w:val="088B6480"/>
    <w:rsid w:val="08D076F8"/>
    <w:rsid w:val="09661B49"/>
    <w:rsid w:val="0A033BD9"/>
    <w:rsid w:val="0B97202A"/>
    <w:rsid w:val="0CB872E0"/>
    <w:rsid w:val="0CE35923"/>
    <w:rsid w:val="0DC14003"/>
    <w:rsid w:val="0DDD1B06"/>
    <w:rsid w:val="0E0D672E"/>
    <w:rsid w:val="0E404301"/>
    <w:rsid w:val="0E6B3A5B"/>
    <w:rsid w:val="0E934FF9"/>
    <w:rsid w:val="1032682D"/>
    <w:rsid w:val="10D329FE"/>
    <w:rsid w:val="10F91068"/>
    <w:rsid w:val="1107648F"/>
    <w:rsid w:val="11282727"/>
    <w:rsid w:val="11366DAD"/>
    <w:rsid w:val="113B6C6B"/>
    <w:rsid w:val="118A2FB6"/>
    <w:rsid w:val="11C6795A"/>
    <w:rsid w:val="125D42A4"/>
    <w:rsid w:val="127500F1"/>
    <w:rsid w:val="12A30B36"/>
    <w:rsid w:val="138F1069"/>
    <w:rsid w:val="14E568F3"/>
    <w:rsid w:val="15A94FD8"/>
    <w:rsid w:val="180804D3"/>
    <w:rsid w:val="187F48A5"/>
    <w:rsid w:val="19126B0A"/>
    <w:rsid w:val="192F671D"/>
    <w:rsid w:val="1D2D225A"/>
    <w:rsid w:val="1E6874B3"/>
    <w:rsid w:val="1EA663C8"/>
    <w:rsid w:val="1EE5397A"/>
    <w:rsid w:val="1F201282"/>
    <w:rsid w:val="1F8F666A"/>
    <w:rsid w:val="1FA37047"/>
    <w:rsid w:val="211C1101"/>
    <w:rsid w:val="233864DC"/>
    <w:rsid w:val="235D0B6D"/>
    <w:rsid w:val="23BE330D"/>
    <w:rsid w:val="264E6DB0"/>
    <w:rsid w:val="265928DE"/>
    <w:rsid w:val="27814582"/>
    <w:rsid w:val="27903BA3"/>
    <w:rsid w:val="28FB798A"/>
    <w:rsid w:val="2A2516CA"/>
    <w:rsid w:val="2B783BAD"/>
    <w:rsid w:val="2CC03950"/>
    <w:rsid w:val="2CF72B3A"/>
    <w:rsid w:val="2D4B511E"/>
    <w:rsid w:val="2DB14669"/>
    <w:rsid w:val="2E870842"/>
    <w:rsid w:val="2E995860"/>
    <w:rsid w:val="2EFB2534"/>
    <w:rsid w:val="30095011"/>
    <w:rsid w:val="30160F86"/>
    <w:rsid w:val="30176F2F"/>
    <w:rsid w:val="303B153B"/>
    <w:rsid w:val="31D76D6D"/>
    <w:rsid w:val="32A80745"/>
    <w:rsid w:val="3324248C"/>
    <w:rsid w:val="344018E5"/>
    <w:rsid w:val="34511403"/>
    <w:rsid w:val="34593A7A"/>
    <w:rsid w:val="35221DED"/>
    <w:rsid w:val="362E0766"/>
    <w:rsid w:val="36C77E35"/>
    <w:rsid w:val="36C958F1"/>
    <w:rsid w:val="36DE7B4C"/>
    <w:rsid w:val="36DF65A7"/>
    <w:rsid w:val="37A9465A"/>
    <w:rsid w:val="38213590"/>
    <w:rsid w:val="383D5596"/>
    <w:rsid w:val="3873553E"/>
    <w:rsid w:val="38B31135"/>
    <w:rsid w:val="38C83510"/>
    <w:rsid w:val="39111C74"/>
    <w:rsid w:val="39283041"/>
    <w:rsid w:val="398A5613"/>
    <w:rsid w:val="39B21D4E"/>
    <w:rsid w:val="3A6BE581"/>
    <w:rsid w:val="3AA10513"/>
    <w:rsid w:val="3C356464"/>
    <w:rsid w:val="3C5E417E"/>
    <w:rsid w:val="3D0E73DC"/>
    <w:rsid w:val="3D3025D2"/>
    <w:rsid w:val="3DFE5E8D"/>
    <w:rsid w:val="3DFF7E86"/>
    <w:rsid w:val="3F636B5A"/>
    <w:rsid w:val="3FC8184B"/>
    <w:rsid w:val="3FF57668"/>
    <w:rsid w:val="3FF624BF"/>
    <w:rsid w:val="4139108F"/>
    <w:rsid w:val="414E74D0"/>
    <w:rsid w:val="425A11A6"/>
    <w:rsid w:val="457F0A8E"/>
    <w:rsid w:val="45B21FDC"/>
    <w:rsid w:val="45B6180A"/>
    <w:rsid w:val="45E96C27"/>
    <w:rsid w:val="46D43DE5"/>
    <w:rsid w:val="4732350F"/>
    <w:rsid w:val="47855FAE"/>
    <w:rsid w:val="47F47BFD"/>
    <w:rsid w:val="49644064"/>
    <w:rsid w:val="49D27924"/>
    <w:rsid w:val="4B9232DD"/>
    <w:rsid w:val="4C1F5A29"/>
    <w:rsid w:val="4C4C29B9"/>
    <w:rsid w:val="4CAF27DA"/>
    <w:rsid w:val="4E0D3E85"/>
    <w:rsid w:val="4F1D64D6"/>
    <w:rsid w:val="4F93450F"/>
    <w:rsid w:val="4FAB2C47"/>
    <w:rsid w:val="4FBA76E4"/>
    <w:rsid w:val="50007C56"/>
    <w:rsid w:val="50565A2E"/>
    <w:rsid w:val="512E3376"/>
    <w:rsid w:val="517617F7"/>
    <w:rsid w:val="528B6962"/>
    <w:rsid w:val="532B5C2E"/>
    <w:rsid w:val="54286F48"/>
    <w:rsid w:val="545231F1"/>
    <w:rsid w:val="55421BE4"/>
    <w:rsid w:val="5578040D"/>
    <w:rsid w:val="568A24F5"/>
    <w:rsid w:val="56AC67AF"/>
    <w:rsid w:val="57873F5C"/>
    <w:rsid w:val="5851442A"/>
    <w:rsid w:val="58C0107A"/>
    <w:rsid w:val="58ED6E93"/>
    <w:rsid w:val="59061396"/>
    <w:rsid w:val="59173612"/>
    <w:rsid w:val="59402908"/>
    <w:rsid w:val="596131B3"/>
    <w:rsid w:val="5A1D5758"/>
    <w:rsid w:val="5AD350EF"/>
    <w:rsid w:val="5AFA4CC1"/>
    <w:rsid w:val="5D3221E7"/>
    <w:rsid w:val="5DED7E19"/>
    <w:rsid w:val="5EAF4581"/>
    <w:rsid w:val="5FA277AF"/>
    <w:rsid w:val="5FD575B1"/>
    <w:rsid w:val="60807DCD"/>
    <w:rsid w:val="61333184"/>
    <w:rsid w:val="618B0C67"/>
    <w:rsid w:val="61972EB8"/>
    <w:rsid w:val="61DE0490"/>
    <w:rsid w:val="628C6A66"/>
    <w:rsid w:val="629434B2"/>
    <w:rsid w:val="62C4615C"/>
    <w:rsid w:val="64000F16"/>
    <w:rsid w:val="64232FD8"/>
    <w:rsid w:val="643E5746"/>
    <w:rsid w:val="64E90F4E"/>
    <w:rsid w:val="65B453DA"/>
    <w:rsid w:val="663F6EA2"/>
    <w:rsid w:val="665B4C33"/>
    <w:rsid w:val="66B6334A"/>
    <w:rsid w:val="66BE6E84"/>
    <w:rsid w:val="67FB7803"/>
    <w:rsid w:val="682846A0"/>
    <w:rsid w:val="68E03985"/>
    <w:rsid w:val="6993299E"/>
    <w:rsid w:val="699D585F"/>
    <w:rsid w:val="69C85FC5"/>
    <w:rsid w:val="6A5B62FF"/>
    <w:rsid w:val="6ACF1624"/>
    <w:rsid w:val="6B157B5F"/>
    <w:rsid w:val="6B553008"/>
    <w:rsid w:val="6B5C7107"/>
    <w:rsid w:val="6BB9536B"/>
    <w:rsid w:val="6C031A78"/>
    <w:rsid w:val="6C1008D9"/>
    <w:rsid w:val="6C2D6FB9"/>
    <w:rsid w:val="6D0C511E"/>
    <w:rsid w:val="6D3A6F0F"/>
    <w:rsid w:val="6DAC7544"/>
    <w:rsid w:val="6EEA1A88"/>
    <w:rsid w:val="6F054B75"/>
    <w:rsid w:val="6FC328EA"/>
    <w:rsid w:val="71D863F8"/>
    <w:rsid w:val="72A11148"/>
    <w:rsid w:val="743F700E"/>
    <w:rsid w:val="75E92461"/>
    <w:rsid w:val="76011137"/>
    <w:rsid w:val="7625397A"/>
    <w:rsid w:val="76AF3145"/>
    <w:rsid w:val="77B06F92"/>
    <w:rsid w:val="77BD23E2"/>
    <w:rsid w:val="77DFF1B7"/>
    <w:rsid w:val="77F40ED7"/>
    <w:rsid w:val="78413D14"/>
    <w:rsid w:val="78F255CA"/>
    <w:rsid w:val="792114DB"/>
    <w:rsid w:val="796F105B"/>
    <w:rsid w:val="7A0A3AC2"/>
    <w:rsid w:val="7A2405DA"/>
    <w:rsid w:val="7A246CF9"/>
    <w:rsid w:val="7A5852B1"/>
    <w:rsid w:val="7A9167F6"/>
    <w:rsid w:val="7B6E0785"/>
    <w:rsid w:val="7B834466"/>
    <w:rsid w:val="7BC76C8B"/>
    <w:rsid w:val="7C1266B1"/>
    <w:rsid w:val="7C8A579D"/>
    <w:rsid w:val="7DA831DE"/>
    <w:rsid w:val="7DAC144E"/>
    <w:rsid w:val="7E01655B"/>
    <w:rsid w:val="7E176D8B"/>
    <w:rsid w:val="7E331DC0"/>
    <w:rsid w:val="7EB560C8"/>
    <w:rsid w:val="7F5612D3"/>
    <w:rsid w:val="7F5C5A71"/>
    <w:rsid w:val="7F736F45"/>
    <w:rsid w:val="7FE8074C"/>
    <w:rsid w:val="B4F7A59E"/>
    <w:rsid w:val="BEF683AF"/>
    <w:rsid w:val="EFFB34C7"/>
    <w:rsid w:val="FDF3D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qFormat/>
    <w:uiPriority w:val="0"/>
    <w:pPr>
      <w:ind w:firstLine="420" w:firstLineChars="1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2023-05-31T06:25:00Z</dcterms:created>
  <dc:creator>‭ ‭ ‭ ‭</dc:creator>
  <cp:lastModifiedBy>ysgz</cp:lastModifiedBy>
  <dcterms:modified xsi:type="dcterms:W3CDTF">2023-06-29T15:31:45Z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