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AAF" w:rsidRDefault="00663AAF" w:rsidP="00663AAF">
      <w:pPr>
        <w:spacing w:line="531" w:lineRule="exact"/>
        <w:ind w:left="262"/>
        <w:jc w:val="center"/>
        <w:rPr>
          <w:rFonts w:hAnsi="Calibri"/>
          <w:color w:val="000000"/>
          <w:sz w:val="52"/>
        </w:rPr>
      </w:pPr>
      <w:bookmarkStart w:id="0" w:name="_GoBack"/>
      <w:bookmarkEnd w:id="0"/>
      <w:r>
        <w:rPr>
          <w:rFonts w:ascii="黑体" w:hAnsi="黑体" w:cs="黑体" w:hint="eastAsia"/>
          <w:color w:val="000000"/>
          <w:sz w:val="52"/>
        </w:rPr>
        <w:t>贵州省</w:t>
      </w:r>
      <w:r>
        <w:rPr>
          <w:rFonts w:ascii="黑体" w:hAnsi="黑体" w:cs="黑体"/>
          <w:color w:val="000000"/>
          <w:sz w:val="52"/>
        </w:rPr>
        <w:t>地方计量技术规范</w:t>
      </w:r>
    </w:p>
    <w:p w:rsidR="00663AAF" w:rsidRDefault="00663AAF" w:rsidP="00663AAF">
      <w:pPr>
        <w:spacing w:before="405" w:line="531" w:lineRule="exact"/>
        <w:jc w:val="center"/>
        <w:rPr>
          <w:rFonts w:hAnsi="Calibri"/>
          <w:color w:val="000000"/>
          <w:sz w:val="52"/>
        </w:rPr>
      </w:pPr>
      <w:r>
        <w:rPr>
          <w:rFonts w:ascii="黑体" w:hAnsi="黑体" w:cs="黑体"/>
          <w:color w:val="000000"/>
          <w:sz w:val="52"/>
        </w:rPr>
        <w:t>《等电位测试仪校准规范》</w:t>
      </w:r>
    </w:p>
    <w:p w:rsidR="00663AAF" w:rsidRDefault="00663AAF" w:rsidP="00663AAF">
      <w:pPr>
        <w:spacing w:before="405" w:line="531" w:lineRule="exact"/>
        <w:jc w:val="center"/>
        <w:rPr>
          <w:rFonts w:hAnsi="Calibri"/>
          <w:color w:val="000000"/>
          <w:sz w:val="52"/>
        </w:rPr>
      </w:pPr>
      <w:r>
        <w:rPr>
          <w:rFonts w:ascii="黑体" w:hAnsi="黑体" w:cs="黑体"/>
          <w:color w:val="000000"/>
          <w:sz w:val="52"/>
        </w:rPr>
        <w:t>编制说明</w:t>
      </w:r>
    </w:p>
    <w:p w:rsidR="00663AAF" w:rsidRDefault="00663AAF" w:rsidP="00663AAF">
      <w:pPr>
        <w:spacing w:before="8249" w:line="449" w:lineRule="exact"/>
        <w:jc w:val="center"/>
        <w:rPr>
          <w:rFonts w:hAnsi="Calibri"/>
          <w:color w:val="000000"/>
          <w:sz w:val="44"/>
        </w:rPr>
      </w:pPr>
      <w:r>
        <w:rPr>
          <w:rFonts w:ascii="黑体" w:hAnsi="黑体" w:cs="黑体"/>
          <w:color w:val="000000"/>
          <w:sz w:val="44"/>
        </w:rPr>
        <w:t>校准规范起草组</w:t>
      </w:r>
    </w:p>
    <w:p w:rsidR="00852F99" w:rsidRDefault="00663AAF" w:rsidP="00663AAF">
      <w:pPr>
        <w:jc w:val="center"/>
        <w:rPr>
          <w:rFonts w:hAnsi="Calibri"/>
          <w:color w:val="000000"/>
          <w:sz w:val="44"/>
        </w:rPr>
      </w:pPr>
      <w:r>
        <w:rPr>
          <w:rFonts w:ascii="黑体" w:hAnsi="Calibri"/>
          <w:color w:val="000000"/>
          <w:sz w:val="44"/>
        </w:rPr>
        <w:t>202</w:t>
      </w:r>
      <w:r>
        <w:rPr>
          <w:rFonts w:ascii="黑体" w:hAnsi="Calibri" w:hint="eastAsia"/>
          <w:color w:val="000000"/>
          <w:sz w:val="44"/>
        </w:rPr>
        <w:t>3</w:t>
      </w:r>
      <w:r>
        <w:rPr>
          <w:rFonts w:ascii="黑体" w:hAnsi="黑体" w:cs="黑体"/>
          <w:color w:val="000000"/>
          <w:sz w:val="44"/>
        </w:rPr>
        <w:t>年</w:t>
      </w:r>
      <w:r w:rsidR="002C55C7">
        <w:rPr>
          <w:rFonts w:hAnsi="Calibri" w:hint="eastAsia"/>
          <w:color w:val="000000"/>
          <w:sz w:val="44"/>
        </w:rPr>
        <w:t>7</w:t>
      </w:r>
      <w:r>
        <w:rPr>
          <w:rFonts w:hAnsi="Calibri" w:hint="eastAsia"/>
          <w:color w:val="000000"/>
          <w:sz w:val="44"/>
        </w:rPr>
        <w:t>月</w:t>
      </w:r>
    </w:p>
    <w:p w:rsidR="00663AAF" w:rsidRDefault="00663AAF" w:rsidP="00663AAF">
      <w:pPr>
        <w:jc w:val="center"/>
        <w:rPr>
          <w:rFonts w:hAnsi="Calibri"/>
          <w:color w:val="000000"/>
          <w:sz w:val="44"/>
        </w:rPr>
      </w:pPr>
    </w:p>
    <w:p w:rsidR="00663AAF" w:rsidRDefault="00663AAF" w:rsidP="00663AAF">
      <w:pPr>
        <w:jc w:val="center"/>
        <w:rPr>
          <w:rFonts w:hAnsi="Calibri"/>
          <w:color w:val="000000"/>
          <w:sz w:val="44"/>
        </w:rPr>
      </w:pPr>
    </w:p>
    <w:p w:rsidR="00663AAF" w:rsidRDefault="00663AAF" w:rsidP="00663AAF">
      <w:pPr>
        <w:jc w:val="center"/>
        <w:rPr>
          <w:rFonts w:hAnsi="Calibri"/>
          <w:color w:val="000000"/>
          <w:sz w:val="44"/>
        </w:rPr>
      </w:pPr>
    </w:p>
    <w:p w:rsidR="00663AAF" w:rsidRPr="00E26E84" w:rsidRDefault="00663AAF" w:rsidP="00663AAF">
      <w:pPr>
        <w:widowControl/>
        <w:numPr>
          <w:ilvl w:val="0"/>
          <w:numId w:val="1"/>
        </w:numPr>
        <w:spacing w:before="249" w:line="291" w:lineRule="exact"/>
        <w:jc w:val="left"/>
        <w:rPr>
          <w:rFonts w:ascii="黑体" w:eastAsia="黑体" w:hAnsi="黑体" w:cs="黑体"/>
          <w:color w:val="000000"/>
          <w:sz w:val="28"/>
        </w:rPr>
      </w:pPr>
      <w:r w:rsidRPr="00E26E84">
        <w:rPr>
          <w:rFonts w:ascii="黑体" w:eastAsia="黑体" w:hAnsi="黑体" w:cs="黑体"/>
          <w:color w:val="000000"/>
          <w:sz w:val="28"/>
        </w:rPr>
        <w:lastRenderedPageBreak/>
        <w:t>任务来源</w:t>
      </w:r>
    </w:p>
    <w:p w:rsidR="00663AAF" w:rsidRDefault="00663AAF" w:rsidP="00663AAF">
      <w:pPr>
        <w:ind w:firstLine="570"/>
        <w:jc w:val="left"/>
        <w:rPr>
          <w:rFonts w:ascii="宋体" w:hAnsi="宋体" w:cs="宋体"/>
          <w:color w:val="000000"/>
          <w:spacing w:val="-1"/>
          <w:sz w:val="28"/>
        </w:rPr>
      </w:pPr>
      <w:r w:rsidRPr="00384AF2">
        <w:rPr>
          <w:rFonts w:ascii="宋体" w:hAnsi="宋体" w:cs="宋体" w:hint="eastAsia"/>
          <w:color w:val="000000"/>
          <w:spacing w:val="-1"/>
          <w:kern w:val="0"/>
          <w:sz w:val="28"/>
        </w:rPr>
        <w:t>2022年，省市场监管局组织省标准化院、省计量测试院、黔南州检验检测院、贵州医科大学、遵义市产品质量检验检测院、黔西南州检验检测中心等单位的7名专家，对《等电位测试仪校准规范》进行立项审查，规范申请起草单位贵州省计量测试院所对项目情况进行了陈述。经专家组审查认为：国家无等电位测试仪相关规程规范，也没有制修订计划，我省防雷检测公司、电力安全部门已广泛使用等电位测试仪，制定该计量规范确有必要，规范形成后有效指导全省等电位测试仪的检校准工作，确保仪器计量性能符合相关要求。专家组一致同意《等电位测试仪校准规范》的立项申请</w:t>
      </w:r>
      <w:r>
        <w:rPr>
          <w:rFonts w:ascii="宋体" w:hAnsi="宋体" w:cs="宋体" w:hint="eastAsia"/>
          <w:color w:val="000000"/>
          <w:spacing w:val="-1"/>
          <w:kern w:val="0"/>
          <w:sz w:val="28"/>
        </w:rPr>
        <w:t>，</w:t>
      </w:r>
      <w:r w:rsidRPr="00384AF2">
        <w:rPr>
          <w:rFonts w:ascii="宋体" w:hAnsi="宋体" w:cs="宋体"/>
          <w:color w:val="000000"/>
          <w:spacing w:val="-1"/>
          <w:sz w:val="28"/>
        </w:rPr>
        <w:t>该校准规范由</w:t>
      </w:r>
      <w:r w:rsidR="00CB765D">
        <w:rPr>
          <w:rFonts w:ascii="宋体" w:hAnsi="宋体" w:cs="宋体" w:hint="eastAsia"/>
          <w:color w:val="000000"/>
          <w:spacing w:val="-1"/>
          <w:sz w:val="28"/>
        </w:rPr>
        <w:t>贵州省计量测试</w:t>
      </w:r>
      <w:r w:rsidRPr="00384AF2">
        <w:rPr>
          <w:rFonts w:ascii="宋体" w:hAnsi="宋体" w:cs="宋体"/>
          <w:color w:val="000000"/>
          <w:spacing w:val="-1"/>
          <w:sz w:val="28"/>
        </w:rPr>
        <w:t>院负责起草</w:t>
      </w:r>
      <w:r>
        <w:rPr>
          <w:rFonts w:ascii="宋体" w:hAnsi="宋体" w:cs="宋体" w:hint="eastAsia"/>
          <w:color w:val="000000"/>
          <w:spacing w:val="-1"/>
          <w:sz w:val="28"/>
        </w:rPr>
        <w:t>。</w:t>
      </w:r>
    </w:p>
    <w:p w:rsidR="00663AAF" w:rsidRPr="00E26E84" w:rsidRDefault="00663AAF" w:rsidP="00E26E84">
      <w:pPr>
        <w:widowControl/>
        <w:spacing w:before="249" w:line="291" w:lineRule="exact"/>
        <w:jc w:val="left"/>
        <w:rPr>
          <w:rFonts w:ascii="黑体" w:eastAsia="黑体" w:hAnsi="黑体" w:cs="黑体"/>
          <w:color w:val="000000"/>
          <w:sz w:val="28"/>
        </w:rPr>
      </w:pPr>
      <w:r w:rsidRPr="00E26E84">
        <w:rPr>
          <w:rFonts w:ascii="黑体" w:eastAsia="黑体" w:hAnsi="黑体" w:cs="黑体"/>
          <w:color w:val="000000"/>
          <w:sz w:val="28"/>
        </w:rPr>
        <w:t>二、调研情况</w:t>
      </w:r>
    </w:p>
    <w:p w:rsidR="00663AAF" w:rsidRPr="00663AAF" w:rsidRDefault="00663AAF" w:rsidP="00663AAF">
      <w:pPr>
        <w:ind w:firstLine="570"/>
        <w:jc w:val="left"/>
        <w:rPr>
          <w:rFonts w:ascii="宋体" w:hAnsi="宋体" w:cs="宋体"/>
          <w:color w:val="000000"/>
          <w:spacing w:val="-1"/>
          <w:kern w:val="0"/>
          <w:sz w:val="28"/>
        </w:rPr>
      </w:pPr>
      <w:r w:rsidRPr="00663AAF">
        <w:rPr>
          <w:rFonts w:ascii="宋体" w:hAnsi="宋体" w:cs="宋体"/>
          <w:color w:val="000000"/>
          <w:spacing w:val="-1"/>
          <w:kern w:val="0"/>
          <w:sz w:val="28"/>
        </w:rPr>
        <w:t>等电位测试仪是检测建筑物中防护金属构件之间等电位联结质量的专用仪表，主要用于测量建筑物中的金属构件之间的等电位连接电阻，也可以用来测量各种电气设备与地网地极间的连接导体的电阻，还可以用来测量开关、插座触点的接触电阻和其他低电阻，是一种重要的防雷检测仪器，广泛应用于建筑质检站、监理公司、建筑施工单位、防雷公司、电力部门等。随着建筑物防雷设计规范的推广，防雷检测工作越来越受到重视，等电位测试仪得到了广泛的应用，在防雷检测工作中可以及时发现和排除一些安全隐患，避免不必要的人员和经济损失。如何对等电位测试仪进行校准，现在尚无相应的国家检定规程或校准规范。为此，需要对等电位测试仪的校准工作更加规范化科学化，以保证等电位测试仪测试结果的准确性。</w:t>
      </w:r>
    </w:p>
    <w:p w:rsidR="00663AAF" w:rsidRPr="00E26E84" w:rsidRDefault="00663AAF" w:rsidP="00E26E84">
      <w:pPr>
        <w:widowControl/>
        <w:spacing w:before="249" w:line="291" w:lineRule="exact"/>
        <w:jc w:val="left"/>
        <w:rPr>
          <w:rFonts w:ascii="黑体" w:eastAsia="黑体" w:hAnsi="黑体" w:cs="黑体"/>
          <w:color w:val="000000"/>
          <w:sz w:val="28"/>
        </w:rPr>
      </w:pPr>
      <w:r w:rsidRPr="00E26E84">
        <w:rPr>
          <w:rFonts w:ascii="黑体" w:eastAsia="黑体" w:hAnsi="黑体" w:cs="黑体"/>
          <w:color w:val="000000"/>
          <w:sz w:val="28"/>
        </w:rPr>
        <w:lastRenderedPageBreak/>
        <w:t>三、规范制定过程</w:t>
      </w:r>
    </w:p>
    <w:p w:rsidR="00256233" w:rsidRDefault="00663AAF" w:rsidP="00256233">
      <w:pPr>
        <w:autoSpaceDE w:val="0"/>
        <w:autoSpaceDN w:val="0"/>
        <w:adjustRightInd w:val="0"/>
        <w:ind w:firstLineChars="200" w:firstLine="556"/>
        <w:jc w:val="left"/>
        <w:rPr>
          <w:rFonts w:ascii="宋体" w:hAnsi="宋体" w:cs="宋体"/>
          <w:color w:val="000000"/>
          <w:spacing w:val="-1"/>
          <w:kern w:val="0"/>
          <w:sz w:val="28"/>
        </w:rPr>
      </w:pPr>
      <w:r w:rsidRPr="00663AAF">
        <w:rPr>
          <w:rFonts w:ascii="宋体" w:hAnsi="宋体" w:cs="宋体"/>
          <w:color w:val="000000"/>
          <w:spacing w:val="-1"/>
          <w:kern w:val="0"/>
          <w:sz w:val="28"/>
        </w:rPr>
        <w:t>在本规范的制定过程中，以国家计量技术法规、国家标准、国内外相关文献、大量实验数据为技术依据，本着科学合理、易于操作、切实可行的原则，严格依照 JJF 1071-2010《国家计量校准规范编写规则》规定编制。按照技术文献、法规文件的要求，起草小组组织对生产制造企业和使用单位调研交流，补充和完善相关试验和研究，完成等电位测试仪校准规范的征求意见稿。经征求省/市计量技术机构、使用单位、生产厂家有关专家的意见建议，对征求意见进行了认真研究讨论，并对征求意见稿进行修改，形成</w:t>
      </w:r>
      <w:r w:rsidR="00C5156D">
        <w:rPr>
          <w:rFonts w:ascii="宋体" w:hAnsi="宋体" w:cs="宋体" w:hint="eastAsia"/>
          <w:color w:val="000000"/>
          <w:spacing w:val="-1"/>
          <w:kern w:val="0"/>
          <w:sz w:val="28"/>
        </w:rPr>
        <w:t>送审</w:t>
      </w:r>
      <w:r w:rsidRPr="00663AAF">
        <w:rPr>
          <w:rFonts w:ascii="宋体" w:hAnsi="宋体" w:cs="宋体"/>
          <w:color w:val="000000"/>
          <w:spacing w:val="-1"/>
          <w:kern w:val="0"/>
          <w:sz w:val="28"/>
        </w:rPr>
        <w:t>稿。</w:t>
      </w:r>
    </w:p>
    <w:p w:rsidR="00663AAF" w:rsidRDefault="00256233" w:rsidP="00256233">
      <w:pPr>
        <w:autoSpaceDE w:val="0"/>
        <w:autoSpaceDN w:val="0"/>
        <w:adjustRightInd w:val="0"/>
        <w:ind w:firstLineChars="200" w:firstLine="560"/>
        <w:jc w:val="left"/>
        <w:rPr>
          <w:rFonts w:ascii="宋体" w:hAnsi="宋体" w:cs="宋体"/>
          <w:color w:val="000000"/>
          <w:spacing w:val="-1"/>
          <w:kern w:val="0"/>
          <w:sz w:val="28"/>
        </w:rPr>
      </w:pPr>
      <w:r>
        <w:rPr>
          <w:rFonts w:ascii="宋体" w:eastAsia="宋体" w:cs="宋体" w:hint="eastAsia"/>
          <w:kern w:val="0"/>
          <w:sz w:val="28"/>
          <w:szCs w:val="28"/>
        </w:rPr>
        <w:t>经省局评审专家组对报审稿进行审定，以专家组意见为依据，对报审稿进行修改，形成报批稿。</w:t>
      </w:r>
    </w:p>
    <w:p w:rsidR="00663AAF" w:rsidRPr="00E26E84" w:rsidRDefault="00663AAF" w:rsidP="00E26E84">
      <w:pPr>
        <w:widowControl/>
        <w:spacing w:before="249" w:line="291" w:lineRule="exact"/>
        <w:jc w:val="left"/>
        <w:rPr>
          <w:rFonts w:ascii="黑体" w:eastAsia="黑体" w:hAnsi="黑体" w:cs="黑体"/>
          <w:color w:val="000000"/>
          <w:sz w:val="28"/>
        </w:rPr>
      </w:pPr>
      <w:r w:rsidRPr="00E26E84">
        <w:rPr>
          <w:rFonts w:ascii="黑体" w:eastAsia="黑体" w:hAnsi="黑体" w:cs="黑体"/>
          <w:color w:val="000000"/>
          <w:sz w:val="28"/>
        </w:rPr>
        <w:t>四．内容说明</w:t>
      </w:r>
    </w:p>
    <w:p w:rsidR="00663AAF" w:rsidRPr="00663AAF" w:rsidRDefault="00663AAF" w:rsidP="00663AAF">
      <w:pPr>
        <w:ind w:firstLine="570"/>
        <w:jc w:val="left"/>
        <w:rPr>
          <w:rFonts w:ascii="宋体" w:hAnsi="宋体" w:cs="宋体"/>
          <w:color w:val="000000"/>
          <w:spacing w:val="-1"/>
          <w:kern w:val="0"/>
          <w:sz w:val="28"/>
        </w:rPr>
      </w:pPr>
      <w:r w:rsidRPr="00663AAF">
        <w:rPr>
          <w:rFonts w:ascii="宋体" w:hAnsi="宋体" w:cs="宋体"/>
          <w:color w:val="000000"/>
          <w:spacing w:val="-1"/>
          <w:kern w:val="0"/>
          <w:sz w:val="28"/>
        </w:rPr>
        <w:t>1. 规范名称</w:t>
      </w:r>
    </w:p>
    <w:p w:rsidR="00663AAF" w:rsidRPr="00663AAF" w:rsidRDefault="00663AAF" w:rsidP="00663AAF">
      <w:pPr>
        <w:ind w:firstLine="570"/>
        <w:jc w:val="left"/>
        <w:rPr>
          <w:rFonts w:ascii="宋体" w:hAnsi="宋体" w:cs="宋体"/>
          <w:color w:val="000000"/>
          <w:spacing w:val="-1"/>
          <w:kern w:val="0"/>
          <w:sz w:val="28"/>
        </w:rPr>
      </w:pPr>
      <w:r w:rsidRPr="00663AAF">
        <w:rPr>
          <w:rFonts w:ascii="宋体" w:hAnsi="宋体" w:cs="宋体"/>
          <w:color w:val="000000"/>
          <w:spacing w:val="-1"/>
          <w:kern w:val="0"/>
          <w:sz w:val="28"/>
        </w:rPr>
        <w:t>《等电位测试仪校准规范》</w:t>
      </w:r>
    </w:p>
    <w:p w:rsidR="00663AAF" w:rsidRPr="009424E3" w:rsidRDefault="00663AAF" w:rsidP="009424E3">
      <w:pPr>
        <w:spacing w:before="249" w:line="291" w:lineRule="exact"/>
        <w:ind w:left="559"/>
        <w:rPr>
          <w:rFonts w:ascii="宋体" w:hAnsi="宋体" w:cs="宋体"/>
          <w:color w:val="000000"/>
          <w:sz w:val="28"/>
        </w:rPr>
      </w:pPr>
      <w:r w:rsidRPr="009424E3">
        <w:rPr>
          <w:rFonts w:ascii="宋体" w:hAnsi="宋体" w:cs="宋体"/>
          <w:color w:val="000000"/>
          <w:sz w:val="28"/>
        </w:rPr>
        <w:t>2．适用范围</w:t>
      </w:r>
    </w:p>
    <w:p w:rsidR="009424E3" w:rsidRPr="009424E3" w:rsidRDefault="009424E3" w:rsidP="009424E3">
      <w:pPr>
        <w:ind w:firstLine="570"/>
        <w:jc w:val="left"/>
        <w:rPr>
          <w:rFonts w:ascii="宋体" w:hAnsi="宋体" w:cs="宋体"/>
          <w:color w:val="000000"/>
          <w:spacing w:val="-1"/>
          <w:kern w:val="0"/>
          <w:sz w:val="28"/>
        </w:rPr>
      </w:pPr>
      <w:r w:rsidRPr="009424E3">
        <w:rPr>
          <w:rFonts w:ascii="宋体" w:hAnsi="宋体" w:cs="宋体"/>
          <w:color w:val="000000"/>
          <w:spacing w:val="-1"/>
          <w:kern w:val="0"/>
          <w:sz w:val="28"/>
        </w:rPr>
        <w:t>本规范适用于电阻测量范围为0.001Ω～</w:t>
      </w:r>
      <w:r w:rsidRPr="009424E3">
        <w:rPr>
          <w:rFonts w:ascii="宋体" w:hAnsi="宋体" w:cs="宋体" w:hint="eastAsia"/>
          <w:color w:val="000000"/>
          <w:spacing w:val="-1"/>
          <w:kern w:val="0"/>
          <w:sz w:val="28"/>
        </w:rPr>
        <w:t>3</w:t>
      </w:r>
      <w:r w:rsidRPr="009424E3">
        <w:rPr>
          <w:rFonts w:ascii="宋体" w:hAnsi="宋体" w:cs="宋体"/>
          <w:color w:val="000000"/>
          <w:spacing w:val="-1"/>
          <w:kern w:val="0"/>
          <w:sz w:val="28"/>
        </w:rPr>
        <w:t>0kΩ的等电位测试仪的校准</w:t>
      </w:r>
      <w:r w:rsidRPr="009424E3">
        <w:rPr>
          <w:rFonts w:ascii="宋体" w:hAnsi="宋体" w:cs="宋体" w:hint="eastAsia"/>
          <w:color w:val="000000"/>
          <w:spacing w:val="-1"/>
          <w:kern w:val="0"/>
          <w:sz w:val="28"/>
        </w:rPr>
        <w:t>.</w:t>
      </w:r>
      <w:r w:rsidRPr="009424E3">
        <w:rPr>
          <w:rFonts w:ascii="宋体" w:hAnsi="宋体" w:cs="宋体"/>
          <w:color w:val="000000"/>
          <w:spacing w:val="-1"/>
          <w:kern w:val="0"/>
          <w:sz w:val="28"/>
        </w:rPr>
        <w:t>过渡电阻测试仪可参照本规范进行校准。</w:t>
      </w:r>
    </w:p>
    <w:p w:rsidR="00663AAF" w:rsidRPr="009424E3" w:rsidRDefault="00663AAF" w:rsidP="00663AAF">
      <w:pPr>
        <w:spacing w:before="249" w:line="291" w:lineRule="exact"/>
        <w:ind w:left="559"/>
        <w:rPr>
          <w:rFonts w:ascii="宋体" w:hAnsi="宋体" w:cs="宋体"/>
          <w:color w:val="000000"/>
          <w:sz w:val="28"/>
        </w:rPr>
      </w:pPr>
      <w:r w:rsidRPr="009424E3">
        <w:rPr>
          <w:rFonts w:ascii="宋体" w:hAnsi="宋体" w:cs="宋体"/>
          <w:color w:val="000000"/>
          <w:sz w:val="28"/>
        </w:rPr>
        <w:t>3. 引用文献</w:t>
      </w:r>
    </w:p>
    <w:p w:rsidR="00663AAF" w:rsidRDefault="00663AAF" w:rsidP="00663AAF">
      <w:pPr>
        <w:spacing w:before="249" w:line="291" w:lineRule="exact"/>
        <w:ind w:left="559"/>
        <w:rPr>
          <w:rFonts w:hAnsi="Calibri"/>
          <w:color w:val="000000"/>
          <w:sz w:val="28"/>
        </w:rPr>
      </w:pPr>
      <w:r>
        <w:rPr>
          <w:rFonts w:ascii="宋体" w:hAnsi="Calibri"/>
          <w:color w:val="000000"/>
          <w:sz w:val="28"/>
        </w:rPr>
        <w:t>JJF</w:t>
      </w:r>
      <w:r>
        <w:rPr>
          <w:rFonts w:hAnsi="Calibri"/>
          <w:color w:val="000000"/>
          <w:spacing w:val="70"/>
          <w:sz w:val="28"/>
        </w:rPr>
        <w:t xml:space="preserve"> </w:t>
      </w:r>
      <w:r>
        <w:rPr>
          <w:rFonts w:ascii="宋体" w:hAnsi="宋体" w:cs="宋体"/>
          <w:color w:val="000000"/>
          <w:sz w:val="28"/>
        </w:rPr>
        <w:t>1071—2010</w:t>
      </w:r>
      <w:r>
        <w:rPr>
          <w:rFonts w:hAnsi="Calibri"/>
          <w:color w:val="000000"/>
          <w:spacing w:val="68"/>
          <w:sz w:val="28"/>
        </w:rPr>
        <w:t xml:space="preserve"> </w:t>
      </w:r>
      <w:r>
        <w:rPr>
          <w:rFonts w:ascii="宋体" w:hAnsi="宋体" w:cs="宋体"/>
          <w:color w:val="000000"/>
          <w:sz w:val="28"/>
        </w:rPr>
        <w:t>《国家计量校准规范编写规则》</w:t>
      </w:r>
    </w:p>
    <w:p w:rsidR="00663AAF" w:rsidRDefault="00663AAF" w:rsidP="00663AAF">
      <w:pPr>
        <w:spacing w:before="249" w:line="291" w:lineRule="exact"/>
        <w:ind w:left="559"/>
        <w:rPr>
          <w:rFonts w:hAnsi="Calibri"/>
          <w:color w:val="000000"/>
          <w:sz w:val="28"/>
        </w:rPr>
      </w:pPr>
      <w:r>
        <w:rPr>
          <w:rFonts w:ascii="宋体" w:hAnsi="Calibri"/>
          <w:color w:val="000000"/>
          <w:sz w:val="28"/>
        </w:rPr>
        <w:t>JJF</w:t>
      </w:r>
      <w:r>
        <w:rPr>
          <w:rFonts w:hAnsi="Calibri"/>
          <w:color w:val="000000"/>
          <w:spacing w:val="70"/>
          <w:sz w:val="28"/>
        </w:rPr>
        <w:t xml:space="preserve"> </w:t>
      </w:r>
      <w:r>
        <w:rPr>
          <w:rFonts w:ascii="宋体" w:hAnsi="宋体" w:cs="宋体"/>
          <w:color w:val="000000"/>
          <w:sz w:val="28"/>
        </w:rPr>
        <w:t>1001—2011</w:t>
      </w:r>
      <w:r>
        <w:rPr>
          <w:rFonts w:hAnsi="Calibri"/>
          <w:color w:val="000000"/>
          <w:spacing w:val="68"/>
          <w:sz w:val="28"/>
        </w:rPr>
        <w:t xml:space="preserve"> </w:t>
      </w:r>
      <w:r>
        <w:rPr>
          <w:rFonts w:ascii="宋体" w:hAnsi="宋体" w:cs="宋体"/>
          <w:color w:val="000000"/>
          <w:sz w:val="28"/>
        </w:rPr>
        <w:t>《通用计量术语及定义》</w:t>
      </w:r>
    </w:p>
    <w:p w:rsidR="00663AAF" w:rsidRDefault="00663AAF" w:rsidP="00663AAF">
      <w:pPr>
        <w:spacing w:before="249" w:line="291" w:lineRule="exact"/>
        <w:ind w:left="559"/>
        <w:rPr>
          <w:rFonts w:hAnsi="Calibri"/>
          <w:color w:val="000000"/>
          <w:sz w:val="28"/>
        </w:rPr>
      </w:pPr>
      <w:r>
        <w:rPr>
          <w:rFonts w:ascii="宋体" w:hAnsi="Calibri"/>
          <w:color w:val="000000"/>
          <w:sz w:val="28"/>
        </w:rPr>
        <w:t>JJF</w:t>
      </w:r>
      <w:r>
        <w:rPr>
          <w:rFonts w:hAnsi="Calibri"/>
          <w:color w:val="000000"/>
          <w:spacing w:val="70"/>
          <w:sz w:val="28"/>
        </w:rPr>
        <w:t xml:space="preserve"> </w:t>
      </w:r>
      <w:r>
        <w:rPr>
          <w:rFonts w:ascii="宋体" w:hAnsi="宋体" w:cs="宋体"/>
          <w:color w:val="000000"/>
          <w:sz w:val="28"/>
        </w:rPr>
        <w:t>1059.1—2012</w:t>
      </w:r>
      <w:r>
        <w:rPr>
          <w:rFonts w:hAnsi="Calibri"/>
          <w:color w:val="000000"/>
          <w:spacing w:val="71"/>
          <w:sz w:val="28"/>
        </w:rPr>
        <w:t xml:space="preserve"> </w:t>
      </w:r>
      <w:r>
        <w:rPr>
          <w:rFonts w:ascii="宋体" w:hAnsi="宋体" w:cs="宋体"/>
          <w:color w:val="000000"/>
          <w:sz w:val="28"/>
        </w:rPr>
        <w:t>《测量不确定度评定与表示》</w:t>
      </w:r>
    </w:p>
    <w:p w:rsidR="00663AAF" w:rsidRDefault="00663AAF" w:rsidP="00663AAF">
      <w:pPr>
        <w:spacing w:before="249" w:line="291" w:lineRule="exact"/>
        <w:ind w:left="559"/>
        <w:rPr>
          <w:rFonts w:hAnsi="Calibri"/>
          <w:color w:val="000000"/>
          <w:sz w:val="28"/>
        </w:rPr>
      </w:pPr>
      <w:r>
        <w:rPr>
          <w:rFonts w:ascii="宋体" w:hAnsi="Calibri"/>
          <w:color w:val="000000"/>
          <w:sz w:val="28"/>
        </w:rPr>
        <w:t>JJG</w:t>
      </w:r>
      <w:r w:rsidR="00767DEC">
        <w:rPr>
          <w:rFonts w:ascii="宋体" w:hAnsi="Calibri" w:hint="eastAsia"/>
          <w:color w:val="000000"/>
          <w:sz w:val="28"/>
        </w:rPr>
        <w:t xml:space="preserve"> </w:t>
      </w:r>
      <w:r>
        <w:rPr>
          <w:rFonts w:ascii="宋体" w:hAnsi="Calibri"/>
          <w:color w:val="000000"/>
          <w:sz w:val="28"/>
        </w:rPr>
        <w:t>837-2004</w:t>
      </w:r>
      <w:r w:rsidR="000A0987">
        <w:rPr>
          <w:rFonts w:ascii="宋体" w:hAnsi="Calibri" w:hint="eastAsia"/>
          <w:color w:val="000000"/>
          <w:sz w:val="28"/>
        </w:rPr>
        <w:t xml:space="preserve">  </w:t>
      </w:r>
      <w:r>
        <w:rPr>
          <w:rFonts w:ascii="宋体" w:hAnsi="宋体" w:cs="宋体"/>
          <w:color w:val="000000"/>
          <w:sz w:val="28"/>
        </w:rPr>
        <w:t>直流低电阻表检定规程</w:t>
      </w:r>
    </w:p>
    <w:p w:rsidR="00663AAF" w:rsidRDefault="00663AAF" w:rsidP="00663AAF">
      <w:pPr>
        <w:spacing w:before="249" w:line="291" w:lineRule="exact"/>
        <w:ind w:left="559"/>
        <w:rPr>
          <w:rFonts w:ascii="宋体" w:hAnsi="宋体" w:cs="宋体"/>
          <w:color w:val="000000"/>
          <w:sz w:val="28"/>
        </w:rPr>
      </w:pPr>
      <w:r w:rsidRPr="00131256">
        <w:rPr>
          <w:rFonts w:ascii="宋体" w:hAnsi="宋体" w:cs="宋体"/>
          <w:color w:val="000000"/>
          <w:sz w:val="28"/>
        </w:rPr>
        <w:t>JJF</w:t>
      </w:r>
      <w:r w:rsidR="005340AE" w:rsidRPr="00131256">
        <w:rPr>
          <w:rFonts w:ascii="宋体" w:hAnsi="宋体" w:cs="宋体" w:hint="eastAsia"/>
          <w:color w:val="000000"/>
          <w:sz w:val="28"/>
        </w:rPr>
        <w:t xml:space="preserve"> </w:t>
      </w:r>
      <w:r w:rsidRPr="00131256">
        <w:rPr>
          <w:rFonts w:ascii="宋体" w:hAnsi="宋体" w:cs="宋体"/>
          <w:color w:val="000000"/>
          <w:sz w:val="28"/>
        </w:rPr>
        <w:t>1587-2016</w:t>
      </w:r>
      <w:r w:rsidR="000A0987">
        <w:rPr>
          <w:rFonts w:ascii="宋体" w:hAnsi="宋体" w:cs="宋体" w:hint="eastAsia"/>
          <w:color w:val="000000"/>
          <w:sz w:val="28"/>
        </w:rPr>
        <w:t xml:space="preserve"> </w:t>
      </w:r>
      <w:r w:rsidRPr="00131256">
        <w:rPr>
          <w:rFonts w:ascii="宋体" w:hAnsi="宋体" w:cs="宋体"/>
          <w:color w:val="000000"/>
          <w:sz w:val="28"/>
        </w:rPr>
        <w:t xml:space="preserve"> </w:t>
      </w:r>
      <w:r>
        <w:rPr>
          <w:rFonts w:ascii="宋体" w:hAnsi="宋体" w:cs="宋体"/>
          <w:color w:val="000000"/>
          <w:sz w:val="28"/>
        </w:rPr>
        <w:t>数字多用表校准规范</w:t>
      </w:r>
    </w:p>
    <w:p w:rsidR="00131256" w:rsidRPr="00131256" w:rsidRDefault="00131256" w:rsidP="00131256">
      <w:pPr>
        <w:spacing w:before="249" w:line="291" w:lineRule="exact"/>
        <w:ind w:left="559"/>
        <w:rPr>
          <w:rFonts w:ascii="宋体" w:hAnsi="宋体" w:cs="宋体"/>
          <w:color w:val="000000"/>
          <w:sz w:val="28"/>
        </w:rPr>
      </w:pPr>
      <w:r w:rsidRPr="00131256">
        <w:rPr>
          <w:rFonts w:ascii="宋体" w:hAnsi="宋体" w:cs="宋体" w:hint="eastAsia"/>
          <w:color w:val="000000"/>
          <w:sz w:val="28"/>
        </w:rPr>
        <w:t xml:space="preserve">GB 50057—2010 </w:t>
      </w:r>
      <w:r w:rsidR="000A0987">
        <w:rPr>
          <w:rFonts w:ascii="宋体" w:hAnsi="宋体" w:cs="宋体" w:hint="eastAsia"/>
          <w:color w:val="000000"/>
          <w:sz w:val="28"/>
        </w:rPr>
        <w:t xml:space="preserve"> </w:t>
      </w:r>
      <w:r w:rsidRPr="00131256">
        <w:rPr>
          <w:rFonts w:ascii="宋体" w:hAnsi="宋体" w:cs="宋体" w:hint="eastAsia"/>
          <w:color w:val="000000"/>
          <w:sz w:val="28"/>
        </w:rPr>
        <w:t>建筑物防雷设计规范</w:t>
      </w:r>
    </w:p>
    <w:p w:rsidR="00663AAF" w:rsidRDefault="00663AAF" w:rsidP="00663AAF">
      <w:pPr>
        <w:ind w:firstLine="570"/>
        <w:jc w:val="left"/>
        <w:rPr>
          <w:rFonts w:ascii="宋体" w:hAnsi="宋体" w:cs="宋体"/>
          <w:color w:val="000000"/>
          <w:spacing w:val="-1"/>
          <w:kern w:val="0"/>
          <w:sz w:val="28"/>
        </w:rPr>
      </w:pPr>
      <w:r w:rsidRPr="00663AAF">
        <w:rPr>
          <w:rFonts w:ascii="宋体" w:hAnsi="宋体" w:cs="宋体"/>
          <w:color w:val="000000"/>
          <w:spacing w:val="-1"/>
          <w:kern w:val="0"/>
          <w:sz w:val="28"/>
        </w:rPr>
        <w:lastRenderedPageBreak/>
        <w:t>本规范编制中，凡是注日期的引用文件，仅注日期的版本适用于本规范；凡是不注日期的引用文件，其最新版本（包括所有的修改单）适用于本规范。</w:t>
      </w:r>
    </w:p>
    <w:p w:rsidR="000A0987" w:rsidRPr="000A0987" w:rsidRDefault="000A0987" w:rsidP="000A0987">
      <w:pPr>
        <w:spacing w:before="249" w:line="291" w:lineRule="exact"/>
        <w:ind w:left="559"/>
        <w:rPr>
          <w:rFonts w:ascii="宋体" w:hAnsi="宋体" w:cs="宋体"/>
          <w:color w:val="000000"/>
          <w:sz w:val="28"/>
        </w:rPr>
      </w:pPr>
      <w:bookmarkStart w:id="1" w:name="_Toc16993"/>
      <w:bookmarkStart w:id="2" w:name="_Toc137735381"/>
      <w:r>
        <w:rPr>
          <w:rFonts w:ascii="宋体" w:hAnsi="宋体" w:cs="宋体" w:hint="eastAsia"/>
          <w:color w:val="000000"/>
          <w:sz w:val="28"/>
        </w:rPr>
        <w:t>4．</w:t>
      </w:r>
      <w:r w:rsidRPr="000A0987">
        <w:rPr>
          <w:rFonts w:ascii="宋体" w:hAnsi="宋体" w:cs="宋体" w:hint="eastAsia"/>
          <w:color w:val="000000"/>
          <w:sz w:val="28"/>
        </w:rPr>
        <w:t xml:space="preserve">术语和计量单位 </w:t>
      </w:r>
    </w:p>
    <w:p w:rsidR="000A0987" w:rsidRPr="000A0987" w:rsidRDefault="000A0987" w:rsidP="000A0987">
      <w:pPr>
        <w:ind w:firstLine="570"/>
        <w:jc w:val="left"/>
        <w:rPr>
          <w:rFonts w:ascii="宋体" w:hAnsi="宋体" w:cs="宋体"/>
          <w:color w:val="000000"/>
          <w:spacing w:val="-1"/>
          <w:kern w:val="0"/>
          <w:sz w:val="28"/>
        </w:rPr>
      </w:pPr>
      <w:r w:rsidRPr="000A0987">
        <w:rPr>
          <w:rFonts w:ascii="宋体" w:hAnsi="宋体" w:cs="宋体" w:hint="eastAsia"/>
          <w:color w:val="000000"/>
          <w:spacing w:val="-1"/>
          <w:kern w:val="0"/>
          <w:sz w:val="28"/>
        </w:rPr>
        <w:t>下列术语和定义适应于本规范。</w:t>
      </w:r>
      <w:r>
        <w:rPr>
          <w:rFonts w:ascii="宋体" w:hAnsi="宋体" w:cs="宋体" w:hint="eastAsia"/>
          <w:color w:val="000000"/>
          <w:spacing w:val="-1"/>
          <w:kern w:val="0"/>
          <w:sz w:val="28"/>
        </w:rPr>
        <w:t>（</w:t>
      </w:r>
      <w:r w:rsidRPr="000A0987">
        <w:rPr>
          <w:rFonts w:ascii="宋体" w:hAnsi="宋体" w:cs="宋体" w:hint="eastAsia"/>
          <w:color w:val="000000"/>
          <w:spacing w:val="-1"/>
          <w:kern w:val="0"/>
          <w:sz w:val="28"/>
        </w:rPr>
        <w:t>等电位</w:t>
      </w:r>
      <w:r>
        <w:rPr>
          <w:rFonts w:ascii="宋体" w:hAnsi="宋体" w:cs="宋体" w:hint="eastAsia"/>
          <w:color w:val="000000"/>
          <w:spacing w:val="-1"/>
          <w:kern w:val="0"/>
          <w:sz w:val="28"/>
        </w:rPr>
        <w:t>、</w:t>
      </w:r>
      <w:r w:rsidRPr="000A0987">
        <w:rPr>
          <w:rFonts w:ascii="宋体" w:hAnsi="宋体" w:cs="宋体" w:hint="eastAsia"/>
          <w:color w:val="000000"/>
          <w:spacing w:val="-1"/>
          <w:kern w:val="0"/>
          <w:sz w:val="28"/>
        </w:rPr>
        <w:t xml:space="preserve"> 等电位连接</w:t>
      </w:r>
      <w:r>
        <w:rPr>
          <w:rFonts w:ascii="宋体" w:hAnsi="宋体" w:cs="宋体" w:hint="eastAsia"/>
          <w:color w:val="000000"/>
          <w:spacing w:val="-1"/>
          <w:kern w:val="0"/>
          <w:sz w:val="28"/>
        </w:rPr>
        <w:t>）</w:t>
      </w:r>
    </w:p>
    <w:bookmarkEnd w:id="1"/>
    <w:bookmarkEnd w:id="2"/>
    <w:p w:rsidR="00663AAF" w:rsidRPr="00663AAF" w:rsidRDefault="000A0987" w:rsidP="00663AAF">
      <w:pPr>
        <w:ind w:firstLine="570"/>
        <w:jc w:val="left"/>
        <w:rPr>
          <w:rFonts w:ascii="宋体" w:hAnsi="宋体" w:cs="宋体"/>
          <w:color w:val="000000"/>
          <w:spacing w:val="-1"/>
          <w:kern w:val="0"/>
          <w:sz w:val="28"/>
        </w:rPr>
      </w:pPr>
      <w:r>
        <w:rPr>
          <w:rFonts w:ascii="宋体" w:hAnsi="宋体" w:cs="宋体" w:hint="eastAsia"/>
          <w:color w:val="000000"/>
          <w:spacing w:val="-1"/>
          <w:kern w:val="0"/>
          <w:sz w:val="28"/>
        </w:rPr>
        <w:t>5</w:t>
      </w:r>
      <w:r w:rsidR="00663AAF" w:rsidRPr="00663AAF">
        <w:rPr>
          <w:rFonts w:ascii="宋体" w:hAnsi="宋体" w:cs="宋体"/>
          <w:color w:val="000000"/>
          <w:spacing w:val="-1"/>
          <w:kern w:val="0"/>
          <w:sz w:val="28"/>
        </w:rPr>
        <w:t>. 计量性能</w:t>
      </w:r>
    </w:p>
    <w:p w:rsidR="00663AAF" w:rsidRPr="00663AAF" w:rsidRDefault="00663AAF" w:rsidP="00663AAF">
      <w:pPr>
        <w:ind w:firstLine="570"/>
        <w:jc w:val="left"/>
        <w:rPr>
          <w:rFonts w:ascii="宋体" w:hAnsi="宋体" w:cs="宋体"/>
          <w:color w:val="000000"/>
          <w:spacing w:val="-1"/>
          <w:kern w:val="0"/>
          <w:sz w:val="28"/>
        </w:rPr>
      </w:pPr>
      <w:r w:rsidRPr="00663AAF">
        <w:rPr>
          <w:rFonts w:ascii="宋体" w:hAnsi="宋体" w:cs="宋体"/>
          <w:color w:val="000000"/>
          <w:spacing w:val="-1"/>
          <w:kern w:val="0"/>
          <w:sz w:val="28"/>
        </w:rPr>
        <w:t>根据等电位测试仪生产企业技术能力、产品计量性能、现有校准规范对部分计量特性的要求，对等电位测试仪的</w:t>
      </w:r>
      <w:r w:rsidR="000A0987">
        <w:rPr>
          <w:rFonts w:ascii="宋体" w:hAnsi="宋体" w:cs="宋体" w:hint="eastAsia"/>
          <w:color w:val="000000"/>
          <w:spacing w:val="-1"/>
          <w:kern w:val="0"/>
          <w:sz w:val="28"/>
        </w:rPr>
        <w:t>连接</w:t>
      </w:r>
      <w:r w:rsidRPr="00663AAF">
        <w:rPr>
          <w:rFonts w:ascii="宋体" w:hAnsi="宋体" w:cs="宋体"/>
          <w:color w:val="000000"/>
          <w:spacing w:val="-1"/>
          <w:kern w:val="0"/>
          <w:sz w:val="28"/>
        </w:rPr>
        <w:t>电阻的示值误差表示方式和用于校准参考的最大允差进行了要求。</w:t>
      </w:r>
    </w:p>
    <w:p w:rsidR="00663AAF" w:rsidRPr="00663AAF" w:rsidRDefault="00663AAF" w:rsidP="00663AAF">
      <w:pPr>
        <w:ind w:firstLine="570"/>
        <w:jc w:val="left"/>
        <w:rPr>
          <w:rFonts w:ascii="宋体" w:hAnsi="宋体" w:cs="宋体"/>
          <w:color w:val="000000"/>
          <w:spacing w:val="-1"/>
          <w:kern w:val="0"/>
          <w:sz w:val="28"/>
        </w:rPr>
      </w:pPr>
      <w:r w:rsidRPr="00663AAF">
        <w:rPr>
          <w:rFonts w:ascii="宋体" w:hAnsi="宋体" w:cs="宋体"/>
          <w:color w:val="000000"/>
          <w:spacing w:val="-1"/>
          <w:kern w:val="0"/>
          <w:sz w:val="28"/>
        </w:rPr>
        <w:t>5. 标准器的选择</w:t>
      </w:r>
    </w:p>
    <w:p w:rsidR="00663AAF" w:rsidRDefault="00663AAF" w:rsidP="009424E3">
      <w:pPr>
        <w:ind w:firstLine="570"/>
        <w:jc w:val="left"/>
        <w:rPr>
          <w:rFonts w:hAnsi="Calibri"/>
          <w:color w:val="000000"/>
          <w:sz w:val="28"/>
        </w:rPr>
      </w:pPr>
      <w:r w:rsidRPr="00663AAF">
        <w:rPr>
          <w:rFonts w:ascii="宋体" w:hAnsi="宋体" w:cs="宋体"/>
          <w:color w:val="000000"/>
          <w:spacing w:val="-1"/>
          <w:kern w:val="0"/>
          <w:sz w:val="28"/>
        </w:rPr>
        <w:t xml:space="preserve"> 根据被校等电位测试仪的最大允许误差、量值溯源传递方式以及大量的前期试验，确定了</w:t>
      </w:r>
      <w:r w:rsidR="009424E3">
        <w:rPr>
          <w:rFonts w:ascii="宋体" w:hAnsi="宋体" w:cs="宋体" w:hint="eastAsia"/>
          <w:color w:val="000000"/>
          <w:spacing w:val="-1"/>
          <w:kern w:val="0"/>
          <w:sz w:val="28"/>
        </w:rPr>
        <w:t>标准电阻器或标准电阻箱为</w:t>
      </w:r>
      <w:r w:rsidRPr="00663AAF">
        <w:rPr>
          <w:rFonts w:ascii="宋体" w:hAnsi="宋体" w:cs="宋体"/>
          <w:color w:val="000000"/>
          <w:spacing w:val="-1"/>
          <w:kern w:val="0"/>
          <w:sz w:val="28"/>
        </w:rPr>
        <w:t>主</w:t>
      </w:r>
      <w:r w:rsidR="009424E3">
        <w:rPr>
          <w:rFonts w:ascii="宋体" w:hAnsi="宋体" w:cs="宋体" w:hint="eastAsia"/>
          <w:color w:val="000000"/>
          <w:spacing w:val="-1"/>
          <w:kern w:val="0"/>
          <w:sz w:val="28"/>
        </w:rPr>
        <w:t>要</w:t>
      </w:r>
      <w:r w:rsidRPr="00663AAF">
        <w:rPr>
          <w:rFonts w:ascii="宋体" w:hAnsi="宋体" w:cs="宋体"/>
          <w:color w:val="000000"/>
          <w:spacing w:val="-1"/>
          <w:kern w:val="0"/>
          <w:sz w:val="28"/>
        </w:rPr>
        <w:t>的计量标准器，并对标准器的计量性能予以了规定，</w:t>
      </w:r>
      <w:r w:rsidR="009424E3">
        <w:rPr>
          <w:rFonts w:ascii="宋体" w:hAnsi="宋体" w:cs="宋体" w:hint="eastAsia"/>
          <w:color w:val="000000"/>
          <w:spacing w:val="-1"/>
          <w:kern w:val="0"/>
          <w:sz w:val="28"/>
        </w:rPr>
        <w:t>标准电阻器或标准电阻箱</w:t>
      </w:r>
      <w:r w:rsidRPr="00663AAF">
        <w:rPr>
          <w:rFonts w:ascii="宋体" w:hAnsi="宋体" w:cs="宋体"/>
          <w:color w:val="000000"/>
          <w:spacing w:val="-1"/>
          <w:kern w:val="0"/>
          <w:sz w:val="28"/>
        </w:rPr>
        <w:t>的扩展不确定度（</w:t>
      </w:r>
      <w:r w:rsidRPr="00663AAF">
        <w:rPr>
          <w:rFonts w:ascii="宋体" w:hAnsi="宋体" w:cs="宋体"/>
          <w:i/>
          <w:color w:val="000000"/>
          <w:spacing w:val="-1"/>
          <w:kern w:val="0"/>
          <w:sz w:val="28"/>
        </w:rPr>
        <w:t>k</w:t>
      </w:r>
      <w:r w:rsidRPr="00663AAF">
        <w:rPr>
          <w:rFonts w:ascii="宋体" w:hAnsi="宋体" w:cs="宋体"/>
          <w:color w:val="000000"/>
          <w:spacing w:val="-1"/>
          <w:kern w:val="0"/>
          <w:sz w:val="28"/>
        </w:rPr>
        <w:t>=2）应小于被校电测量仪表最大允许误差绝对值的 1/3。</w:t>
      </w:r>
      <w:r w:rsidR="009424E3">
        <w:rPr>
          <w:rFonts w:ascii="宋体" w:hAnsi="宋体" w:cs="宋体" w:hint="eastAsia"/>
          <w:color w:val="000000"/>
          <w:spacing w:val="-1"/>
          <w:kern w:val="0"/>
          <w:sz w:val="28"/>
        </w:rPr>
        <w:t>标准电阻器或标准电阻箱</w:t>
      </w:r>
      <w:r w:rsidRPr="00663AAF">
        <w:rPr>
          <w:rFonts w:ascii="宋体" w:hAnsi="宋体" w:cs="宋体"/>
          <w:color w:val="000000"/>
          <w:spacing w:val="-1"/>
          <w:kern w:val="0"/>
          <w:sz w:val="28"/>
        </w:rPr>
        <w:t>测量范围应完全覆盖被校电测量仪表的测量</w:t>
      </w:r>
      <w:r>
        <w:rPr>
          <w:rFonts w:ascii="宋体" w:hAnsi="宋体" w:cs="宋体"/>
          <w:color w:val="000000"/>
          <w:sz w:val="28"/>
        </w:rPr>
        <w:t>范围。</w:t>
      </w:r>
    </w:p>
    <w:p w:rsidR="00663AAF" w:rsidRDefault="00663AAF" w:rsidP="00663AAF">
      <w:pPr>
        <w:spacing w:before="249" w:line="291" w:lineRule="exact"/>
        <w:ind w:left="559"/>
        <w:rPr>
          <w:rFonts w:hAnsi="Calibri"/>
          <w:color w:val="000000"/>
          <w:sz w:val="28"/>
        </w:rPr>
      </w:pPr>
      <w:r>
        <w:rPr>
          <w:rFonts w:ascii="宋体" w:hAnsi="宋体" w:cs="宋体"/>
          <w:color w:val="000000"/>
          <w:spacing w:val="1"/>
          <w:sz w:val="28"/>
        </w:rPr>
        <w:t>6．校准方法</w:t>
      </w:r>
    </w:p>
    <w:p w:rsidR="00663AAF" w:rsidRPr="00663AAF" w:rsidRDefault="00663AAF" w:rsidP="00663AAF">
      <w:pPr>
        <w:ind w:firstLine="570"/>
        <w:jc w:val="left"/>
        <w:rPr>
          <w:rFonts w:ascii="宋体" w:hAnsi="宋体" w:cs="宋体"/>
          <w:color w:val="000000"/>
          <w:spacing w:val="-1"/>
          <w:kern w:val="0"/>
          <w:sz w:val="28"/>
        </w:rPr>
      </w:pPr>
      <w:r w:rsidRPr="00663AAF">
        <w:rPr>
          <w:rFonts w:ascii="宋体" w:hAnsi="宋体" w:cs="宋体"/>
          <w:color w:val="000000"/>
          <w:spacing w:val="-1"/>
          <w:kern w:val="0"/>
          <w:sz w:val="28"/>
        </w:rPr>
        <w:t>校准项目包括：</w:t>
      </w:r>
      <w:r w:rsidR="000A0987">
        <w:rPr>
          <w:rFonts w:ascii="宋体" w:hAnsi="宋体" w:cs="宋体" w:hint="eastAsia"/>
          <w:color w:val="000000"/>
          <w:spacing w:val="-1"/>
          <w:kern w:val="0"/>
          <w:sz w:val="28"/>
        </w:rPr>
        <w:t>连接</w:t>
      </w:r>
      <w:r w:rsidRPr="00663AAF">
        <w:rPr>
          <w:rFonts w:ascii="宋体" w:hAnsi="宋体" w:cs="宋体"/>
          <w:color w:val="000000"/>
          <w:spacing w:val="-1"/>
          <w:kern w:val="0"/>
          <w:sz w:val="28"/>
        </w:rPr>
        <w:t>电阻示值误差。</w:t>
      </w:r>
      <w:r w:rsidR="009424E3" w:rsidRPr="009424E3">
        <w:rPr>
          <w:rFonts w:ascii="宋体" w:hAnsi="宋体" w:cs="宋体" w:hint="eastAsia"/>
          <w:color w:val="000000"/>
          <w:spacing w:val="-1"/>
          <w:kern w:val="0"/>
          <w:sz w:val="28"/>
        </w:rPr>
        <w:t>测试仪的测量端子直接与标准器相接，调节标准器至校准点，接通测试仪连接电阻测量开关，当被校测试仪的工作电流或电压稳定后，读取被校准测试仪连接电阻测量值。</w:t>
      </w:r>
      <w:r w:rsidRPr="00663AAF">
        <w:rPr>
          <w:rFonts w:ascii="宋体" w:hAnsi="宋体" w:cs="宋体"/>
          <w:color w:val="000000"/>
          <w:spacing w:val="-1"/>
          <w:kern w:val="0"/>
          <w:sz w:val="28"/>
        </w:rPr>
        <w:t>根据产品设计与性能，对等电位测试仪的各校准项目对应的计量性能和校准方法进行详细叙述，</w:t>
      </w:r>
      <w:r w:rsidR="004932A6">
        <w:rPr>
          <w:rFonts w:ascii="宋体" w:hAnsi="宋体" w:cs="宋体" w:hint="eastAsia"/>
          <w:color w:val="000000"/>
          <w:spacing w:val="-1"/>
          <w:kern w:val="0"/>
          <w:sz w:val="28"/>
        </w:rPr>
        <w:t>7</w:t>
      </w:r>
      <w:r w:rsidRPr="00663AAF">
        <w:rPr>
          <w:rFonts w:ascii="宋体" w:hAnsi="宋体" w:cs="宋体"/>
          <w:color w:val="000000"/>
          <w:spacing w:val="-1"/>
          <w:kern w:val="0"/>
          <w:sz w:val="28"/>
        </w:rPr>
        <w:t xml:space="preserve">.1 为校准项目， </w:t>
      </w:r>
      <w:r w:rsidR="004932A6">
        <w:rPr>
          <w:rFonts w:ascii="宋体" w:hAnsi="宋体" w:cs="宋体" w:hint="eastAsia"/>
          <w:color w:val="000000"/>
          <w:spacing w:val="-1"/>
          <w:kern w:val="0"/>
          <w:sz w:val="28"/>
        </w:rPr>
        <w:t>7</w:t>
      </w:r>
      <w:r w:rsidRPr="00663AAF">
        <w:rPr>
          <w:rFonts w:ascii="宋体" w:hAnsi="宋体" w:cs="宋体"/>
          <w:color w:val="000000"/>
          <w:spacing w:val="-1"/>
          <w:kern w:val="0"/>
          <w:sz w:val="28"/>
        </w:rPr>
        <w:t>.2 为校准方</w:t>
      </w:r>
      <w:r w:rsidRPr="00663AAF">
        <w:rPr>
          <w:rFonts w:ascii="宋体" w:hAnsi="宋体" w:cs="宋体"/>
          <w:color w:val="000000"/>
          <w:spacing w:val="-1"/>
          <w:kern w:val="0"/>
          <w:sz w:val="28"/>
        </w:rPr>
        <w:lastRenderedPageBreak/>
        <w:t>法。</w:t>
      </w:r>
    </w:p>
    <w:p w:rsidR="00663AAF" w:rsidRPr="00663AAF" w:rsidRDefault="00663AAF" w:rsidP="00663AAF">
      <w:pPr>
        <w:ind w:firstLine="570"/>
        <w:jc w:val="left"/>
        <w:rPr>
          <w:rFonts w:ascii="宋体" w:hAnsi="宋体" w:cs="宋体"/>
          <w:color w:val="000000"/>
          <w:spacing w:val="-1"/>
          <w:kern w:val="0"/>
          <w:sz w:val="28"/>
        </w:rPr>
      </w:pPr>
      <w:r w:rsidRPr="00663AAF">
        <w:rPr>
          <w:rFonts w:ascii="宋体" w:hAnsi="宋体" w:cs="宋体"/>
          <w:color w:val="000000"/>
          <w:spacing w:val="-1"/>
          <w:kern w:val="0"/>
          <w:sz w:val="28"/>
        </w:rPr>
        <w:t>7．校准结果的处理</w:t>
      </w:r>
    </w:p>
    <w:p w:rsidR="00663AAF" w:rsidRPr="00663AAF" w:rsidRDefault="00663AAF" w:rsidP="00663AAF">
      <w:pPr>
        <w:ind w:firstLine="570"/>
        <w:jc w:val="left"/>
        <w:rPr>
          <w:rFonts w:ascii="宋体" w:hAnsi="宋体" w:cs="宋体"/>
          <w:color w:val="000000"/>
          <w:spacing w:val="-1"/>
          <w:kern w:val="0"/>
          <w:sz w:val="28"/>
        </w:rPr>
      </w:pPr>
      <w:r w:rsidRPr="00663AAF">
        <w:rPr>
          <w:rFonts w:ascii="宋体" w:hAnsi="宋体" w:cs="宋体"/>
          <w:color w:val="000000"/>
          <w:spacing w:val="-1"/>
          <w:kern w:val="0"/>
          <w:sz w:val="28"/>
        </w:rPr>
        <w:t>根据校准项目，设计了原始记录及证书数据页格式，校准数值应按照设定好的格式和要求填写原始记录（见附表 A）；并在校准后出具校准证书。当用户有特殊要求时，应按照用户要求测量内容及测量点出具校准证书，证书中应给出测量不确定度，其评定应符合 JJF 1059.1-2012《测量不确定度评定与表示》要求。</w:t>
      </w:r>
    </w:p>
    <w:p w:rsidR="00663AAF" w:rsidRPr="00663AAF" w:rsidRDefault="00663AAF" w:rsidP="00663AAF">
      <w:pPr>
        <w:ind w:firstLine="570"/>
        <w:jc w:val="left"/>
        <w:rPr>
          <w:rFonts w:ascii="宋体" w:hAnsi="宋体" w:cs="宋体"/>
          <w:color w:val="000000"/>
          <w:spacing w:val="-1"/>
          <w:kern w:val="0"/>
          <w:sz w:val="28"/>
        </w:rPr>
      </w:pPr>
      <w:r w:rsidRPr="00663AAF">
        <w:rPr>
          <w:rFonts w:ascii="宋体" w:hAnsi="宋体" w:cs="宋体"/>
          <w:color w:val="000000"/>
          <w:spacing w:val="-1"/>
          <w:kern w:val="0"/>
          <w:sz w:val="28"/>
        </w:rPr>
        <w:t>建议复校时间间隔不超过 12 个月。由于复校时间间隔的长短是由仪器的使用情况、使用者、仪器本身质量等诸因素所决定的，因此，送校单位可根据实际使用情况自主决定复校时间间隔。</w:t>
      </w:r>
    </w:p>
    <w:p w:rsidR="00663AAF" w:rsidRPr="00663AAF" w:rsidRDefault="00663AAF" w:rsidP="00663AAF">
      <w:pPr>
        <w:ind w:firstLine="570"/>
        <w:jc w:val="left"/>
        <w:rPr>
          <w:rFonts w:ascii="宋体" w:hAnsi="宋体" w:cs="宋体"/>
          <w:color w:val="000000"/>
          <w:spacing w:val="-1"/>
          <w:kern w:val="0"/>
          <w:sz w:val="28"/>
        </w:rPr>
      </w:pPr>
    </w:p>
    <w:p w:rsidR="00663AAF" w:rsidRPr="00663AAF" w:rsidRDefault="00663AAF" w:rsidP="00663AAF">
      <w:pPr>
        <w:ind w:firstLine="570"/>
        <w:jc w:val="left"/>
      </w:pPr>
    </w:p>
    <w:sectPr w:rsidR="00663AAF" w:rsidRPr="00663A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223" w:rsidRDefault="00E55223" w:rsidP="00663AAF">
      <w:r>
        <w:separator/>
      </w:r>
    </w:p>
  </w:endnote>
  <w:endnote w:type="continuationSeparator" w:id="0">
    <w:p w:rsidR="00E55223" w:rsidRDefault="00E55223" w:rsidP="00663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223" w:rsidRDefault="00E55223" w:rsidP="00663AAF">
      <w:r>
        <w:separator/>
      </w:r>
    </w:p>
  </w:footnote>
  <w:footnote w:type="continuationSeparator" w:id="0">
    <w:p w:rsidR="00E55223" w:rsidRDefault="00E55223" w:rsidP="00663A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809F2"/>
    <w:multiLevelType w:val="hybridMultilevel"/>
    <w:tmpl w:val="BA56F38C"/>
    <w:lvl w:ilvl="0" w:tplc="068A188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AAF"/>
    <w:rsid w:val="000A0987"/>
    <w:rsid w:val="000A78F8"/>
    <w:rsid w:val="000B7C85"/>
    <w:rsid w:val="000C32FE"/>
    <w:rsid w:val="00131256"/>
    <w:rsid w:val="00256233"/>
    <w:rsid w:val="002C55C7"/>
    <w:rsid w:val="00393ABB"/>
    <w:rsid w:val="004932A6"/>
    <w:rsid w:val="005119E5"/>
    <w:rsid w:val="005340AE"/>
    <w:rsid w:val="00586D53"/>
    <w:rsid w:val="00663AAF"/>
    <w:rsid w:val="00767DEC"/>
    <w:rsid w:val="00852F99"/>
    <w:rsid w:val="008D4E13"/>
    <w:rsid w:val="009343FF"/>
    <w:rsid w:val="009424E3"/>
    <w:rsid w:val="009E561F"/>
    <w:rsid w:val="00A45D63"/>
    <w:rsid w:val="00C5156D"/>
    <w:rsid w:val="00CB765D"/>
    <w:rsid w:val="00D52A56"/>
    <w:rsid w:val="00DB2224"/>
    <w:rsid w:val="00DD4332"/>
    <w:rsid w:val="00E26E84"/>
    <w:rsid w:val="00E55223"/>
    <w:rsid w:val="00F22DD9"/>
    <w:rsid w:val="00F44B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0A0987"/>
    <w:pPr>
      <w:keepNext/>
      <w:keepLines/>
      <w:spacing w:before="340" w:after="330" w:line="576" w:lineRule="auto"/>
      <w:outlineLvl w:val="0"/>
    </w:pPr>
    <w:rPr>
      <w:rFonts w:ascii="Calibri" w:eastAsia="宋体" w:hAnsi="Calibri" w:cs="Times New Roman"/>
      <w:b/>
      <w:kern w:val="44"/>
      <w:sz w:val="44"/>
      <w:szCs w:val="24"/>
    </w:rPr>
  </w:style>
  <w:style w:type="paragraph" w:styleId="2">
    <w:name w:val="heading 2"/>
    <w:basedOn w:val="a"/>
    <w:next w:val="a"/>
    <w:link w:val="2Char"/>
    <w:uiPriority w:val="9"/>
    <w:unhideWhenUsed/>
    <w:qFormat/>
    <w:rsid w:val="000A0987"/>
    <w:pPr>
      <w:keepNext/>
      <w:keepLines/>
      <w:spacing w:before="260" w:after="260" w:line="413" w:lineRule="auto"/>
      <w:outlineLvl w:val="1"/>
    </w:pPr>
    <w:rPr>
      <w:rFonts w:ascii="Arial" w:eastAsia="黑体" w:hAnsi="Arial" w:cs="Times New Roman"/>
      <w:b/>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663AAF"/>
    <w:pPr>
      <w:ind w:leftChars="2500" w:left="100"/>
    </w:pPr>
  </w:style>
  <w:style w:type="character" w:customStyle="1" w:styleId="Char">
    <w:name w:val="日期 Char"/>
    <w:basedOn w:val="a0"/>
    <w:link w:val="a3"/>
    <w:uiPriority w:val="99"/>
    <w:semiHidden/>
    <w:rsid w:val="00663AAF"/>
  </w:style>
  <w:style w:type="paragraph" w:styleId="a4">
    <w:name w:val="header"/>
    <w:basedOn w:val="a"/>
    <w:link w:val="Char0"/>
    <w:uiPriority w:val="99"/>
    <w:unhideWhenUsed/>
    <w:rsid w:val="000C32F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0C32FE"/>
    <w:rPr>
      <w:sz w:val="18"/>
      <w:szCs w:val="18"/>
    </w:rPr>
  </w:style>
  <w:style w:type="paragraph" w:styleId="a5">
    <w:name w:val="footer"/>
    <w:basedOn w:val="a"/>
    <w:link w:val="Char1"/>
    <w:uiPriority w:val="99"/>
    <w:unhideWhenUsed/>
    <w:rsid w:val="000C32FE"/>
    <w:pPr>
      <w:tabs>
        <w:tab w:val="center" w:pos="4153"/>
        <w:tab w:val="right" w:pos="8306"/>
      </w:tabs>
      <w:snapToGrid w:val="0"/>
      <w:jc w:val="left"/>
    </w:pPr>
    <w:rPr>
      <w:sz w:val="18"/>
      <w:szCs w:val="18"/>
    </w:rPr>
  </w:style>
  <w:style w:type="character" w:customStyle="1" w:styleId="Char1">
    <w:name w:val="页脚 Char"/>
    <w:basedOn w:val="a0"/>
    <w:link w:val="a5"/>
    <w:uiPriority w:val="99"/>
    <w:rsid w:val="000C32FE"/>
    <w:rPr>
      <w:sz w:val="18"/>
      <w:szCs w:val="18"/>
    </w:rPr>
  </w:style>
  <w:style w:type="paragraph" w:styleId="a6">
    <w:name w:val="Balloon Text"/>
    <w:basedOn w:val="a"/>
    <w:link w:val="Char2"/>
    <w:uiPriority w:val="99"/>
    <w:semiHidden/>
    <w:unhideWhenUsed/>
    <w:rsid w:val="000B7C85"/>
    <w:rPr>
      <w:sz w:val="18"/>
      <w:szCs w:val="18"/>
    </w:rPr>
  </w:style>
  <w:style w:type="character" w:customStyle="1" w:styleId="Char2">
    <w:name w:val="批注框文本 Char"/>
    <w:basedOn w:val="a0"/>
    <w:link w:val="a6"/>
    <w:uiPriority w:val="99"/>
    <w:semiHidden/>
    <w:rsid w:val="000B7C85"/>
    <w:rPr>
      <w:sz w:val="18"/>
      <w:szCs w:val="18"/>
    </w:rPr>
  </w:style>
  <w:style w:type="character" w:customStyle="1" w:styleId="1Char">
    <w:name w:val="标题 1 Char"/>
    <w:basedOn w:val="a0"/>
    <w:link w:val="1"/>
    <w:qFormat/>
    <w:rsid w:val="000A0987"/>
    <w:rPr>
      <w:rFonts w:ascii="Calibri" w:eastAsia="宋体" w:hAnsi="Calibri" w:cs="Times New Roman"/>
      <w:b/>
      <w:kern w:val="44"/>
      <w:sz w:val="44"/>
      <w:szCs w:val="24"/>
    </w:rPr>
  </w:style>
  <w:style w:type="character" w:customStyle="1" w:styleId="2Char">
    <w:name w:val="标题 2 Char"/>
    <w:basedOn w:val="a0"/>
    <w:link w:val="2"/>
    <w:uiPriority w:val="9"/>
    <w:qFormat/>
    <w:rsid w:val="000A0987"/>
    <w:rPr>
      <w:rFonts w:ascii="Arial" w:eastAsia="黑体" w:hAnsi="Arial" w:cs="Times New Roman"/>
      <w:b/>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0A0987"/>
    <w:pPr>
      <w:keepNext/>
      <w:keepLines/>
      <w:spacing w:before="340" w:after="330" w:line="576" w:lineRule="auto"/>
      <w:outlineLvl w:val="0"/>
    </w:pPr>
    <w:rPr>
      <w:rFonts w:ascii="Calibri" w:eastAsia="宋体" w:hAnsi="Calibri" w:cs="Times New Roman"/>
      <w:b/>
      <w:kern w:val="44"/>
      <w:sz w:val="44"/>
      <w:szCs w:val="24"/>
    </w:rPr>
  </w:style>
  <w:style w:type="paragraph" w:styleId="2">
    <w:name w:val="heading 2"/>
    <w:basedOn w:val="a"/>
    <w:next w:val="a"/>
    <w:link w:val="2Char"/>
    <w:uiPriority w:val="9"/>
    <w:unhideWhenUsed/>
    <w:qFormat/>
    <w:rsid w:val="000A0987"/>
    <w:pPr>
      <w:keepNext/>
      <w:keepLines/>
      <w:spacing w:before="260" w:after="260" w:line="413" w:lineRule="auto"/>
      <w:outlineLvl w:val="1"/>
    </w:pPr>
    <w:rPr>
      <w:rFonts w:ascii="Arial" w:eastAsia="黑体" w:hAnsi="Arial" w:cs="Times New Roman"/>
      <w:b/>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663AAF"/>
    <w:pPr>
      <w:ind w:leftChars="2500" w:left="100"/>
    </w:pPr>
  </w:style>
  <w:style w:type="character" w:customStyle="1" w:styleId="Char">
    <w:name w:val="日期 Char"/>
    <w:basedOn w:val="a0"/>
    <w:link w:val="a3"/>
    <w:uiPriority w:val="99"/>
    <w:semiHidden/>
    <w:rsid w:val="00663AAF"/>
  </w:style>
  <w:style w:type="paragraph" w:styleId="a4">
    <w:name w:val="header"/>
    <w:basedOn w:val="a"/>
    <w:link w:val="Char0"/>
    <w:uiPriority w:val="99"/>
    <w:unhideWhenUsed/>
    <w:rsid w:val="000C32F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0C32FE"/>
    <w:rPr>
      <w:sz w:val="18"/>
      <w:szCs w:val="18"/>
    </w:rPr>
  </w:style>
  <w:style w:type="paragraph" w:styleId="a5">
    <w:name w:val="footer"/>
    <w:basedOn w:val="a"/>
    <w:link w:val="Char1"/>
    <w:uiPriority w:val="99"/>
    <w:unhideWhenUsed/>
    <w:rsid w:val="000C32FE"/>
    <w:pPr>
      <w:tabs>
        <w:tab w:val="center" w:pos="4153"/>
        <w:tab w:val="right" w:pos="8306"/>
      </w:tabs>
      <w:snapToGrid w:val="0"/>
      <w:jc w:val="left"/>
    </w:pPr>
    <w:rPr>
      <w:sz w:val="18"/>
      <w:szCs w:val="18"/>
    </w:rPr>
  </w:style>
  <w:style w:type="character" w:customStyle="1" w:styleId="Char1">
    <w:name w:val="页脚 Char"/>
    <w:basedOn w:val="a0"/>
    <w:link w:val="a5"/>
    <w:uiPriority w:val="99"/>
    <w:rsid w:val="000C32FE"/>
    <w:rPr>
      <w:sz w:val="18"/>
      <w:szCs w:val="18"/>
    </w:rPr>
  </w:style>
  <w:style w:type="paragraph" w:styleId="a6">
    <w:name w:val="Balloon Text"/>
    <w:basedOn w:val="a"/>
    <w:link w:val="Char2"/>
    <w:uiPriority w:val="99"/>
    <w:semiHidden/>
    <w:unhideWhenUsed/>
    <w:rsid w:val="000B7C85"/>
    <w:rPr>
      <w:sz w:val="18"/>
      <w:szCs w:val="18"/>
    </w:rPr>
  </w:style>
  <w:style w:type="character" w:customStyle="1" w:styleId="Char2">
    <w:name w:val="批注框文本 Char"/>
    <w:basedOn w:val="a0"/>
    <w:link w:val="a6"/>
    <w:uiPriority w:val="99"/>
    <w:semiHidden/>
    <w:rsid w:val="000B7C85"/>
    <w:rPr>
      <w:sz w:val="18"/>
      <w:szCs w:val="18"/>
    </w:rPr>
  </w:style>
  <w:style w:type="character" w:customStyle="1" w:styleId="1Char">
    <w:name w:val="标题 1 Char"/>
    <w:basedOn w:val="a0"/>
    <w:link w:val="1"/>
    <w:qFormat/>
    <w:rsid w:val="000A0987"/>
    <w:rPr>
      <w:rFonts w:ascii="Calibri" w:eastAsia="宋体" w:hAnsi="Calibri" w:cs="Times New Roman"/>
      <w:b/>
      <w:kern w:val="44"/>
      <w:sz w:val="44"/>
      <w:szCs w:val="24"/>
    </w:rPr>
  </w:style>
  <w:style w:type="character" w:customStyle="1" w:styleId="2Char">
    <w:name w:val="标题 2 Char"/>
    <w:basedOn w:val="a0"/>
    <w:link w:val="2"/>
    <w:uiPriority w:val="9"/>
    <w:qFormat/>
    <w:rsid w:val="000A0987"/>
    <w:rPr>
      <w:rFonts w:ascii="Arial" w:eastAsia="黑体" w:hAnsi="Arial" w:cs="Times New Roman"/>
      <w:b/>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295</Words>
  <Characters>1687</Characters>
  <Application>Microsoft Office Word</Application>
  <DocSecurity>0</DocSecurity>
  <Lines>14</Lines>
  <Paragraphs>3</Paragraphs>
  <ScaleCrop>false</ScaleCrop>
  <Company>微软中国</Company>
  <LinksUpToDate>false</LinksUpToDate>
  <CharactersWithSpaces>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cp:lastPrinted>2023-05-10T00:31:00Z</cp:lastPrinted>
  <dcterms:created xsi:type="dcterms:W3CDTF">2023-07-26T08:36:00Z</dcterms:created>
  <dcterms:modified xsi:type="dcterms:W3CDTF">2023-07-26T08:36:00Z</dcterms:modified>
</cp:coreProperties>
</file>