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eastAsia="方正小标宋简体"/>
          <w:sz w:val="32"/>
          <w:szCs w:val="32"/>
        </w:rPr>
      </w:pPr>
      <w:r>
        <w:rPr>
          <w:rFonts w:eastAsia="方正小标宋简体"/>
          <w:sz w:val="32"/>
          <w:szCs w:val="32"/>
        </w:rPr>
        <w:t>贵州省自动电饭锅产品质量监督抽查实施细则</w:t>
      </w:r>
    </w:p>
    <w:p>
      <w:pPr>
        <w:spacing w:line="440" w:lineRule="exact"/>
        <w:jc w:val="center"/>
        <w:rPr>
          <w:szCs w:val="21"/>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rPr>
          <w:szCs w:val="21"/>
        </w:rPr>
        <w:t>每批次产品抽取样品</w:t>
      </w:r>
      <w:r>
        <w:rPr>
          <w:rFonts w:hint="eastAsia"/>
          <w:szCs w:val="21"/>
          <w:lang w:val="en-US" w:eastAsia="zh-CN"/>
        </w:rPr>
        <w:t>6</w:t>
      </w:r>
      <w:r>
        <w:rPr>
          <w:szCs w:val="21"/>
        </w:rPr>
        <w:t>台，其中</w:t>
      </w:r>
      <w:r>
        <w:rPr>
          <w:rFonts w:hint="eastAsia"/>
          <w:szCs w:val="21"/>
          <w:lang w:val="en-US" w:eastAsia="zh-CN"/>
        </w:rPr>
        <w:t>4</w:t>
      </w:r>
      <w:r>
        <w:rPr>
          <w:szCs w:val="21"/>
        </w:rPr>
        <w:t>台作为检验样品，</w:t>
      </w:r>
      <w:r>
        <w:rPr>
          <w:rFonts w:hint="eastAsia"/>
          <w:szCs w:val="21"/>
          <w:lang w:val="en-US" w:eastAsia="zh-CN"/>
        </w:rPr>
        <w:t>2</w:t>
      </w:r>
      <w:r>
        <w:rPr>
          <w:szCs w:val="21"/>
        </w:rPr>
        <w:t>台作为备用样品。</w:t>
      </w:r>
    </w:p>
    <w:p>
      <w:pPr>
        <w:snapToGrid w:val="0"/>
        <w:spacing w:line="440" w:lineRule="exact"/>
        <w:rPr>
          <w:szCs w:val="21"/>
        </w:rPr>
      </w:pPr>
    </w:p>
    <w:p>
      <w:pPr>
        <w:snapToGrid w:val="0"/>
        <w:spacing w:line="440" w:lineRule="exact"/>
        <w:rPr>
          <w:rFonts w:hint="eastAsia" w:eastAsia="黑体"/>
          <w:szCs w:val="21"/>
        </w:rPr>
      </w:pPr>
      <w:r>
        <w:rPr>
          <w:rFonts w:eastAsia="黑体"/>
          <w:szCs w:val="21"/>
        </w:rPr>
        <w:t>2 检验依据</w:t>
      </w:r>
    </w:p>
    <w:p>
      <w:pPr>
        <w:snapToGrid w:val="0"/>
        <w:spacing w:line="440" w:lineRule="exact"/>
        <w:ind w:firstLine="417" w:firstLineChars="199"/>
        <w:jc w:val="center"/>
        <w:rPr>
          <w:szCs w:val="21"/>
        </w:rPr>
      </w:pPr>
      <w:r>
        <w:rPr>
          <w:szCs w:val="21"/>
        </w:rPr>
        <w:t>表1 自动电饭锅</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1848"/>
        <w:gridCol w:w="409"/>
        <w:gridCol w:w="1642"/>
        <w:gridCol w:w="4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blHeade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序号</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检验项目</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对触及带电部件的防护</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2</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输入功率和电流</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3</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发热</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4</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工作温度下的泄漏电流和</w:t>
            </w:r>
          </w:p>
          <w:p>
            <w:pPr>
              <w:snapToGrid w:val="0"/>
              <w:jc w:val="center"/>
              <w:rPr>
                <w:szCs w:val="21"/>
              </w:rPr>
            </w:pPr>
            <w:r>
              <w:rPr>
                <w:szCs w:val="21"/>
              </w:rPr>
              <w:t>电气强度</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5</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耐潮湿</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6</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泄漏电流和电气强度</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7</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非正常工作（不包括第19.11.4条的试验）</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8</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稳定性和机械危险</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9</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机械强度</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10</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结构（不包括第22.46条的试验）</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11</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内部布线</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12</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电源连接和外部软线</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13</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外部导线用接线端子</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14</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接地措施</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15</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螺钉和连接</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64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16</w:t>
            </w:r>
          </w:p>
        </w:tc>
        <w:tc>
          <w:tcPr>
            <w:tcW w:w="2125" w:type="pct"/>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电气间隙、爬电距离和固体绝缘</w:t>
            </w:r>
          </w:p>
        </w:tc>
        <w:tc>
          <w:tcPr>
            <w:tcW w:w="223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44" w:type="pct"/>
            <w:vMerge w:val="restart"/>
            <w:noWrap w:val="0"/>
            <w:vAlign w:val="center"/>
          </w:tcPr>
          <w:p>
            <w:pPr>
              <w:snapToGrid w:val="0"/>
              <w:jc w:val="center"/>
              <w:rPr>
                <w:szCs w:val="21"/>
              </w:rPr>
            </w:pPr>
            <w:r>
              <w:rPr>
                <w:szCs w:val="21"/>
              </w:rPr>
              <w:t>17</w:t>
            </w:r>
          </w:p>
        </w:tc>
        <w:tc>
          <w:tcPr>
            <w:tcW w:w="1007" w:type="pct"/>
            <w:vMerge w:val="restart"/>
            <w:noWrap w:val="0"/>
            <w:vAlign w:val="center"/>
          </w:tcPr>
          <w:p>
            <w:pPr>
              <w:adjustRightInd w:val="0"/>
              <w:snapToGrid w:val="0"/>
              <w:jc w:val="center"/>
              <w:rPr>
                <w:szCs w:val="21"/>
              </w:rPr>
            </w:pPr>
            <w:r>
              <w:rPr>
                <w:szCs w:val="21"/>
              </w:rPr>
              <w:t>能效等级</w:t>
            </w:r>
          </w:p>
        </w:tc>
        <w:tc>
          <w:tcPr>
            <w:tcW w:w="1117" w:type="pct"/>
            <w:gridSpan w:val="2"/>
            <w:noWrap w:val="0"/>
            <w:vAlign w:val="center"/>
          </w:tcPr>
          <w:p>
            <w:pPr>
              <w:adjustRightInd w:val="0"/>
              <w:snapToGrid w:val="0"/>
              <w:jc w:val="center"/>
              <w:rPr>
                <w:szCs w:val="21"/>
              </w:rPr>
            </w:pPr>
            <w:r>
              <w:rPr>
                <w:szCs w:val="21"/>
              </w:rPr>
              <w:t>热效率值</w:t>
            </w:r>
          </w:p>
        </w:tc>
        <w:tc>
          <w:tcPr>
            <w:tcW w:w="2230" w:type="pct"/>
            <w:noWrap w:val="0"/>
            <w:vAlign w:val="center"/>
          </w:tcPr>
          <w:p>
            <w:pPr>
              <w:adjustRightInd w:val="0"/>
              <w:snapToGrid w:val="0"/>
              <w:jc w:val="center"/>
              <w:rPr>
                <w:szCs w:val="21"/>
              </w:rPr>
            </w:pPr>
            <w:r>
              <w:rPr>
                <w:szCs w:val="21"/>
              </w:rPr>
              <w:t>GB 12021.6</w:t>
            </w:r>
            <w:r>
              <w:rPr>
                <w:rFonts w:hint="eastAsia"/>
                <w:szCs w:val="21"/>
                <w:lang w:val="en-US"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44" w:type="pct"/>
            <w:vMerge w:val="continue"/>
            <w:noWrap w:val="0"/>
            <w:vAlign w:val="center"/>
          </w:tcPr>
          <w:p>
            <w:pPr>
              <w:snapToGrid w:val="0"/>
              <w:jc w:val="center"/>
              <w:rPr>
                <w:szCs w:val="21"/>
              </w:rPr>
            </w:pPr>
          </w:p>
        </w:tc>
        <w:tc>
          <w:tcPr>
            <w:tcW w:w="1007" w:type="pct"/>
            <w:vMerge w:val="continue"/>
            <w:noWrap w:val="0"/>
            <w:vAlign w:val="center"/>
          </w:tcPr>
          <w:p>
            <w:pPr>
              <w:adjustRightInd w:val="0"/>
              <w:snapToGrid w:val="0"/>
              <w:jc w:val="center"/>
              <w:rPr>
                <w:szCs w:val="21"/>
              </w:rPr>
            </w:pPr>
          </w:p>
        </w:tc>
        <w:tc>
          <w:tcPr>
            <w:tcW w:w="1117" w:type="pct"/>
            <w:gridSpan w:val="2"/>
            <w:noWrap w:val="0"/>
            <w:vAlign w:val="center"/>
          </w:tcPr>
          <w:p>
            <w:pPr>
              <w:adjustRightInd w:val="0"/>
              <w:snapToGrid w:val="0"/>
              <w:jc w:val="center"/>
              <w:rPr>
                <w:szCs w:val="21"/>
              </w:rPr>
            </w:pPr>
            <w:r>
              <w:rPr>
                <w:szCs w:val="21"/>
              </w:rPr>
              <w:t>保温能耗</w:t>
            </w:r>
          </w:p>
        </w:tc>
        <w:tc>
          <w:tcPr>
            <w:tcW w:w="2230" w:type="pct"/>
            <w:noWrap w:val="0"/>
            <w:vAlign w:val="center"/>
          </w:tcPr>
          <w:p>
            <w:pPr>
              <w:adjustRightInd w:val="0"/>
              <w:snapToGrid w:val="0"/>
              <w:jc w:val="center"/>
              <w:rPr>
                <w:szCs w:val="21"/>
              </w:rPr>
            </w:pPr>
            <w:r>
              <w:rPr>
                <w:szCs w:val="21"/>
              </w:rPr>
              <w:t>GB 12021.6</w:t>
            </w:r>
            <w:r>
              <w:rPr>
                <w:rFonts w:hint="eastAsia"/>
                <w:szCs w:val="21"/>
                <w:lang w:val="en-US"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44" w:type="pct"/>
            <w:vMerge w:val="continue"/>
            <w:noWrap w:val="0"/>
            <w:vAlign w:val="center"/>
          </w:tcPr>
          <w:p>
            <w:pPr>
              <w:snapToGrid w:val="0"/>
              <w:jc w:val="center"/>
              <w:rPr>
                <w:szCs w:val="21"/>
              </w:rPr>
            </w:pPr>
          </w:p>
        </w:tc>
        <w:tc>
          <w:tcPr>
            <w:tcW w:w="1007" w:type="pct"/>
            <w:vMerge w:val="continue"/>
            <w:noWrap w:val="0"/>
            <w:vAlign w:val="center"/>
          </w:tcPr>
          <w:p>
            <w:pPr>
              <w:adjustRightInd w:val="0"/>
              <w:snapToGrid w:val="0"/>
              <w:jc w:val="center"/>
              <w:rPr>
                <w:szCs w:val="21"/>
              </w:rPr>
            </w:pPr>
          </w:p>
        </w:tc>
        <w:tc>
          <w:tcPr>
            <w:tcW w:w="1117" w:type="pct"/>
            <w:gridSpan w:val="2"/>
            <w:noWrap w:val="0"/>
            <w:vAlign w:val="center"/>
          </w:tcPr>
          <w:p>
            <w:pPr>
              <w:adjustRightInd w:val="0"/>
              <w:snapToGrid w:val="0"/>
              <w:jc w:val="center"/>
              <w:rPr>
                <w:szCs w:val="21"/>
              </w:rPr>
            </w:pPr>
            <w:r>
              <w:rPr>
                <w:szCs w:val="21"/>
              </w:rPr>
              <w:t>待机功率</w:t>
            </w:r>
          </w:p>
        </w:tc>
        <w:tc>
          <w:tcPr>
            <w:tcW w:w="2230" w:type="pct"/>
            <w:noWrap w:val="0"/>
            <w:vAlign w:val="center"/>
          </w:tcPr>
          <w:p>
            <w:pPr>
              <w:adjustRightInd w:val="0"/>
              <w:snapToGrid w:val="0"/>
              <w:jc w:val="center"/>
              <w:rPr>
                <w:szCs w:val="21"/>
              </w:rPr>
            </w:pPr>
            <w:r>
              <w:rPr>
                <w:szCs w:val="21"/>
              </w:rPr>
              <w:t>GB 12021.6</w:t>
            </w:r>
            <w:r>
              <w:rPr>
                <w:rFonts w:hint="eastAsia"/>
                <w:szCs w:val="21"/>
                <w:lang w:val="en-US"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44" w:type="pct"/>
            <w:noWrap w:val="0"/>
            <w:vAlign w:val="center"/>
          </w:tcPr>
          <w:p>
            <w:pPr>
              <w:snapToGrid w:val="0"/>
              <w:jc w:val="center"/>
              <w:rPr>
                <w:szCs w:val="21"/>
              </w:rPr>
            </w:pPr>
            <w:r>
              <w:rPr>
                <w:szCs w:val="21"/>
              </w:rPr>
              <w:t>18</w:t>
            </w:r>
          </w:p>
        </w:tc>
        <w:tc>
          <w:tcPr>
            <w:tcW w:w="2125" w:type="pct"/>
            <w:gridSpan w:val="3"/>
            <w:noWrap w:val="0"/>
            <w:vAlign w:val="center"/>
          </w:tcPr>
          <w:p>
            <w:pPr>
              <w:adjustRightInd w:val="0"/>
              <w:snapToGrid w:val="0"/>
              <w:jc w:val="center"/>
              <w:rPr>
                <w:szCs w:val="21"/>
              </w:rPr>
            </w:pPr>
            <w:r>
              <w:rPr>
                <w:szCs w:val="21"/>
              </w:rPr>
              <w:t>端子骚扰电压（连续骚扰）</w:t>
            </w:r>
          </w:p>
        </w:tc>
        <w:tc>
          <w:tcPr>
            <w:tcW w:w="2230" w:type="pct"/>
            <w:noWrap w:val="0"/>
            <w:vAlign w:val="center"/>
          </w:tcPr>
          <w:p>
            <w:pPr>
              <w:adjustRightInd w:val="0"/>
              <w:snapToGrid w:val="0"/>
              <w:jc w:val="center"/>
              <w:rPr>
                <w:szCs w:val="21"/>
              </w:rPr>
            </w:pPr>
            <w:r>
              <w:rPr>
                <w:szCs w:val="21"/>
              </w:rPr>
              <w:t>GB 4343.1</w:t>
            </w:r>
            <w:r>
              <w:rPr>
                <w:rFonts w:hint="eastAsia"/>
                <w:szCs w:val="21"/>
                <w:lang w:val="en-US"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noWrap w:val="0"/>
            <w:vAlign w:val="center"/>
          </w:tcPr>
          <w:p>
            <w:pPr>
              <w:snapToGrid w:val="0"/>
              <w:jc w:val="center"/>
              <w:rPr>
                <w:szCs w:val="21"/>
              </w:rPr>
            </w:pPr>
            <w:r>
              <w:rPr>
                <w:szCs w:val="21"/>
              </w:rPr>
              <w:t>19</w:t>
            </w:r>
          </w:p>
        </w:tc>
        <w:tc>
          <w:tcPr>
            <w:tcW w:w="2125" w:type="pct"/>
            <w:gridSpan w:val="3"/>
            <w:noWrap w:val="0"/>
            <w:vAlign w:val="center"/>
          </w:tcPr>
          <w:p>
            <w:pPr>
              <w:adjustRightInd w:val="0"/>
              <w:snapToGrid w:val="0"/>
              <w:jc w:val="center"/>
              <w:rPr>
                <w:szCs w:val="21"/>
              </w:rPr>
            </w:pPr>
            <w:r>
              <w:rPr>
                <w:szCs w:val="21"/>
              </w:rPr>
              <w:t>骚扰功率、辐射骚扰</w:t>
            </w:r>
          </w:p>
        </w:tc>
        <w:tc>
          <w:tcPr>
            <w:tcW w:w="2230" w:type="pct"/>
            <w:noWrap w:val="0"/>
            <w:vAlign w:val="center"/>
          </w:tcPr>
          <w:p>
            <w:pPr>
              <w:adjustRightInd w:val="0"/>
              <w:snapToGrid w:val="0"/>
              <w:jc w:val="center"/>
              <w:rPr>
                <w:szCs w:val="21"/>
              </w:rPr>
            </w:pPr>
            <w:r>
              <w:rPr>
                <w:szCs w:val="21"/>
              </w:rPr>
              <w:t>GB 4343.1</w:t>
            </w:r>
            <w:r>
              <w:rPr>
                <w:rFonts w:hint="eastAsia"/>
                <w:szCs w:val="21"/>
                <w:lang w:val="en-US"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restart"/>
            <w:noWrap w:val="0"/>
            <w:vAlign w:val="center"/>
          </w:tcPr>
          <w:p>
            <w:pPr>
              <w:snapToGrid w:val="0"/>
              <w:jc w:val="center"/>
              <w:rPr>
                <w:szCs w:val="21"/>
              </w:rPr>
            </w:pPr>
            <w:r>
              <w:rPr>
                <w:szCs w:val="21"/>
              </w:rPr>
              <w:t>20</w:t>
            </w:r>
          </w:p>
        </w:tc>
        <w:tc>
          <w:tcPr>
            <w:tcW w:w="1230" w:type="pct"/>
            <w:gridSpan w:val="2"/>
            <w:vMerge w:val="restart"/>
            <w:noWrap w:val="0"/>
            <w:vAlign w:val="center"/>
          </w:tcPr>
          <w:p>
            <w:pPr>
              <w:adjustRightInd w:val="0"/>
              <w:snapToGrid w:val="0"/>
              <w:jc w:val="center"/>
              <w:rPr>
                <w:szCs w:val="21"/>
              </w:rPr>
            </w:pPr>
            <w:r>
              <w:rPr>
                <w:szCs w:val="21"/>
              </w:rPr>
              <w:t>理化指标（不锈钢的迁移物指标）</w:t>
            </w:r>
          </w:p>
        </w:tc>
        <w:tc>
          <w:tcPr>
            <w:tcW w:w="894" w:type="pct"/>
            <w:noWrap w:val="0"/>
            <w:vAlign w:val="center"/>
          </w:tcPr>
          <w:p>
            <w:pPr>
              <w:adjustRightInd w:val="0"/>
              <w:snapToGrid w:val="0"/>
              <w:jc w:val="center"/>
              <w:rPr>
                <w:szCs w:val="21"/>
              </w:rPr>
            </w:pPr>
            <w:r>
              <w:rPr>
                <w:szCs w:val="21"/>
              </w:rPr>
              <w:t>砷</w:t>
            </w:r>
          </w:p>
        </w:tc>
        <w:tc>
          <w:tcPr>
            <w:tcW w:w="2230" w:type="pct"/>
            <w:noWrap w:val="0"/>
            <w:vAlign w:val="center"/>
          </w:tcPr>
          <w:p>
            <w:pPr>
              <w:adjustRightInd w:val="0"/>
              <w:snapToGrid w:val="0"/>
              <w:jc w:val="center"/>
              <w:rPr>
                <w:szCs w:val="21"/>
                <w:highlight w:val="none"/>
              </w:rPr>
            </w:pPr>
            <w:r>
              <w:rPr>
                <w:szCs w:val="21"/>
                <w:highlight w:val="none"/>
              </w:rPr>
              <w:t>GB 31604.38</w:t>
            </w:r>
            <w:r>
              <w:rPr>
                <w:rFonts w:hint="eastAsia"/>
                <w:szCs w:val="21"/>
                <w:highlight w:val="none"/>
                <w:lang w:val="en-US" w:eastAsia="zh-CN"/>
              </w:rPr>
              <w:t>-</w:t>
            </w:r>
            <w:r>
              <w:rPr>
                <w:szCs w:val="21"/>
                <w:highlight w:val="none"/>
              </w:rPr>
              <w:t>2016或</w:t>
            </w:r>
          </w:p>
          <w:p>
            <w:pPr>
              <w:adjustRightInd w:val="0"/>
              <w:snapToGrid w:val="0"/>
              <w:jc w:val="center"/>
              <w:rPr>
                <w:rFonts w:hint="default" w:eastAsia="宋体"/>
                <w:szCs w:val="21"/>
                <w:highlight w:val="none"/>
                <w:lang w:val="en-US" w:eastAsia="zh-CN"/>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continue"/>
            <w:noWrap w:val="0"/>
            <w:vAlign w:val="center"/>
          </w:tcPr>
          <w:p>
            <w:pPr>
              <w:snapToGrid w:val="0"/>
              <w:jc w:val="center"/>
              <w:rPr>
                <w:szCs w:val="21"/>
              </w:rPr>
            </w:pPr>
          </w:p>
        </w:tc>
        <w:tc>
          <w:tcPr>
            <w:tcW w:w="1230" w:type="pct"/>
            <w:gridSpan w:val="2"/>
            <w:vMerge w:val="continue"/>
            <w:noWrap w:val="0"/>
            <w:vAlign w:val="center"/>
          </w:tcPr>
          <w:p>
            <w:pPr>
              <w:adjustRightInd w:val="0"/>
              <w:snapToGrid w:val="0"/>
              <w:jc w:val="center"/>
              <w:rPr>
                <w:szCs w:val="21"/>
              </w:rPr>
            </w:pPr>
          </w:p>
        </w:tc>
        <w:tc>
          <w:tcPr>
            <w:tcW w:w="894" w:type="pct"/>
            <w:noWrap w:val="0"/>
            <w:vAlign w:val="center"/>
          </w:tcPr>
          <w:p>
            <w:pPr>
              <w:adjustRightInd w:val="0"/>
              <w:snapToGrid w:val="0"/>
              <w:jc w:val="center"/>
              <w:rPr>
                <w:szCs w:val="21"/>
              </w:rPr>
            </w:pPr>
            <w:r>
              <w:rPr>
                <w:szCs w:val="21"/>
              </w:rPr>
              <w:t>镉</w:t>
            </w:r>
          </w:p>
        </w:tc>
        <w:tc>
          <w:tcPr>
            <w:tcW w:w="2230" w:type="pct"/>
            <w:noWrap w:val="0"/>
            <w:vAlign w:val="center"/>
          </w:tcPr>
          <w:p>
            <w:pPr>
              <w:adjustRightInd w:val="0"/>
              <w:snapToGrid w:val="0"/>
              <w:jc w:val="center"/>
              <w:rPr>
                <w:szCs w:val="21"/>
                <w:highlight w:val="none"/>
              </w:rPr>
            </w:pPr>
            <w:r>
              <w:rPr>
                <w:szCs w:val="21"/>
                <w:highlight w:val="none"/>
              </w:rPr>
              <w:t>GB 31604.24</w:t>
            </w:r>
            <w:r>
              <w:rPr>
                <w:rFonts w:hint="eastAsia"/>
                <w:szCs w:val="21"/>
                <w:highlight w:val="none"/>
                <w:lang w:val="en-US" w:eastAsia="zh-CN"/>
              </w:rPr>
              <w:t>-</w:t>
            </w:r>
            <w:r>
              <w:rPr>
                <w:szCs w:val="21"/>
                <w:highlight w:val="none"/>
              </w:rPr>
              <w:t>2016或</w:t>
            </w:r>
          </w:p>
          <w:p>
            <w:pPr>
              <w:adjustRightInd w:val="0"/>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r>
              <w:rPr>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continue"/>
            <w:noWrap w:val="0"/>
            <w:vAlign w:val="center"/>
          </w:tcPr>
          <w:p>
            <w:pPr>
              <w:snapToGrid w:val="0"/>
              <w:jc w:val="center"/>
              <w:rPr>
                <w:szCs w:val="21"/>
              </w:rPr>
            </w:pPr>
          </w:p>
        </w:tc>
        <w:tc>
          <w:tcPr>
            <w:tcW w:w="1230" w:type="pct"/>
            <w:gridSpan w:val="2"/>
            <w:vMerge w:val="continue"/>
            <w:noWrap w:val="0"/>
            <w:vAlign w:val="center"/>
          </w:tcPr>
          <w:p>
            <w:pPr>
              <w:adjustRightInd w:val="0"/>
              <w:snapToGrid w:val="0"/>
              <w:jc w:val="center"/>
              <w:rPr>
                <w:szCs w:val="21"/>
              </w:rPr>
            </w:pPr>
          </w:p>
        </w:tc>
        <w:tc>
          <w:tcPr>
            <w:tcW w:w="894" w:type="pct"/>
            <w:noWrap w:val="0"/>
            <w:vAlign w:val="center"/>
          </w:tcPr>
          <w:p>
            <w:pPr>
              <w:adjustRightInd w:val="0"/>
              <w:snapToGrid w:val="0"/>
              <w:jc w:val="center"/>
              <w:rPr>
                <w:szCs w:val="21"/>
              </w:rPr>
            </w:pPr>
            <w:r>
              <w:rPr>
                <w:szCs w:val="21"/>
              </w:rPr>
              <w:t>铅</w:t>
            </w:r>
          </w:p>
        </w:tc>
        <w:tc>
          <w:tcPr>
            <w:tcW w:w="2230" w:type="pct"/>
            <w:noWrap w:val="0"/>
            <w:vAlign w:val="center"/>
          </w:tcPr>
          <w:p>
            <w:pPr>
              <w:adjustRightInd w:val="0"/>
              <w:snapToGrid w:val="0"/>
              <w:jc w:val="center"/>
              <w:rPr>
                <w:szCs w:val="21"/>
                <w:highlight w:val="none"/>
              </w:rPr>
            </w:pPr>
            <w:r>
              <w:rPr>
                <w:szCs w:val="21"/>
                <w:highlight w:val="none"/>
              </w:rPr>
              <w:t>GB 31604.34</w:t>
            </w:r>
            <w:r>
              <w:rPr>
                <w:rFonts w:hint="eastAsia"/>
                <w:szCs w:val="21"/>
                <w:highlight w:val="none"/>
                <w:lang w:val="en-US" w:eastAsia="zh-CN"/>
              </w:rPr>
              <w:t>-</w:t>
            </w:r>
            <w:r>
              <w:rPr>
                <w:szCs w:val="21"/>
                <w:highlight w:val="none"/>
              </w:rPr>
              <w:t>2016或</w:t>
            </w:r>
          </w:p>
          <w:p>
            <w:pPr>
              <w:adjustRightInd w:val="0"/>
              <w:snapToGrid w:val="0"/>
              <w:jc w:val="center"/>
              <w:rPr>
                <w:rFonts w:hint="default" w:eastAsia="宋体"/>
                <w:szCs w:val="21"/>
                <w:highlight w:val="none"/>
                <w:lang w:val="en-US" w:eastAsia="zh-CN"/>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continue"/>
            <w:noWrap w:val="0"/>
            <w:vAlign w:val="center"/>
          </w:tcPr>
          <w:p>
            <w:pPr>
              <w:snapToGrid w:val="0"/>
              <w:jc w:val="center"/>
              <w:rPr>
                <w:szCs w:val="21"/>
              </w:rPr>
            </w:pPr>
          </w:p>
        </w:tc>
        <w:tc>
          <w:tcPr>
            <w:tcW w:w="1230" w:type="pct"/>
            <w:gridSpan w:val="2"/>
            <w:vMerge w:val="continue"/>
            <w:noWrap w:val="0"/>
            <w:vAlign w:val="center"/>
          </w:tcPr>
          <w:p>
            <w:pPr>
              <w:adjustRightInd w:val="0"/>
              <w:snapToGrid w:val="0"/>
              <w:jc w:val="center"/>
              <w:rPr>
                <w:szCs w:val="21"/>
              </w:rPr>
            </w:pPr>
          </w:p>
        </w:tc>
        <w:tc>
          <w:tcPr>
            <w:tcW w:w="894" w:type="pct"/>
            <w:noWrap w:val="0"/>
            <w:vAlign w:val="center"/>
          </w:tcPr>
          <w:p>
            <w:pPr>
              <w:adjustRightInd w:val="0"/>
              <w:snapToGrid w:val="0"/>
              <w:jc w:val="center"/>
              <w:rPr>
                <w:szCs w:val="21"/>
              </w:rPr>
            </w:pPr>
            <w:r>
              <w:rPr>
                <w:szCs w:val="21"/>
              </w:rPr>
              <w:t>镍</w:t>
            </w:r>
          </w:p>
        </w:tc>
        <w:tc>
          <w:tcPr>
            <w:tcW w:w="2230" w:type="pct"/>
            <w:noWrap w:val="0"/>
            <w:vAlign w:val="center"/>
          </w:tcPr>
          <w:p>
            <w:pPr>
              <w:adjustRightInd w:val="0"/>
              <w:snapToGrid w:val="0"/>
              <w:jc w:val="center"/>
              <w:rPr>
                <w:szCs w:val="21"/>
                <w:highlight w:val="none"/>
              </w:rPr>
            </w:pPr>
            <w:r>
              <w:rPr>
                <w:szCs w:val="21"/>
                <w:highlight w:val="none"/>
              </w:rPr>
              <w:t>GB 31604.33</w:t>
            </w:r>
            <w:r>
              <w:rPr>
                <w:rFonts w:hint="eastAsia"/>
                <w:szCs w:val="21"/>
                <w:highlight w:val="none"/>
                <w:lang w:val="en-US" w:eastAsia="zh-CN"/>
              </w:rPr>
              <w:t>-</w:t>
            </w:r>
            <w:r>
              <w:rPr>
                <w:szCs w:val="21"/>
                <w:highlight w:val="none"/>
              </w:rPr>
              <w:t>2016或</w:t>
            </w:r>
          </w:p>
          <w:p>
            <w:pPr>
              <w:adjustRightInd w:val="0"/>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r>
              <w:rPr>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continue"/>
            <w:noWrap w:val="0"/>
            <w:vAlign w:val="center"/>
          </w:tcPr>
          <w:p>
            <w:pPr>
              <w:snapToGrid w:val="0"/>
              <w:jc w:val="center"/>
              <w:rPr>
                <w:szCs w:val="21"/>
              </w:rPr>
            </w:pPr>
          </w:p>
        </w:tc>
        <w:tc>
          <w:tcPr>
            <w:tcW w:w="1230" w:type="pct"/>
            <w:gridSpan w:val="2"/>
            <w:vMerge w:val="continue"/>
            <w:noWrap w:val="0"/>
            <w:vAlign w:val="center"/>
          </w:tcPr>
          <w:p>
            <w:pPr>
              <w:adjustRightInd w:val="0"/>
              <w:snapToGrid w:val="0"/>
              <w:jc w:val="center"/>
              <w:rPr>
                <w:szCs w:val="21"/>
              </w:rPr>
            </w:pPr>
          </w:p>
        </w:tc>
        <w:tc>
          <w:tcPr>
            <w:tcW w:w="894" w:type="pct"/>
            <w:noWrap w:val="0"/>
            <w:vAlign w:val="center"/>
          </w:tcPr>
          <w:p>
            <w:pPr>
              <w:adjustRightInd w:val="0"/>
              <w:snapToGrid w:val="0"/>
              <w:jc w:val="center"/>
              <w:rPr>
                <w:szCs w:val="21"/>
              </w:rPr>
            </w:pPr>
            <w:r>
              <w:rPr>
                <w:szCs w:val="21"/>
              </w:rPr>
              <w:t>铬</w:t>
            </w:r>
          </w:p>
        </w:tc>
        <w:tc>
          <w:tcPr>
            <w:tcW w:w="2230" w:type="pct"/>
            <w:noWrap w:val="0"/>
            <w:vAlign w:val="center"/>
          </w:tcPr>
          <w:p>
            <w:pPr>
              <w:adjustRightInd w:val="0"/>
              <w:snapToGrid w:val="0"/>
              <w:jc w:val="center"/>
              <w:rPr>
                <w:szCs w:val="21"/>
                <w:highlight w:val="none"/>
              </w:rPr>
            </w:pPr>
            <w:r>
              <w:rPr>
                <w:szCs w:val="21"/>
                <w:highlight w:val="none"/>
              </w:rPr>
              <w:t>GB 31604.25</w:t>
            </w:r>
            <w:r>
              <w:rPr>
                <w:rFonts w:hint="eastAsia"/>
                <w:szCs w:val="21"/>
                <w:highlight w:val="none"/>
                <w:lang w:val="en-US" w:eastAsia="zh-CN"/>
              </w:rPr>
              <w:t>-</w:t>
            </w:r>
            <w:r>
              <w:rPr>
                <w:szCs w:val="21"/>
                <w:highlight w:val="none"/>
              </w:rPr>
              <w:t>2016或</w:t>
            </w:r>
          </w:p>
          <w:p>
            <w:pPr>
              <w:adjustRightInd w:val="0"/>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r>
              <w:rPr>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restart"/>
            <w:noWrap w:val="0"/>
            <w:vAlign w:val="center"/>
          </w:tcPr>
          <w:p>
            <w:pPr>
              <w:snapToGrid w:val="0"/>
              <w:jc w:val="center"/>
              <w:rPr>
                <w:szCs w:val="21"/>
              </w:rPr>
            </w:pPr>
            <w:r>
              <w:rPr>
                <w:szCs w:val="21"/>
              </w:rPr>
              <w:t>21</w:t>
            </w:r>
          </w:p>
        </w:tc>
        <w:tc>
          <w:tcPr>
            <w:tcW w:w="1230" w:type="pct"/>
            <w:gridSpan w:val="2"/>
            <w:vMerge w:val="restart"/>
            <w:noWrap w:val="0"/>
            <w:vAlign w:val="center"/>
          </w:tcPr>
          <w:p>
            <w:pPr>
              <w:adjustRightInd w:val="0"/>
              <w:snapToGrid w:val="0"/>
              <w:jc w:val="center"/>
              <w:rPr>
                <w:szCs w:val="21"/>
              </w:rPr>
            </w:pPr>
            <w:r>
              <w:rPr>
                <w:szCs w:val="21"/>
              </w:rPr>
              <w:t>理化指标（其他金属材料的迁移物指标）</w:t>
            </w:r>
          </w:p>
        </w:tc>
        <w:tc>
          <w:tcPr>
            <w:tcW w:w="894" w:type="pct"/>
            <w:noWrap w:val="0"/>
            <w:vAlign w:val="center"/>
          </w:tcPr>
          <w:p>
            <w:pPr>
              <w:adjustRightInd w:val="0"/>
              <w:snapToGrid w:val="0"/>
              <w:jc w:val="center"/>
              <w:rPr>
                <w:szCs w:val="21"/>
              </w:rPr>
            </w:pPr>
            <w:r>
              <w:rPr>
                <w:szCs w:val="21"/>
              </w:rPr>
              <w:t>砷</w:t>
            </w:r>
          </w:p>
        </w:tc>
        <w:tc>
          <w:tcPr>
            <w:tcW w:w="2230" w:type="pct"/>
            <w:noWrap w:val="0"/>
            <w:vAlign w:val="center"/>
          </w:tcPr>
          <w:p>
            <w:pPr>
              <w:adjustRightInd w:val="0"/>
              <w:snapToGrid w:val="0"/>
              <w:jc w:val="center"/>
              <w:rPr>
                <w:szCs w:val="21"/>
                <w:highlight w:val="none"/>
              </w:rPr>
            </w:pPr>
            <w:r>
              <w:rPr>
                <w:szCs w:val="21"/>
                <w:highlight w:val="none"/>
              </w:rPr>
              <w:t>GB 31604.38</w:t>
            </w:r>
            <w:r>
              <w:rPr>
                <w:rFonts w:hint="eastAsia"/>
                <w:szCs w:val="21"/>
                <w:highlight w:val="none"/>
                <w:lang w:val="en-US" w:eastAsia="zh-CN"/>
              </w:rPr>
              <w:t>-</w:t>
            </w:r>
            <w:r>
              <w:rPr>
                <w:szCs w:val="21"/>
                <w:highlight w:val="none"/>
              </w:rPr>
              <w:t>2016或</w:t>
            </w:r>
          </w:p>
          <w:p>
            <w:pPr>
              <w:adjustRightInd w:val="0"/>
              <w:snapToGrid w:val="0"/>
              <w:jc w:val="center"/>
              <w:rPr>
                <w:rFonts w:hint="default" w:eastAsia="宋体"/>
                <w:szCs w:val="21"/>
                <w:highlight w:val="none"/>
                <w:lang w:val="en-US" w:eastAsia="zh-CN"/>
              </w:rPr>
            </w:pPr>
            <w:r>
              <w:rPr>
                <w:szCs w:val="21"/>
                <w:highlight w:val="none"/>
              </w:rPr>
              <w:t>GB 31604.49</w:t>
            </w:r>
            <w:r>
              <w:rPr>
                <w:rFonts w:hint="eastAsia"/>
                <w:szCs w:val="21"/>
                <w:highlight w:val="none"/>
                <w:lang w:val="en-US" w:eastAsia="zh-CN"/>
              </w:rPr>
              <w:t>-</w:t>
            </w:r>
            <w:r>
              <w:rPr>
                <w:szCs w:val="21"/>
                <w:highlight w:val="none"/>
              </w:rPr>
              <w:t>2</w:t>
            </w:r>
            <w:r>
              <w:rPr>
                <w:rFonts w:hint="eastAsia"/>
                <w:szCs w:val="21"/>
                <w:highlight w:val="none"/>
                <w:lang w:val="en-US" w:eastAsia="zh-CN"/>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continue"/>
            <w:noWrap w:val="0"/>
            <w:vAlign w:val="center"/>
          </w:tcPr>
          <w:p>
            <w:pPr>
              <w:snapToGrid w:val="0"/>
              <w:jc w:val="center"/>
              <w:rPr>
                <w:szCs w:val="21"/>
              </w:rPr>
            </w:pPr>
          </w:p>
        </w:tc>
        <w:tc>
          <w:tcPr>
            <w:tcW w:w="1230" w:type="pct"/>
            <w:gridSpan w:val="2"/>
            <w:vMerge w:val="continue"/>
            <w:noWrap w:val="0"/>
            <w:vAlign w:val="center"/>
          </w:tcPr>
          <w:p>
            <w:pPr>
              <w:adjustRightInd w:val="0"/>
              <w:snapToGrid w:val="0"/>
              <w:jc w:val="center"/>
              <w:rPr>
                <w:szCs w:val="21"/>
              </w:rPr>
            </w:pPr>
          </w:p>
        </w:tc>
        <w:tc>
          <w:tcPr>
            <w:tcW w:w="894" w:type="pct"/>
            <w:noWrap w:val="0"/>
            <w:vAlign w:val="center"/>
          </w:tcPr>
          <w:p>
            <w:pPr>
              <w:adjustRightInd w:val="0"/>
              <w:snapToGrid w:val="0"/>
              <w:jc w:val="center"/>
              <w:rPr>
                <w:szCs w:val="21"/>
              </w:rPr>
            </w:pPr>
            <w:r>
              <w:rPr>
                <w:szCs w:val="21"/>
              </w:rPr>
              <w:t>镉</w:t>
            </w:r>
          </w:p>
        </w:tc>
        <w:tc>
          <w:tcPr>
            <w:tcW w:w="2230" w:type="pct"/>
            <w:noWrap w:val="0"/>
            <w:vAlign w:val="center"/>
          </w:tcPr>
          <w:p>
            <w:pPr>
              <w:adjustRightInd w:val="0"/>
              <w:snapToGrid w:val="0"/>
              <w:jc w:val="center"/>
              <w:rPr>
                <w:szCs w:val="21"/>
                <w:highlight w:val="none"/>
              </w:rPr>
            </w:pPr>
            <w:r>
              <w:rPr>
                <w:szCs w:val="21"/>
                <w:highlight w:val="none"/>
              </w:rPr>
              <w:t>GB 31604.24</w:t>
            </w:r>
            <w:r>
              <w:rPr>
                <w:rFonts w:hint="eastAsia"/>
                <w:szCs w:val="21"/>
                <w:highlight w:val="none"/>
                <w:lang w:val="en-US" w:eastAsia="zh-CN"/>
              </w:rPr>
              <w:t>-</w:t>
            </w:r>
            <w:r>
              <w:rPr>
                <w:szCs w:val="21"/>
                <w:highlight w:val="none"/>
              </w:rPr>
              <w:t>2016或</w:t>
            </w:r>
          </w:p>
          <w:p>
            <w:pPr>
              <w:adjustRightInd w:val="0"/>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r>
              <w:rPr>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vMerge w:val="continue"/>
            <w:noWrap w:val="0"/>
            <w:vAlign w:val="center"/>
          </w:tcPr>
          <w:p>
            <w:pPr>
              <w:snapToGrid w:val="0"/>
              <w:jc w:val="center"/>
              <w:rPr>
                <w:szCs w:val="21"/>
              </w:rPr>
            </w:pPr>
          </w:p>
        </w:tc>
        <w:tc>
          <w:tcPr>
            <w:tcW w:w="1230" w:type="pct"/>
            <w:gridSpan w:val="2"/>
            <w:vMerge w:val="continue"/>
            <w:noWrap w:val="0"/>
            <w:vAlign w:val="center"/>
          </w:tcPr>
          <w:p>
            <w:pPr>
              <w:adjustRightInd w:val="0"/>
              <w:snapToGrid w:val="0"/>
              <w:jc w:val="center"/>
              <w:rPr>
                <w:szCs w:val="21"/>
              </w:rPr>
            </w:pPr>
          </w:p>
        </w:tc>
        <w:tc>
          <w:tcPr>
            <w:tcW w:w="894" w:type="pct"/>
            <w:noWrap w:val="0"/>
            <w:vAlign w:val="center"/>
          </w:tcPr>
          <w:p>
            <w:pPr>
              <w:adjustRightInd w:val="0"/>
              <w:snapToGrid w:val="0"/>
              <w:jc w:val="center"/>
              <w:rPr>
                <w:szCs w:val="21"/>
              </w:rPr>
            </w:pPr>
            <w:r>
              <w:rPr>
                <w:szCs w:val="21"/>
              </w:rPr>
              <w:t>铅</w:t>
            </w:r>
          </w:p>
        </w:tc>
        <w:tc>
          <w:tcPr>
            <w:tcW w:w="2230" w:type="pct"/>
            <w:noWrap w:val="0"/>
            <w:vAlign w:val="center"/>
          </w:tcPr>
          <w:p>
            <w:pPr>
              <w:adjustRightInd w:val="0"/>
              <w:snapToGrid w:val="0"/>
              <w:jc w:val="center"/>
              <w:rPr>
                <w:szCs w:val="21"/>
                <w:highlight w:val="none"/>
              </w:rPr>
            </w:pPr>
            <w:r>
              <w:rPr>
                <w:szCs w:val="21"/>
                <w:highlight w:val="none"/>
              </w:rPr>
              <w:t>GB 31604.34</w:t>
            </w:r>
            <w:r>
              <w:rPr>
                <w:rFonts w:hint="eastAsia"/>
                <w:szCs w:val="21"/>
                <w:highlight w:val="none"/>
                <w:lang w:val="en-US" w:eastAsia="zh-CN"/>
              </w:rPr>
              <w:t>-</w:t>
            </w:r>
            <w:r>
              <w:rPr>
                <w:szCs w:val="21"/>
                <w:highlight w:val="none"/>
              </w:rPr>
              <w:t>2016或</w:t>
            </w:r>
          </w:p>
          <w:p>
            <w:pPr>
              <w:adjustRightInd w:val="0"/>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w:t>
            </w:r>
            <w:r>
              <w:rPr>
                <w:rFonts w:hint="eastAsia"/>
                <w:szCs w:val="21"/>
                <w:highlight w:val="none"/>
                <w:lang w:val="en-US" w:eastAsia="zh-CN"/>
              </w:rPr>
              <w:t>23</w:t>
            </w:r>
            <w:r>
              <w:rPr>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noWrap w:val="0"/>
            <w:vAlign w:val="center"/>
          </w:tcPr>
          <w:p>
            <w:pPr>
              <w:snapToGrid w:val="0"/>
              <w:jc w:val="center"/>
              <w:rPr>
                <w:szCs w:val="21"/>
              </w:rPr>
            </w:pPr>
            <w:r>
              <w:rPr>
                <w:szCs w:val="21"/>
              </w:rPr>
              <w:t>22</w:t>
            </w:r>
          </w:p>
        </w:tc>
        <w:tc>
          <w:tcPr>
            <w:tcW w:w="1230" w:type="pct"/>
            <w:gridSpan w:val="2"/>
            <w:noWrap w:val="0"/>
            <w:vAlign w:val="center"/>
          </w:tcPr>
          <w:p>
            <w:pPr>
              <w:adjustRightInd w:val="0"/>
              <w:snapToGrid w:val="0"/>
              <w:jc w:val="center"/>
              <w:rPr>
                <w:szCs w:val="21"/>
                <w:highlight w:val="yellow"/>
              </w:rPr>
            </w:pPr>
            <w:r>
              <w:rPr>
                <w:color w:val="000000"/>
                <w:szCs w:val="21"/>
              </w:rPr>
              <w:t>理化指标（塑料材料）</w:t>
            </w:r>
          </w:p>
        </w:tc>
        <w:tc>
          <w:tcPr>
            <w:tcW w:w="894" w:type="pct"/>
            <w:noWrap w:val="0"/>
            <w:vAlign w:val="center"/>
          </w:tcPr>
          <w:p>
            <w:pPr>
              <w:adjustRightInd w:val="0"/>
              <w:snapToGrid w:val="0"/>
              <w:jc w:val="center"/>
              <w:rPr>
                <w:szCs w:val="21"/>
                <w:highlight w:val="yellow"/>
              </w:rPr>
            </w:pPr>
            <w:r>
              <w:rPr>
                <w:color w:val="000000"/>
                <w:szCs w:val="21"/>
              </w:rPr>
              <w:t>总迁移量</w:t>
            </w:r>
          </w:p>
        </w:tc>
        <w:tc>
          <w:tcPr>
            <w:tcW w:w="2230" w:type="pct"/>
            <w:noWrap w:val="0"/>
            <w:vAlign w:val="center"/>
          </w:tcPr>
          <w:p>
            <w:pPr>
              <w:adjustRightInd w:val="0"/>
              <w:snapToGrid w:val="0"/>
              <w:jc w:val="center"/>
              <w:rPr>
                <w:szCs w:val="21"/>
                <w:highlight w:val="none"/>
              </w:rPr>
            </w:pPr>
            <w:r>
              <w:rPr>
                <w:szCs w:val="21"/>
                <w:highlight w:val="none"/>
              </w:rPr>
              <w:t>GB 31604.8</w:t>
            </w:r>
            <w:r>
              <w:rPr>
                <w:rFonts w:hint="eastAsia"/>
                <w:szCs w:val="21"/>
                <w:highlight w:val="none"/>
                <w:lang w:val="en-US" w:eastAsia="zh-CN"/>
              </w:rPr>
              <w:t>-</w:t>
            </w:r>
            <w:r>
              <w:rPr>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644" w:type="pct"/>
            <w:noWrap w:val="0"/>
            <w:vAlign w:val="center"/>
          </w:tcPr>
          <w:p>
            <w:pPr>
              <w:snapToGrid w:val="0"/>
              <w:jc w:val="center"/>
              <w:rPr>
                <w:szCs w:val="21"/>
              </w:rPr>
            </w:pPr>
            <w:r>
              <w:rPr>
                <w:szCs w:val="21"/>
              </w:rPr>
              <w:t>23</w:t>
            </w:r>
          </w:p>
        </w:tc>
        <w:tc>
          <w:tcPr>
            <w:tcW w:w="1230" w:type="pct"/>
            <w:gridSpan w:val="2"/>
            <w:noWrap w:val="0"/>
            <w:vAlign w:val="center"/>
          </w:tcPr>
          <w:p>
            <w:pPr>
              <w:adjustRightInd w:val="0"/>
              <w:snapToGrid w:val="0"/>
              <w:jc w:val="center"/>
              <w:rPr>
                <w:szCs w:val="21"/>
                <w:highlight w:val="yellow"/>
              </w:rPr>
            </w:pPr>
            <w:r>
              <w:rPr>
                <w:color w:val="000000"/>
                <w:szCs w:val="21"/>
              </w:rPr>
              <w:t>理化指标（涂层材料）</w:t>
            </w:r>
          </w:p>
        </w:tc>
        <w:tc>
          <w:tcPr>
            <w:tcW w:w="894" w:type="pct"/>
            <w:noWrap w:val="0"/>
            <w:vAlign w:val="center"/>
          </w:tcPr>
          <w:p>
            <w:pPr>
              <w:adjustRightInd w:val="0"/>
              <w:snapToGrid w:val="0"/>
              <w:jc w:val="center"/>
              <w:rPr>
                <w:szCs w:val="21"/>
                <w:highlight w:val="yellow"/>
              </w:rPr>
            </w:pPr>
            <w:r>
              <w:rPr>
                <w:color w:val="000000"/>
                <w:szCs w:val="21"/>
              </w:rPr>
              <w:t>总迁移量</w:t>
            </w:r>
          </w:p>
        </w:tc>
        <w:tc>
          <w:tcPr>
            <w:tcW w:w="2230" w:type="pct"/>
            <w:noWrap w:val="0"/>
            <w:vAlign w:val="center"/>
          </w:tcPr>
          <w:p>
            <w:pPr>
              <w:snapToGrid w:val="0"/>
              <w:jc w:val="center"/>
              <w:rPr>
                <w:szCs w:val="21"/>
                <w:highlight w:val="none"/>
              </w:rPr>
            </w:pPr>
            <w:r>
              <w:rPr>
                <w:szCs w:val="21"/>
                <w:highlight w:val="none"/>
              </w:rPr>
              <w:t>GB 31604.8</w:t>
            </w:r>
            <w:r>
              <w:rPr>
                <w:rFonts w:hint="eastAsia"/>
                <w:szCs w:val="21"/>
                <w:highlight w:val="none"/>
                <w:lang w:val="en-US" w:eastAsia="zh-CN"/>
              </w:rPr>
              <w:t>-</w:t>
            </w:r>
            <w:r>
              <w:rPr>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44" w:type="pct"/>
            <w:noWrap w:val="0"/>
            <w:vAlign w:val="center"/>
          </w:tcPr>
          <w:p>
            <w:pPr>
              <w:snapToGrid w:val="0"/>
              <w:jc w:val="center"/>
              <w:rPr>
                <w:szCs w:val="21"/>
              </w:rPr>
            </w:pPr>
            <w:r>
              <w:rPr>
                <w:szCs w:val="21"/>
              </w:rPr>
              <w:t>24</w:t>
            </w:r>
          </w:p>
        </w:tc>
        <w:tc>
          <w:tcPr>
            <w:tcW w:w="1230" w:type="pct"/>
            <w:gridSpan w:val="2"/>
            <w:noWrap w:val="0"/>
            <w:vAlign w:val="center"/>
          </w:tcPr>
          <w:p>
            <w:pPr>
              <w:adjustRightInd w:val="0"/>
              <w:snapToGrid w:val="0"/>
              <w:jc w:val="center"/>
              <w:rPr>
                <w:szCs w:val="21"/>
                <w:highlight w:val="yellow"/>
              </w:rPr>
            </w:pPr>
            <w:r>
              <w:rPr>
                <w:color w:val="000000"/>
                <w:szCs w:val="21"/>
              </w:rPr>
              <w:t>理化指标（橡胶材料）</w:t>
            </w:r>
          </w:p>
        </w:tc>
        <w:tc>
          <w:tcPr>
            <w:tcW w:w="894" w:type="pct"/>
            <w:noWrap w:val="0"/>
            <w:vAlign w:val="center"/>
          </w:tcPr>
          <w:p>
            <w:pPr>
              <w:adjustRightInd w:val="0"/>
              <w:snapToGrid w:val="0"/>
              <w:jc w:val="center"/>
              <w:rPr>
                <w:szCs w:val="21"/>
                <w:highlight w:val="yellow"/>
              </w:rPr>
            </w:pPr>
            <w:r>
              <w:rPr>
                <w:color w:val="000000"/>
                <w:szCs w:val="21"/>
              </w:rPr>
              <w:t>总迁移量</w:t>
            </w:r>
          </w:p>
        </w:tc>
        <w:tc>
          <w:tcPr>
            <w:tcW w:w="2230" w:type="pct"/>
            <w:noWrap w:val="0"/>
            <w:vAlign w:val="center"/>
          </w:tcPr>
          <w:p>
            <w:pPr>
              <w:snapToGrid w:val="0"/>
              <w:jc w:val="center"/>
              <w:rPr>
                <w:szCs w:val="21"/>
                <w:highlight w:val="none"/>
              </w:rPr>
            </w:pPr>
            <w:r>
              <w:rPr>
                <w:szCs w:val="21"/>
                <w:highlight w:val="none"/>
              </w:rPr>
              <w:t>GB 31604.8</w:t>
            </w:r>
            <w:r>
              <w:rPr>
                <w:rFonts w:hint="eastAsia"/>
                <w:szCs w:val="21"/>
                <w:highlight w:val="none"/>
                <w:lang w:val="en-US" w:eastAsia="zh-CN"/>
              </w:rPr>
              <w:t>-</w:t>
            </w:r>
            <w:r>
              <w:rPr>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644" w:type="pct"/>
            <w:noWrap w:val="0"/>
            <w:vAlign w:val="center"/>
          </w:tcPr>
          <w:p>
            <w:pPr>
              <w:snapToGrid w:val="0"/>
              <w:jc w:val="center"/>
              <w:rPr>
                <w:szCs w:val="21"/>
              </w:rPr>
            </w:pPr>
            <w:r>
              <w:rPr>
                <w:szCs w:val="21"/>
              </w:rPr>
              <w:t>25</w:t>
            </w:r>
          </w:p>
        </w:tc>
        <w:tc>
          <w:tcPr>
            <w:tcW w:w="1230" w:type="pct"/>
            <w:gridSpan w:val="2"/>
            <w:noWrap w:val="0"/>
            <w:vAlign w:val="center"/>
          </w:tcPr>
          <w:p>
            <w:pPr>
              <w:adjustRightInd w:val="0"/>
              <w:snapToGrid w:val="0"/>
              <w:jc w:val="center"/>
              <w:rPr>
                <w:szCs w:val="21"/>
              </w:rPr>
            </w:pPr>
            <w:r>
              <w:rPr>
                <w:color w:val="000000"/>
                <w:szCs w:val="21"/>
              </w:rPr>
              <w:t>理化指标</w:t>
            </w:r>
          </w:p>
        </w:tc>
        <w:tc>
          <w:tcPr>
            <w:tcW w:w="894" w:type="pct"/>
            <w:noWrap w:val="0"/>
            <w:vAlign w:val="center"/>
          </w:tcPr>
          <w:p>
            <w:pPr>
              <w:adjustRightInd w:val="0"/>
              <w:snapToGrid w:val="0"/>
              <w:jc w:val="center"/>
              <w:rPr>
                <w:szCs w:val="21"/>
              </w:rPr>
            </w:pPr>
            <w:r>
              <w:rPr>
                <w:color w:val="000000"/>
                <w:szCs w:val="21"/>
              </w:rPr>
              <w:t>高锰酸钾消耗量</w:t>
            </w:r>
          </w:p>
        </w:tc>
        <w:tc>
          <w:tcPr>
            <w:tcW w:w="2230" w:type="pct"/>
            <w:noWrap w:val="0"/>
            <w:vAlign w:val="center"/>
          </w:tcPr>
          <w:p>
            <w:pPr>
              <w:adjustRightInd w:val="0"/>
              <w:snapToGrid w:val="0"/>
              <w:jc w:val="center"/>
              <w:rPr>
                <w:szCs w:val="21"/>
                <w:highlight w:val="none"/>
              </w:rPr>
            </w:pPr>
            <w:r>
              <w:rPr>
                <w:szCs w:val="21"/>
                <w:highlight w:val="none"/>
              </w:rPr>
              <w:t>GB 31604.2</w:t>
            </w:r>
            <w:r>
              <w:rPr>
                <w:rFonts w:hint="eastAsia"/>
                <w:szCs w:val="21"/>
                <w:highlight w:val="none"/>
                <w:lang w:val="en-US" w:eastAsia="zh-CN"/>
              </w:rPr>
              <w:t>-</w:t>
            </w:r>
            <w:r>
              <w:rPr>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000" w:type="pct"/>
            <w:gridSpan w:val="5"/>
            <w:noWrap w:val="0"/>
            <w:vAlign w:val="center"/>
          </w:tcPr>
          <w:p>
            <w:pPr>
              <w:adjustRightInd w:val="0"/>
              <w:snapToGrid w:val="0"/>
              <w:jc w:val="left"/>
              <w:rPr>
                <w:rFonts w:hint="eastAsia" w:eastAsia="宋体"/>
                <w:szCs w:val="21"/>
                <w:highlight w:val="yellow"/>
                <w:lang w:val="en-US" w:eastAsia="zh-CN"/>
              </w:rPr>
            </w:pPr>
            <w:r>
              <w:rPr>
                <w:rFonts w:hint="eastAsia"/>
                <w:szCs w:val="21"/>
                <w:highlight w:val="none"/>
                <w:lang w:val="en-US" w:eastAsia="zh-CN"/>
              </w:rPr>
              <w:t>注：表1中涉及的理化指标检验项目仅适用于生产日期为2024年9月6日之前的产品。</w:t>
            </w:r>
          </w:p>
        </w:tc>
      </w:tr>
    </w:tbl>
    <w:p>
      <w:pPr>
        <w:snapToGrid w:val="0"/>
        <w:spacing w:line="440" w:lineRule="exact"/>
        <w:jc w:val="both"/>
        <w:rPr>
          <w:szCs w:val="21"/>
        </w:rPr>
      </w:pPr>
    </w:p>
    <w:p>
      <w:pPr>
        <w:snapToGrid w:val="0"/>
        <w:spacing w:line="440" w:lineRule="exact"/>
        <w:jc w:val="center"/>
        <w:rPr>
          <w:szCs w:val="21"/>
        </w:rPr>
      </w:pPr>
      <w:r>
        <w:rPr>
          <w:szCs w:val="21"/>
        </w:rPr>
        <w:t>表2 自动电饭锅</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767"/>
        <w:gridCol w:w="393"/>
        <w:gridCol w:w="2161"/>
        <w:gridCol w:w="3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616" w:type="pct"/>
            <w:noWrap w:val="0"/>
            <w:vAlign w:val="center"/>
          </w:tcPr>
          <w:p>
            <w:pPr>
              <w:snapToGrid w:val="0"/>
              <w:jc w:val="center"/>
              <w:rPr>
                <w:szCs w:val="21"/>
              </w:rPr>
            </w:pPr>
            <w:r>
              <w:rPr>
                <w:szCs w:val="21"/>
              </w:rPr>
              <w:t>序号</w:t>
            </w:r>
          </w:p>
        </w:tc>
        <w:tc>
          <w:tcPr>
            <w:tcW w:w="2355" w:type="pct"/>
            <w:gridSpan w:val="3"/>
            <w:noWrap w:val="0"/>
            <w:vAlign w:val="center"/>
          </w:tcPr>
          <w:p>
            <w:pPr>
              <w:snapToGrid w:val="0"/>
              <w:jc w:val="center"/>
              <w:rPr>
                <w:szCs w:val="21"/>
              </w:rPr>
            </w:pPr>
            <w:r>
              <w:rPr>
                <w:szCs w:val="21"/>
              </w:rPr>
              <w:t>检验项目</w:t>
            </w:r>
          </w:p>
        </w:tc>
        <w:tc>
          <w:tcPr>
            <w:tcW w:w="2028" w:type="pct"/>
            <w:noWrap w:val="0"/>
            <w:vAlign w:val="center"/>
          </w:tcPr>
          <w:p>
            <w:pPr>
              <w:snapToGrid w:val="0"/>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w:t>
            </w:r>
          </w:p>
        </w:tc>
        <w:tc>
          <w:tcPr>
            <w:tcW w:w="2355" w:type="pct"/>
            <w:gridSpan w:val="3"/>
            <w:noWrap w:val="0"/>
            <w:vAlign w:val="center"/>
          </w:tcPr>
          <w:p>
            <w:pPr>
              <w:adjustRightInd w:val="0"/>
              <w:snapToGrid w:val="0"/>
              <w:jc w:val="center"/>
              <w:rPr>
                <w:szCs w:val="21"/>
              </w:rPr>
            </w:pPr>
            <w:r>
              <w:rPr>
                <w:szCs w:val="21"/>
              </w:rPr>
              <w:t>对触及带电部件的防护</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2</w:t>
            </w:r>
          </w:p>
        </w:tc>
        <w:tc>
          <w:tcPr>
            <w:tcW w:w="2355" w:type="pct"/>
            <w:gridSpan w:val="3"/>
            <w:noWrap w:val="0"/>
            <w:vAlign w:val="center"/>
          </w:tcPr>
          <w:p>
            <w:pPr>
              <w:adjustRightInd w:val="0"/>
              <w:snapToGrid w:val="0"/>
              <w:jc w:val="center"/>
              <w:rPr>
                <w:szCs w:val="21"/>
              </w:rPr>
            </w:pPr>
            <w:r>
              <w:rPr>
                <w:szCs w:val="21"/>
              </w:rPr>
              <w:t>输入功率和电流</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3</w:t>
            </w:r>
          </w:p>
        </w:tc>
        <w:tc>
          <w:tcPr>
            <w:tcW w:w="2355" w:type="pct"/>
            <w:gridSpan w:val="3"/>
            <w:noWrap w:val="0"/>
            <w:vAlign w:val="center"/>
          </w:tcPr>
          <w:p>
            <w:pPr>
              <w:adjustRightInd w:val="0"/>
              <w:snapToGrid w:val="0"/>
              <w:jc w:val="center"/>
              <w:rPr>
                <w:szCs w:val="21"/>
              </w:rPr>
            </w:pPr>
            <w:r>
              <w:rPr>
                <w:szCs w:val="21"/>
              </w:rPr>
              <w:t>发热</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16" w:type="pct"/>
            <w:noWrap w:val="0"/>
            <w:vAlign w:val="center"/>
          </w:tcPr>
          <w:p>
            <w:pPr>
              <w:snapToGrid w:val="0"/>
              <w:jc w:val="center"/>
              <w:rPr>
                <w:szCs w:val="21"/>
              </w:rPr>
            </w:pPr>
            <w:r>
              <w:rPr>
                <w:szCs w:val="21"/>
              </w:rPr>
              <w:t>4</w:t>
            </w:r>
          </w:p>
        </w:tc>
        <w:tc>
          <w:tcPr>
            <w:tcW w:w="2355" w:type="pct"/>
            <w:gridSpan w:val="3"/>
            <w:noWrap w:val="0"/>
            <w:vAlign w:val="center"/>
          </w:tcPr>
          <w:p>
            <w:pPr>
              <w:adjustRightInd w:val="0"/>
              <w:snapToGrid w:val="0"/>
              <w:jc w:val="center"/>
              <w:rPr>
                <w:szCs w:val="21"/>
              </w:rPr>
            </w:pPr>
            <w:r>
              <w:rPr>
                <w:szCs w:val="21"/>
              </w:rPr>
              <w:t>工作温度下的泄漏电流和</w:t>
            </w:r>
          </w:p>
          <w:p>
            <w:pPr>
              <w:adjustRightInd w:val="0"/>
              <w:snapToGrid w:val="0"/>
              <w:jc w:val="center"/>
              <w:rPr>
                <w:szCs w:val="21"/>
              </w:rPr>
            </w:pPr>
            <w:r>
              <w:rPr>
                <w:szCs w:val="21"/>
              </w:rPr>
              <w:t>电气强度</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5</w:t>
            </w:r>
          </w:p>
        </w:tc>
        <w:tc>
          <w:tcPr>
            <w:tcW w:w="2355" w:type="pct"/>
            <w:gridSpan w:val="3"/>
            <w:noWrap w:val="0"/>
            <w:vAlign w:val="center"/>
          </w:tcPr>
          <w:p>
            <w:pPr>
              <w:adjustRightInd w:val="0"/>
              <w:snapToGrid w:val="0"/>
              <w:jc w:val="center"/>
              <w:rPr>
                <w:szCs w:val="21"/>
              </w:rPr>
            </w:pPr>
            <w:r>
              <w:rPr>
                <w:szCs w:val="21"/>
              </w:rPr>
              <w:t>耐潮湿</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6</w:t>
            </w:r>
          </w:p>
        </w:tc>
        <w:tc>
          <w:tcPr>
            <w:tcW w:w="2355" w:type="pct"/>
            <w:gridSpan w:val="3"/>
            <w:noWrap w:val="0"/>
            <w:vAlign w:val="center"/>
          </w:tcPr>
          <w:p>
            <w:pPr>
              <w:adjustRightInd w:val="0"/>
              <w:snapToGrid w:val="0"/>
              <w:jc w:val="center"/>
              <w:rPr>
                <w:szCs w:val="21"/>
              </w:rPr>
            </w:pPr>
            <w:r>
              <w:rPr>
                <w:szCs w:val="21"/>
              </w:rPr>
              <w:t>泄漏电流和电气强度</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7</w:t>
            </w:r>
          </w:p>
        </w:tc>
        <w:tc>
          <w:tcPr>
            <w:tcW w:w="2355" w:type="pct"/>
            <w:gridSpan w:val="3"/>
            <w:noWrap w:val="0"/>
            <w:vAlign w:val="center"/>
          </w:tcPr>
          <w:p>
            <w:pPr>
              <w:adjustRightInd w:val="0"/>
              <w:snapToGrid w:val="0"/>
              <w:jc w:val="center"/>
              <w:rPr>
                <w:szCs w:val="21"/>
              </w:rPr>
            </w:pPr>
            <w:r>
              <w:rPr>
                <w:szCs w:val="21"/>
              </w:rPr>
              <w:t>非正常工作（不包括第19.11.4条的试验）</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8</w:t>
            </w:r>
          </w:p>
        </w:tc>
        <w:tc>
          <w:tcPr>
            <w:tcW w:w="2355" w:type="pct"/>
            <w:gridSpan w:val="3"/>
            <w:noWrap w:val="0"/>
            <w:vAlign w:val="center"/>
          </w:tcPr>
          <w:p>
            <w:pPr>
              <w:adjustRightInd w:val="0"/>
              <w:snapToGrid w:val="0"/>
              <w:jc w:val="center"/>
              <w:rPr>
                <w:szCs w:val="21"/>
              </w:rPr>
            </w:pPr>
            <w:r>
              <w:rPr>
                <w:szCs w:val="21"/>
              </w:rPr>
              <w:t>稳定性和机械危险</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9</w:t>
            </w:r>
          </w:p>
        </w:tc>
        <w:tc>
          <w:tcPr>
            <w:tcW w:w="2355" w:type="pct"/>
            <w:gridSpan w:val="3"/>
            <w:noWrap w:val="0"/>
            <w:vAlign w:val="center"/>
          </w:tcPr>
          <w:p>
            <w:pPr>
              <w:adjustRightInd w:val="0"/>
              <w:snapToGrid w:val="0"/>
              <w:jc w:val="center"/>
              <w:rPr>
                <w:szCs w:val="21"/>
              </w:rPr>
            </w:pPr>
            <w:r>
              <w:rPr>
                <w:szCs w:val="21"/>
              </w:rPr>
              <w:t>机械强度</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10</w:t>
            </w:r>
          </w:p>
        </w:tc>
        <w:tc>
          <w:tcPr>
            <w:tcW w:w="2355" w:type="pct"/>
            <w:gridSpan w:val="3"/>
            <w:noWrap w:val="0"/>
            <w:vAlign w:val="center"/>
          </w:tcPr>
          <w:p>
            <w:pPr>
              <w:adjustRightInd w:val="0"/>
              <w:snapToGrid w:val="0"/>
              <w:jc w:val="center"/>
              <w:rPr>
                <w:szCs w:val="21"/>
              </w:rPr>
            </w:pPr>
            <w:r>
              <w:rPr>
                <w:szCs w:val="21"/>
              </w:rPr>
              <w:t>结构（不包括第22.46条的试验）</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11</w:t>
            </w:r>
          </w:p>
        </w:tc>
        <w:tc>
          <w:tcPr>
            <w:tcW w:w="2355" w:type="pct"/>
            <w:gridSpan w:val="3"/>
            <w:noWrap w:val="0"/>
            <w:vAlign w:val="center"/>
          </w:tcPr>
          <w:p>
            <w:pPr>
              <w:adjustRightInd w:val="0"/>
              <w:snapToGrid w:val="0"/>
              <w:jc w:val="center"/>
              <w:rPr>
                <w:szCs w:val="21"/>
              </w:rPr>
            </w:pPr>
            <w:r>
              <w:rPr>
                <w:szCs w:val="21"/>
              </w:rPr>
              <w:t>内部布线</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12</w:t>
            </w:r>
          </w:p>
        </w:tc>
        <w:tc>
          <w:tcPr>
            <w:tcW w:w="2355" w:type="pct"/>
            <w:gridSpan w:val="3"/>
            <w:noWrap w:val="0"/>
            <w:vAlign w:val="center"/>
          </w:tcPr>
          <w:p>
            <w:pPr>
              <w:adjustRightInd w:val="0"/>
              <w:snapToGrid w:val="0"/>
              <w:jc w:val="center"/>
              <w:rPr>
                <w:szCs w:val="21"/>
              </w:rPr>
            </w:pPr>
            <w:r>
              <w:rPr>
                <w:szCs w:val="21"/>
              </w:rPr>
              <w:t>电源连接和外部软线</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13</w:t>
            </w:r>
          </w:p>
        </w:tc>
        <w:tc>
          <w:tcPr>
            <w:tcW w:w="2355" w:type="pct"/>
            <w:gridSpan w:val="3"/>
            <w:noWrap w:val="0"/>
            <w:vAlign w:val="center"/>
          </w:tcPr>
          <w:p>
            <w:pPr>
              <w:adjustRightInd w:val="0"/>
              <w:snapToGrid w:val="0"/>
              <w:jc w:val="center"/>
              <w:rPr>
                <w:szCs w:val="21"/>
              </w:rPr>
            </w:pPr>
            <w:r>
              <w:rPr>
                <w:szCs w:val="21"/>
              </w:rPr>
              <w:t>外部导线用接线端子</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14</w:t>
            </w:r>
          </w:p>
        </w:tc>
        <w:tc>
          <w:tcPr>
            <w:tcW w:w="2355" w:type="pct"/>
            <w:gridSpan w:val="3"/>
            <w:noWrap w:val="0"/>
            <w:vAlign w:val="center"/>
          </w:tcPr>
          <w:p>
            <w:pPr>
              <w:adjustRightInd w:val="0"/>
              <w:snapToGrid w:val="0"/>
              <w:jc w:val="center"/>
              <w:rPr>
                <w:szCs w:val="21"/>
              </w:rPr>
            </w:pPr>
            <w:r>
              <w:rPr>
                <w:szCs w:val="21"/>
              </w:rPr>
              <w:t>接地措施</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15</w:t>
            </w:r>
          </w:p>
        </w:tc>
        <w:tc>
          <w:tcPr>
            <w:tcW w:w="2355" w:type="pct"/>
            <w:gridSpan w:val="3"/>
            <w:noWrap w:val="0"/>
            <w:vAlign w:val="center"/>
          </w:tcPr>
          <w:p>
            <w:pPr>
              <w:adjustRightInd w:val="0"/>
              <w:snapToGrid w:val="0"/>
              <w:jc w:val="center"/>
              <w:rPr>
                <w:szCs w:val="21"/>
              </w:rPr>
            </w:pPr>
            <w:r>
              <w:rPr>
                <w:szCs w:val="21"/>
              </w:rPr>
              <w:t>螺钉和连接</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6" w:type="pct"/>
            <w:noWrap w:val="0"/>
            <w:vAlign w:val="center"/>
          </w:tcPr>
          <w:p>
            <w:pPr>
              <w:snapToGrid w:val="0"/>
              <w:jc w:val="center"/>
              <w:rPr>
                <w:szCs w:val="21"/>
              </w:rPr>
            </w:pPr>
            <w:r>
              <w:rPr>
                <w:szCs w:val="21"/>
              </w:rPr>
              <w:t>16</w:t>
            </w:r>
          </w:p>
        </w:tc>
        <w:tc>
          <w:tcPr>
            <w:tcW w:w="2355" w:type="pct"/>
            <w:gridSpan w:val="3"/>
            <w:noWrap w:val="0"/>
            <w:vAlign w:val="center"/>
          </w:tcPr>
          <w:p>
            <w:pPr>
              <w:adjustRightInd w:val="0"/>
              <w:snapToGrid w:val="0"/>
              <w:jc w:val="center"/>
              <w:rPr>
                <w:szCs w:val="21"/>
              </w:rPr>
            </w:pPr>
            <w:r>
              <w:rPr>
                <w:szCs w:val="21"/>
              </w:rPr>
              <w:t>电气间隙、爬电距离和固体绝缘</w:t>
            </w:r>
          </w:p>
        </w:tc>
        <w:tc>
          <w:tcPr>
            <w:tcW w:w="2028" w:type="pct"/>
            <w:noWrap w:val="0"/>
            <w:vAlign w:val="center"/>
          </w:tcPr>
          <w:p>
            <w:pPr>
              <w:adjustRightInd w:val="0"/>
              <w:snapToGrid w:val="0"/>
              <w:jc w:val="center"/>
              <w:rPr>
                <w:szCs w:val="21"/>
              </w:rPr>
            </w:pPr>
            <w:r>
              <w:rPr>
                <w:szCs w:val="21"/>
              </w:rPr>
              <w:t>GB 4706.1</w:t>
            </w:r>
            <w:r>
              <w:rPr>
                <w:rFonts w:hint="eastAsia"/>
                <w:szCs w:val="21"/>
                <w:lang w:val="en-US" w:eastAsia="zh-CN"/>
              </w:rPr>
              <w:t>-</w:t>
            </w:r>
            <w:r>
              <w:rPr>
                <w:szCs w:val="21"/>
              </w:rPr>
              <w:t>2005</w:t>
            </w:r>
          </w:p>
          <w:p>
            <w:pPr>
              <w:snapToGrid w:val="0"/>
              <w:jc w:val="center"/>
              <w:rPr>
                <w:szCs w:val="21"/>
              </w:rPr>
            </w:pPr>
            <w:r>
              <w:rPr>
                <w:szCs w:val="21"/>
              </w:rPr>
              <w:t>GB 4706.19</w:t>
            </w:r>
            <w:r>
              <w:rPr>
                <w:rFonts w:hint="eastAsia"/>
                <w:szCs w:val="21"/>
                <w:lang w:val="en-US" w:eastAsia="zh-CN"/>
              </w:rPr>
              <w:t>-</w:t>
            </w:r>
            <w:r>
              <w:rPr>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16" w:type="pct"/>
            <w:vMerge w:val="restart"/>
            <w:noWrap w:val="0"/>
            <w:vAlign w:val="center"/>
          </w:tcPr>
          <w:p>
            <w:pPr>
              <w:snapToGrid w:val="0"/>
              <w:jc w:val="center"/>
              <w:rPr>
                <w:szCs w:val="21"/>
              </w:rPr>
            </w:pPr>
            <w:r>
              <w:rPr>
                <w:szCs w:val="21"/>
              </w:rPr>
              <w:t>17</w:t>
            </w:r>
          </w:p>
        </w:tc>
        <w:tc>
          <w:tcPr>
            <w:tcW w:w="963" w:type="pct"/>
            <w:vMerge w:val="restart"/>
            <w:noWrap w:val="0"/>
            <w:vAlign w:val="center"/>
          </w:tcPr>
          <w:p>
            <w:pPr>
              <w:adjustRightInd w:val="0"/>
              <w:snapToGrid w:val="0"/>
              <w:jc w:val="center"/>
              <w:rPr>
                <w:szCs w:val="21"/>
              </w:rPr>
            </w:pPr>
            <w:r>
              <w:rPr>
                <w:szCs w:val="21"/>
              </w:rPr>
              <w:t>能效等级</w:t>
            </w:r>
          </w:p>
        </w:tc>
        <w:tc>
          <w:tcPr>
            <w:tcW w:w="1391" w:type="pct"/>
            <w:gridSpan w:val="2"/>
            <w:noWrap w:val="0"/>
            <w:vAlign w:val="center"/>
          </w:tcPr>
          <w:p>
            <w:pPr>
              <w:adjustRightInd w:val="0"/>
              <w:snapToGrid w:val="0"/>
              <w:jc w:val="center"/>
              <w:rPr>
                <w:szCs w:val="21"/>
              </w:rPr>
            </w:pPr>
            <w:r>
              <w:rPr>
                <w:szCs w:val="21"/>
              </w:rPr>
              <w:t>热效率值</w:t>
            </w:r>
          </w:p>
        </w:tc>
        <w:tc>
          <w:tcPr>
            <w:tcW w:w="2028" w:type="pct"/>
            <w:noWrap w:val="0"/>
            <w:vAlign w:val="center"/>
          </w:tcPr>
          <w:p>
            <w:pPr>
              <w:adjustRightInd w:val="0"/>
              <w:snapToGrid w:val="0"/>
              <w:jc w:val="center"/>
              <w:rPr>
                <w:szCs w:val="21"/>
              </w:rPr>
            </w:pPr>
            <w:r>
              <w:rPr>
                <w:szCs w:val="21"/>
              </w:rPr>
              <w:t>GB 12021.6</w:t>
            </w:r>
            <w:r>
              <w:rPr>
                <w:rFonts w:hint="eastAsia"/>
                <w:szCs w:val="21"/>
                <w:lang w:val="en-US"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16" w:type="pct"/>
            <w:vMerge w:val="continue"/>
            <w:noWrap w:val="0"/>
            <w:vAlign w:val="center"/>
          </w:tcPr>
          <w:p>
            <w:pPr>
              <w:snapToGrid w:val="0"/>
              <w:jc w:val="center"/>
              <w:rPr>
                <w:szCs w:val="21"/>
              </w:rPr>
            </w:pPr>
          </w:p>
        </w:tc>
        <w:tc>
          <w:tcPr>
            <w:tcW w:w="963" w:type="pct"/>
            <w:vMerge w:val="continue"/>
            <w:noWrap w:val="0"/>
            <w:vAlign w:val="center"/>
          </w:tcPr>
          <w:p>
            <w:pPr>
              <w:adjustRightInd w:val="0"/>
              <w:snapToGrid w:val="0"/>
              <w:jc w:val="center"/>
              <w:rPr>
                <w:szCs w:val="21"/>
              </w:rPr>
            </w:pPr>
          </w:p>
        </w:tc>
        <w:tc>
          <w:tcPr>
            <w:tcW w:w="1391" w:type="pct"/>
            <w:gridSpan w:val="2"/>
            <w:noWrap w:val="0"/>
            <w:vAlign w:val="center"/>
          </w:tcPr>
          <w:p>
            <w:pPr>
              <w:adjustRightInd w:val="0"/>
              <w:snapToGrid w:val="0"/>
              <w:jc w:val="center"/>
              <w:rPr>
                <w:szCs w:val="21"/>
              </w:rPr>
            </w:pPr>
            <w:r>
              <w:rPr>
                <w:szCs w:val="21"/>
              </w:rPr>
              <w:t>保温能耗</w:t>
            </w:r>
          </w:p>
        </w:tc>
        <w:tc>
          <w:tcPr>
            <w:tcW w:w="2028" w:type="pct"/>
            <w:noWrap w:val="0"/>
            <w:vAlign w:val="center"/>
          </w:tcPr>
          <w:p>
            <w:pPr>
              <w:adjustRightInd w:val="0"/>
              <w:snapToGrid w:val="0"/>
              <w:jc w:val="center"/>
              <w:rPr>
                <w:szCs w:val="21"/>
              </w:rPr>
            </w:pPr>
            <w:r>
              <w:rPr>
                <w:szCs w:val="21"/>
              </w:rPr>
              <w:t>GB 12021.6</w:t>
            </w:r>
            <w:r>
              <w:rPr>
                <w:rFonts w:hint="eastAsia"/>
                <w:szCs w:val="21"/>
                <w:lang w:val="en-US"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16" w:type="pct"/>
            <w:vMerge w:val="continue"/>
            <w:noWrap w:val="0"/>
            <w:vAlign w:val="center"/>
          </w:tcPr>
          <w:p>
            <w:pPr>
              <w:snapToGrid w:val="0"/>
              <w:jc w:val="center"/>
              <w:rPr>
                <w:szCs w:val="21"/>
              </w:rPr>
            </w:pPr>
          </w:p>
        </w:tc>
        <w:tc>
          <w:tcPr>
            <w:tcW w:w="963" w:type="pct"/>
            <w:vMerge w:val="continue"/>
            <w:noWrap w:val="0"/>
            <w:vAlign w:val="center"/>
          </w:tcPr>
          <w:p>
            <w:pPr>
              <w:adjustRightInd w:val="0"/>
              <w:snapToGrid w:val="0"/>
              <w:jc w:val="center"/>
              <w:rPr>
                <w:szCs w:val="21"/>
              </w:rPr>
            </w:pPr>
          </w:p>
        </w:tc>
        <w:tc>
          <w:tcPr>
            <w:tcW w:w="1391" w:type="pct"/>
            <w:gridSpan w:val="2"/>
            <w:noWrap w:val="0"/>
            <w:vAlign w:val="center"/>
          </w:tcPr>
          <w:p>
            <w:pPr>
              <w:adjustRightInd w:val="0"/>
              <w:snapToGrid w:val="0"/>
              <w:jc w:val="center"/>
              <w:rPr>
                <w:szCs w:val="21"/>
              </w:rPr>
            </w:pPr>
            <w:r>
              <w:rPr>
                <w:szCs w:val="21"/>
              </w:rPr>
              <w:t>待机功率</w:t>
            </w:r>
          </w:p>
        </w:tc>
        <w:tc>
          <w:tcPr>
            <w:tcW w:w="2028" w:type="pct"/>
            <w:noWrap w:val="0"/>
            <w:vAlign w:val="center"/>
          </w:tcPr>
          <w:p>
            <w:pPr>
              <w:adjustRightInd w:val="0"/>
              <w:snapToGrid w:val="0"/>
              <w:jc w:val="center"/>
              <w:rPr>
                <w:szCs w:val="21"/>
              </w:rPr>
            </w:pPr>
            <w:r>
              <w:rPr>
                <w:szCs w:val="21"/>
              </w:rPr>
              <w:t>GB 12021.6</w:t>
            </w:r>
            <w:r>
              <w:rPr>
                <w:rFonts w:hint="eastAsia"/>
                <w:szCs w:val="21"/>
                <w:lang w:val="en-US" w:eastAsia="zh-CN"/>
              </w:rPr>
              <w:t>-</w:t>
            </w:r>
            <w:r>
              <w:rPr>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16" w:type="pct"/>
            <w:noWrap w:val="0"/>
            <w:vAlign w:val="center"/>
          </w:tcPr>
          <w:p>
            <w:pPr>
              <w:snapToGrid w:val="0"/>
              <w:jc w:val="center"/>
              <w:rPr>
                <w:szCs w:val="21"/>
              </w:rPr>
            </w:pPr>
            <w:r>
              <w:rPr>
                <w:szCs w:val="21"/>
              </w:rPr>
              <w:t>18</w:t>
            </w:r>
          </w:p>
        </w:tc>
        <w:tc>
          <w:tcPr>
            <w:tcW w:w="2355" w:type="pct"/>
            <w:gridSpan w:val="3"/>
            <w:noWrap w:val="0"/>
            <w:vAlign w:val="center"/>
          </w:tcPr>
          <w:p>
            <w:pPr>
              <w:adjustRightInd w:val="0"/>
              <w:snapToGrid w:val="0"/>
              <w:jc w:val="center"/>
              <w:rPr>
                <w:szCs w:val="21"/>
              </w:rPr>
            </w:pPr>
            <w:r>
              <w:rPr>
                <w:szCs w:val="21"/>
              </w:rPr>
              <w:t>端子骚扰电压（连续骚扰）</w:t>
            </w:r>
          </w:p>
        </w:tc>
        <w:tc>
          <w:tcPr>
            <w:tcW w:w="2028" w:type="pct"/>
            <w:noWrap w:val="0"/>
            <w:vAlign w:val="center"/>
          </w:tcPr>
          <w:p>
            <w:pPr>
              <w:adjustRightInd w:val="0"/>
              <w:snapToGrid w:val="0"/>
              <w:jc w:val="center"/>
              <w:rPr>
                <w:szCs w:val="21"/>
              </w:rPr>
            </w:pPr>
            <w:r>
              <w:rPr>
                <w:szCs w:val="21"/>
              </w:rPr>
              <w:t>GB 4343.1</w:t>
            </w:r>
            <w:r>
              <w:rPr>
                <w:rFonts w:hint="eastAsia"/>
                <w:szCs w:val="21"/>
                <w:lang w:val="en-US"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6" w:type="pct"/>
            <w:noWrap w:val="0"/>
            <w:vAlign w:val="center"/>
          </w:tcPr>
          <w:p>
            <w:pPr>
              <w:snapToGrid w:val="0"/>
              <w:jc w:val="center"/>
              <w:rPr>
                <w:szCs w:val="21"/>
              </w:rPr>
            </w:pPr>
            <w:r>
              <w:rPr>
                <w:szCs w:val="21"/>
              </w:rPr>
              <w:t>19</w:t>
            </w:r>
          </w:p>
        </w:tc>
        <w:tc>
          <w:tcPr>
            <w:tcW w:w="2355" w:type="pct"/>
            <w:gridSpan w:val="3"/>
            <w:noWrap w:val="0"/>
            <w:vAlign w:val="center"/>
          </w:tcPr>
          <w:p>
            <w:pPr>
              <w:adjustRightInd w:val="0"/>
              <w:snapToGrid w:val="0"/>
              <w:jc w:val="center"/>
              <w:rPr>
                <w:szCs w:val="21"/>
              </w:rPr>
            </w:pPr>
            <w:r>
              <w:rPr>
                <w:szCs w:val="21"/>
              </w:rPr>
              <w:t>骚扰功率、辐射骚扰</w:t>
            </w:r>
          </w:p>
        </w:tc>
        <w:tc>
          <w:tcPr>
            <w:tcW w:w="2028" w:type="pct"/>
            <w:noWrap w:val="0"/>
            <w:vAlign w:val="center"/>
          </w:tcPr>
          <w:p>
            <w:pPr>
              <w:adjustRightInd w:val="0"/>
              <w:snapToGrid w:val="0"/>
              <w:jc w:val="center"/>
              <w:rPr>
                <w:szCs w:val="21"/>
              </w:rPr>
            </w:pPr>
            <w:r>
              <w:rPr>
                <w:szCs w:val="21"/>
              </w:rPr>
              <w:t>GB 4343.1</w:t>
            </w:r>
            <w:r>
              <w:rPr>
                <w:rFonts w:hint="eastAsia"/>
                <w:szCs w:val="21"/>
                <w:lang w:val="en-US" w:eastAsia="zh-CN"/>
              </w:rPr>
              <w:t>-</w:t>
            </w:r>
            <w:r>
              <w:rPr>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616" w:type="pct"/>
            <w:vMerge w:val="restart"/>
            <w:noWrap w:val="0"/>
            <w:vAlign w:val="center"/>
          </w:tcPr>
          <w:p>
            <w:pPr>
              <w:snapToGrid w:val="0"/>
              <w:jc w:val="center"/>
              <w:rPr>
                <w:szCs w:val="21"/>
              </w:rPr>
            </w:pPr>
            <w:r>
              <w:rPr>
                <w:szCs w:val="21"/>
              </w:rPr>
              <w:t>20</w:t>
            </w:r>
          </w:p>
        </w:tc>
        <w:tc>
          <w:tcPr>
            <w:tcW w:w="1177" w:type="pct"/>
            <w:gridSpan w:val="2"/>
            <w:vMerge w:val="restart"/>
            <w:noWrap w:val="0"/>
            <w:vAlign w:val="center"/>
          </w:tcPr>
          <w:p>
            <w:pPr>
              <w:adjustRightInd w:val="0"/>
              <w:snapToGrid w:val="0"/>
              <w:jc w:val="center"/>
              <w:rPr>
                <w:szCs w:val="21"/>
              </w:rPr>
            </w:pPr>
            <w:r>
              <w:rPr>
                <w:szCs w:val="21"/>
              </w:rPr>
              <w:t>理化指标（杂质元素迁移量指标）</w:t>
            </w:r>
          </w:p>
        </w:tc>
        <w:tc>
          <w:tcPr>
            <w:tcW w:w="1177" w:type="pct"/>
            <w:noWrap w:val="0"/>
            <w:vAlign w:val="center"/>
          </w:tcPr>
          <w:p>
            <w:pPr>
              <w:adjustRightInd w:val="0"/>
              <w:snapToGrid w:val="0"/>
              <w:jc w:val="center"/>
              <w:rPr>
                <w:szCs w:val="21"/>
              </w:rPr>
            </w:pPr>
            <w:r>
              <w:rPr>
                <w:szCs w:val="21"/>
              </w:rPr>
              <w:t>砷</w:t>
            </w:r>
          </w:p>
        </w:tc>
        <w:tc>
          <w:tcPr>
            <w:tcW w:w="2028" w:type="pct"/>
            <w:vMerge w:val="restart"/>
            <w:noWrap w:val="0"/>
            <w:vAlign w:val="center"/>
          </w:tcPr>
          <w:p>
            <w:pPr>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szCs w:val="21"/>
              </w:rPr>
            </w:pPr>
            <w:r>
              <w:rPr>
                <w:szCs w:val="21"/>
              </w:rPr>
              <w:t>镉</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szCs w:val="21"/>
              </w:rPr>
            </w:pPr>
            <w:r>
              <w:rPr>
                <w:szCs w:val="21"/>
              </w:rPr>
              <w:t>铅</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szCs w:val="21"/>
              </w:rPr>
            </w:pPr>
            <w:r>
              <w:rPr>
                <w:szCs w:val="21"/>
              </w:rPr>
              <w:t>锑</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616" w:type="pct"/>
            <w:vMerge w:val="restart"/>
            <w:noWrap w:val="0"/>
            <w:vAlign w:val="center"/>
          </w:tcPr>
          <w:p>
            <w:pPr>
              <w:snapToGrid w:val="0"/>
              <w:jc w:val="center"/>
              <w:rPr>
                <w:szCs w:val="21"/>
              </w:rPr>
            </w:pPr>
            <w:r>
              <w:rPr>
                <w:szCs w:val="21"/>
              </w:rPr>
              <w:t>21</w:t>
            </w:r>
          </w:p>
        </w:tc>
        <w:tc>
          <w:tcPr>
            <w:tcW w:w="1177" w:type="pct"/>
            <w:gridSpan w:val="2"/>
            <w:vMerge w:val="restart"/>
            <w:noWrap w:val="0"/>
            <w:vAlign w:val="center"/>
          </w:tcPr>
          <w:p>
            <w:pPr>
              <w:adjustRightInd w:val="0"/>
              <w:snapToGrid w:val="0"/>
              <w:jc w:val="center"/>
              <w:rPr>
                <w:szCs w:val="21"/>
              </w:rPr>
            </w:pPr>
            <w:r>
              <w:rPr>
                <w:szCs w:val="21"/>
              </w:rPr>
              <w:t>理化指标（合金元素迁移量指标）</w:t>
            </w:r>
          </w:p>
        </w:tc>
        <w:tc>
          <w:tcPr>
            <w:tcW w:w="1177" w:type="pct"/>
            <w:noWrap w:val="0"/>
            <w:vAlign w:val="center"/>
          </w:tcPr>
          <w:p>
            <w:pPr>
              <w:adjustRightInd w:val="0"/>
              <w:snapToGrid w:val="0"/>
              <w:jc w:val="center"/>
              <w:rPr>
                <w:rFonts w:hint="eastAsia"/>
                <w:szCs w:val="21"/>
              </w:rPr>
            </w:pPr>
            <w:r>
              <w:rPr>
                <w:szCs w:val="21"/>
              </w:rPr>
              <w:t>铝</w:t>
            </w:r>
          </w:p>
        </w:tc>
        <w:tc>
          <w:tcPr>
            <w:tcW w:w="2028" w:type="pct"/>
            <w:vMerge w:val="restart"/>
            <w:noWrap w:val="0"/>
            <w:vAlign w:val="center"/>
          </w:tcPr>
          <w:p>
            <w:pPr>
              <w:snapToGrid w:val="0"/>
              <w:jc w:val="center"/>
              <w:rPr>
                <w:szCs w:val="21"/>
                <w:highlight w:val="none"/>
              </w:rPr>
            </w:pPr>
            <w:r>
              <w:rPr>
                <w:szCs w:val="21"/>
                <w:highlight w:val="none"/>
              </w:rPr>
              <w:t>GB 31604.49</w:t>
            </w:r>
            <w:r>
              <w:rPr>
                <w:rFonts w:hint="eastAsia"/>
                <w:szCs w:val="21"/>
                <w:highlight w:val="none"/>
                <w:lang w:val="en-US" w:eastAsia="zh-CN"/>
              </w:rPr>
              <w:t>-</w:t>
            </w:r>
            <w:r>
              <w:rPr>
                <w:szCs w:val="21"/>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铬</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钴</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铜</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锰</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钼</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镍</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rFonts w:hint="eastAsia"/>
                <w:szCs w:val="21"/>
              </w:rPr>
            </w:pPr>
            <w:r>
              <w:rPr>
                <w:szCs w:val="21"/>
              </w:rPr>
              <w:t>锡</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616" w:type="pct"/>
            <w:vMerge w:val="continue"/>
            <w:noWrap w:val="0"/>
            <w:vAlign w:val="center"/>
          </w:tcPr>
          <w:p>
            <w:pPr>
              <w:snapToGrid w:val="0"/>
              <w:jc w:val="center"/>
              <w:rPr>
                <w:szCs w:val="21"/>
              </w:rPr>
            </w:pPr>
          </w:p>
        </w:tc>
        <w:tc>
          <w:tcPr>
            <w:tcW w:w="1177" w:type="pct"/>
            <w:gridSpan w:val="2"/>
            <w:vMerge w:val="continue"/>
            <w:noWrap w:val="0"/>
            <w:vAlign w:val="center"/>
          </w:tcPr>
          <w:p>
            <w:pPr>
              <w:adjustRightInd w:val="0"/>
              <w:snapToGrid w:val="0"/>
              <w:jc w:val="center"/>
              <w:rPr>
                <w:szCs w:val="21"/>
              </w:rPr>
            </w:pPr>
          </w:p>
        </w:tc>
        <w:tc>
          <w:tcPr>
            <w:tcW w:w="1177" w:type="pct"/>
            <w:noWrap w:val="0"/>
            <w:vAlign w:val="center"/>
          </w:tcPr>
          <w:p>
            <w:pPr>
              <w:adjustRightInd w:val="0"/>
              <w:snapToGrid w:val="0"/>
              <w:jc w:val="center"/>
              <w:rPr>
                <w:szCs w:val="21"/>
              </w:rPr>
            </w:pPr>
            <w:r>
              <w:rPr>
                <w:szCs w:val="21"/>
              </w:rPr>
              <w:t>锌</w:t>
            </w:r>
          </w:p>
        </w:tc>
        <w:tc>
          <w:tcPr>
            <w:tcW w:w="2028" w:type="pct"/>
            <w:vMerge w:val="continue"/>
            <w:noWrap w:val="0"/>
            <w:vAlign w:val="center"/>
          </w:tcPr>
          <w:p>
            <w:pPr>
              <w:adjustRightInd w:val="0"/>
              <w:snapToGrid w:val="0"/>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6" w:type="pct"/>
            <w:noWrap w:val="0"/>
            <w:vAlign w:val="center"/>
          </w:tcPr>
          <w:p>
            <w:pPr>
              <w:snapToGrid w:val="0"/>
              <w:jc w:val="center"/>
              <w:rPr>
                <w:szCs w:val="21"/>
              </w:rPr>
            </w:pPr>
            <w:r>
              <w:rPr>
                <w:szCs w:val="21"/>
              </w:rPr>
              <w:t>22</w:t>
            </w:r>
          </w:p>
        </w:tc>
        <w:tc>
          <w:tcPr>
            <w:tcW w:w="1177" w:type="pct"/>
            <w:gridSpan w:val="2"/>
            <w:noWrap w:val="0"/>
            <w:vAlign w:val="center"/>
          </w:tcPr>
          <w:p>
            <w:pPr>
              <w:adjustRightInd w:val="0"/>
              <w:snapToGrid w:val="0"/>
              <w:jc w:val="center"/>
              <w:rPr>
                <w:szCs w:val="21"/>
              </w:rPr>
            </w:pPr>
            <w:r>
              <w:rPr>
                <w:szCs w:val="21"/>
              </w:rPr>
              <w:t>理化指标（塑料材料）</w:t>
            </w:r>
          </w:p>
        </w:tc>
        <w:tc>
          <w:tcPr>
            <w:tcW w:w="1177" w:type="pct"/>
            <w:noWrap w:val="0"/>
            <w:vAlign w:val="center"/>
          </w:tcPr>
          <w:p>
            <w:pPr>
              <w:adjustRightInd w:val="0"/>
              <w:snapToGrid w:val="0"/>
              <w:jc w:val="center"/>
              <w:rPr>
                <w:szCs w:val="21"/>
              </w:rPr>
            </w:pPr>
            <w:r>
              <w:rPr>
                <w:szCs w:val="21"/>
              </w:rPr>
              <w:t>总迁移量</w:t>
            </w:r>
          </w:p>
        </w:tc>
        <w:tc>
          <w:tcPr>
            <w:tcW w:w="2028" w:type="pct"/>
            <w:noWrap w:val="0"/>
            <w:vAlign w:val="center"/>
          </w:tcPr>
          <w:p>
            <w:pPr>
              <w:adjustRightInd w:val="0"/>
              <w:snapToGrid w:val="0"/>
              <w:jc w:val="center"/>
              <w:rPr>
                <w:szCs w:val="21"/>
                <w:highlight w:val="none"/>
              </w:rPr>
            </w:pPr>
            <w:r>
              <w:rPr>
                <w:szCs w:val="21"/>
                <w:highlight w:val="none"/>
              </w:rPr>
              <w:t>GB 31604.8</w:t>
            </w:r>
            <w:r>
              <w:rPr>
                <w:rFonts w:hint="eastAsia"/>
                <w:szCs w:val="21"/>
                <w:highlight w:val="none"/>
                <w:lang w:val="en-US" w:eastAsia="zh-CN"/>
              </w:rPr>
              <w:t>-</w:t>
            </w:r>
            <w:r>
              <w:rPr>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6" w:type="pct"/>
            <w:noWrap w:val="0"/>
            <w:vAlign w:val="center"/>
          </w:tcPr>
          <w:p>
            <w:pPr>
              <w:snapToGrid w:val="0"/>
              <w:jc w:val="center"/>
              <w:rPr>
                <w:szCs w:val="21"/>
              </w:rPr>
            </w:pPr>
            <w:r>
              <w:rPr>
                <w:szCs w:val="21"/>
              </w:rPr>
              <w:t>23</w:t>
            </w:r>
          </w:p>
        </w:tc>
        <w:tc>
          <w:tcPr>
            <w:tcW w:w="1177" w:type="pct"/>
            <w:gridSpan w:val="2"/>
            <w:noWrap w:val="0"/>
            <w:vAlign w:val="center"/>
          </w:tcPr>
          <w:p>
            <w:pPr>
              <w:adjustRightInd w:val="0"/>
              <w:snapToGrid w:val="0"/>
              <w:jc w:val="center"/>
              <w:rPr>
                <w:szCs w:val="21"/>
              </w:rPr>
            </w:pPr>
            <w:r>
              <w:rPr>
                <w:szCs w:val="21"/>
              </w:rPr>
              <w:t>理化指标（涂层材料）</w:t>
            </w:r>
          </w:p>
        </w:tc>
        <w:tc>
          <w:tcPr>
            <w:tcW w:w="1177" w:type="pct"/>
            <w:noWrap w:val="0"/>
            <w:vAlign w:val="center"/>
          </w:tcPr>
          <w:p>
            <w:pPr>
              <w:adjustRightInd w:val="0"/>
              <w:snapToGrid w:val="0"/>
              <w:jc w:val="center"/>
              <w:rPr>
                <w:szCs w:val="21"/>
              </w:rPr>
            </w:pPr>
            <w:r>
              <w:rPr>
                <w:szCs w:val="21"/>
              </w:rPr>
              <w:t>总迁移量</w:t>
            </w:r>
          </w:p>
        </w:tc>
        <w:tc>
          <w:tcPr>
            <w:tcW w:w="2028" w:type="pct"/>
            <w:noWrap w:val="0"/>
            <w:vAlign w:val="center"/>
          </w:tcPr>
          <w:p>
            <w:pPr>
              <w:snapToGrid w:val="0"/>
              <w:jc w:val="center"/>
              <w:rPr>
                <w:szCs w:val="21"/>
                <w:highlight w:val="none"/>
              </w:rPr>
            </w:pPr>
            <w:r>
              <w:rPr>
                <w:szCs w:val="21"/>
                <w:highlight w:val="none"/>
              </w:rPr>
              <w:t>GB 31604.8</w:t>
            </w:r>
            <w:r>
              <w:rPr>
                <w:rFonts w:hint="eastAsia"/>
                <w:szCs w:val="21"/>
                <w:highlight w:val="none"/>
                <w:lang w:val="en-US" w:eastAsia="zh-CN"/>
              </w:rPr>
              <w:t>-</w:t>
            </w:r>
            <w:r>
              <w:rPr>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6" w:type="pct"/>
            <w:noWrap w:val="0"/>
            <w:vAlign w:val="center"/>
          </w:tcPr>
          <w:p>
            <w:pPr>
              <w:snapToGrid w:val="0"/>
              <w:jc w:val="center"/>
              <w:rPr>
                <w:szCs w:val="21"/>
              </w:rPr>
            </w:pPr>
            <w:r>
              <w:rPr>
                <w:szCs w:val="21"/>
              </w:rPr>
              <w:t>24</w:t>
            </w:r>
          </w:p>
        </w:tc>
        <w:tc>
          <w:tcPr>
            <w:tcW w:w="1177" w:type="pct"/>
            <w:gridSpan w:val="2"/>
            <w:noWrap w:val="0"/>
            <w:vAlign w:val="center"/>
          </w:tcPr>
          <w:p>
            <w:pPr>
              <w:adjustRightInd w:val="0"/>
              <w:snapToGrid w:val="0"/>
              <w:jc w:val="center"/>
              <w:rPr>
                <w:szCs w:val="21"/>
              </w:rPr>
            </w:pPr>
            <w:r>
              <w:rPr>
                <w:szCs w:val="21"/>
              </w:rPr>
              <w:t>理化指标（合成橡胶或天然橡胶材料）</w:t>
            </w:r>
          </w:p>
        </w:tc>
        <w:tc>
          <w:tcPr>
            <w:tcW w:w="1177" w:type="pct"/>
            <w:noWrap w:val="0"/>
            <w:vAlign w:val="center"/>
          </w:tcPr>
          <w:p>
            <w:pPr>
              <w:adjustRightInd w:val="0"/>
              <w:snapToGrid w:val="0"/>
              <w:jc w:val="center"/>
              <w:rPr>
                <w:szCs w:val="21"/>
              </w:rPr>
            </w:pPr>
            <w:r>
              <w:rPr>
                <w:szCs w:val="21"/>
              </w:rPr>
              <w:t>总迁移量</w:t>
            </w:r>
          </w:p>
        </w:tc>
        <w:tc>
          <w:tcPr>
            <w:tcW w:w="2028" w:type="pct"/>
            <w:noWrap w:val="0"/>
            <w:vAlign w:val="center"/>
          </w:tcPr>
          <w:p>
            <w:pPr>
              <w:snapToGrid w:val="0"/>
              <w:jc w:val="center"/>
              <w:rPr>
                <w:szCs w:val="21"/>
                <w:highlight w:val="none"/>
              </w:rPr>
            </w:pPr>
            <w:r>
              <w:rPr>
                <w:szCs w:val="21"/>
                <w:highlight w:val="none"/>
              </w:rPr>
              <w:t>GB 31604.8</w:t>
            </w:r>
            <w:r>
              <w:rPr>
                <w:rFonts w:hint="eastAsia"/>
                <w:szCs w:val="21"/>
                <w:highlight w:val="none"/>
                <w:lang w:val="en-US" w:eastAsia="zh-CN"/>
              </w:rPr>
              <w:t>-</w:t>
            </w:r>
            <w:r>
              <w:rPr>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16" w:type="pct"/>
            <w:noWrap w:val="0"/>
            <w:vAlign w:val="center"/>
          </w:tcPr>
          <w:p>
            <w:pPr>
              <w:snapToGrid w:val="0"/>
              <w:jc w:val="center"/>
              <w:rPr>
                <w:szCs w:val="21"/>
              </w:rPr>
            </w:pPr>
            <w:r>
              <w:rPr>
                <w:szCs w:val="21"/>
              </w:rPr>
              <w:t>25</w:t>
            </w:r>
          </w:p>
        </w:tc>
        <w:tc>
          <w:tcPr>
            <w:tcW w:w="1177" w:type="pct"/>
            <w:gridSpan w:val="2"/>
            <w:noWrap w:val="0"/>
            <w:vAlign w:val="center"/>
          </w:tcPr>
          <w:p>
            <w:pPr>
              <w:adjustRightInd w:val="0"/>
              <w:snapToGrid w:val="0"/>
              <w:jc w:val="center"/>
              <w:rPr>
                <w:szCs w:val="21"/>
              </w:rPr>
            </w:pPr>
            <w:r>
              <w:rPr>
                <w:szCs w:val="21"/>
              </w:rPr>
              <w:t>理化指标</w:t>
            </w:r>
          </w:p>
        </w:tc>
        <w:tc>
          <w:tcPr>
            <w:tcW w:w="1177" w:type="pct"/>
            <w:noWrap w:val="0"/>
            <w:vAlign w:val="center"/>
          </w:tcPr>
          <w:p>
            <w:pPr>
              <w:adjustRightInd w:val="0"/>
              <w:snapToGrid w:val="0"/>
              <w:jc w:val="center"/>
              <w:rPr>
                <w:rFonts w:hint="eastAsia"/>
                <w:szCs w:val="21"/>
              </w:rPr>
            </w:pPr>
            <w:r>
              <w:rPr>
                <w:szCs w:val="21"/>
              </w:rPr>
              <w:t>高锰酸钾消耗量</w:t>
            </w:r>
          </w:p>
        </w:tc>
        <w:tc>
          <w:tcPr>
            <w:tcW w:w="2028" w:type="pct"/>
            <w:noWrap w:val="0"/>
            <w:vAlign w:val="center"/>
          </w:tcPr>
          <w:p>
            <w:pPr>
              <w:adjustRightInd w:val="0"/>
              <w:snapToGrid w:val="0"/>
              <w:jc w:val="center"/>
              <w:rPr>
                <w:szCs w:val="21"/>
                <w:highlight w:val="none"/>
              </w:rPr>
            </w:pPr>
            <w:r>
              <w:rPr>
                <w:szCs w:val="21"/>
                <w:highlight w:val="none"/>
              </w:rPr>
              <w:t>GB 31604.2</w:t>
            </w:r>
            <w:r>
              <w:rPr>
                <w:rFonts w:hint="eastAsia"/>
                <w:szCs w:val="21"/>
                <w:highlight w:val="none"/>
                <w:lang w:val="en-US" w:eastAsia="zh-CN"/>
              </w:rPr>
              <w:t>-</w:t>
            </w:r>
            <w:r>
              <w:rPr>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5000" w:type="pct"/>
            <w:gridSpan w:val="5"/>
            <w:noWrap w:val="0"/>
            <w:vAlign w:val="center"/>
          </w:tcPr>
          <w:p>
            <w:pPr>
              <w:adjustRightInd w:val="0"/>
              <w:snapToGrid w:val="0"/>
              <w:jc w:val="both"/>
              <w:rPr>
                <w:szCs w:val="21"/>
                <w:highlight w:val="yellow"/>
              </w:rPr>
            </w:pPr>
            <w:r>
              <w:rPr>
                <w:rFonts w:hint="eastAsia"/>
                <w:szCs w:val="21"/>
                <w:highlight w:val="none"/>
                <w:lang w:val="en-US" w:eastAsia="zh-CN"/>
              </w:rPr>
              <w:t>注：表2中涉及的理化指标检验项目仅适用于生产日期为2024年9月6日之后的产品。</w:t>
            </w:r>
          </w:p>
        </w:tc>
      </w:tr>
    </w:tbl>
    <w:p>
      <w:pPr>
        <w:adjustRightInd w:val="0"/>
        <w:snapToGrid w:val="0"/>
        <w:spacing w:line="440" w:lineRule="exact"/>
        <w:ind w:firstLine="420" w:firstLineChars="200"/>
        <w:rPr>
          <w:szCs w:val="21"/>
        </w:rPr>
      </w:pPr>
      <w:r>
        <w:rPr>
          <w:szCs w:val="21"/>
        </w:rPr>
        <w:t>执行企业标准、团体标准、地方标准的产品，检验项目参照上述内容执行。</w:t>
      </w:r>
    </w:p>
    <w:p>
      <w:pPr>
        <w:adjustRightInd w:val="0"/>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szCs w:val="21"/>
        </w:rPr>
      </w:pPr>
    </w:p>
    <w:p>
      <w:pPr>
        <w:spacing w:line="360" w:lineRule="auto"/>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17" w:firstLineChars="199"/>
        <w:rPr>
          <w:szCs w:val="21"/>
        </w:rPr>
      </w:pPr>
      <w:r>
        <w:rPr>
          <w:szCs w:val="21"/>
        </w:rPr>
        <w:t>GB 4343.1</w:t>
      </w:r>
      <w:r>
        <w:rPr>
          <w:rFonts w:hint="eastAsia"/>
          <w:szCs w:val="21"/>
          <w:lang w:val="en-US" w:eastAsia="zh-CN"/>
        </w:rPr>
        <w:t>-</w:t>
      </w:r>
      <w:r>
        <w:rPr>
          <w:szCs w:val="21"/>
        </w:rPr>
        <w:t>2018 家用电器、电动工具和类似器具的电磁兼容要求</w:t>
      </w:r>
      <w:r>
        <w:rPr>
          <w:rFonts w:hint="eastAsia"/>
          <w:szCs w:val="21"/>
        </w:rPr>
        <w:t xml:space="preserve"> </w:t>
      </w:r>
      <w:r>
        <w:rPr>
          <w:szCs w:val="21"/>
        </w:rPr>
        <w:t xml:space="preserve"> 第1部分：发射</w:t>
      </w:r>
    </w:p>
    <w:p>
      <w:pPr>
        <w:snapToGrid w:val="0"/>
        <w:spacing w:line="440" w:lineRule="exact"/>
        <w:ind w:firstLine="417" w:firstLineChars="199"/>
        <w:rPr>
          <w:szCs w:val="21"/>
        </w:rPr>
      </w:pPr>
      <w:r>
        <w:rPr>
          <w:szCs w:val="21"/>
        </w:rPr>
        <w:t>GB 4706.1</w:t>
      </w:r>
      <w:r>
        <w:rPr>
          <w:rFonts w:hint="eastAsia"/>
          <w:szCs w:val="21"/>
          <w:lang w:val="en-US" w:eastAsia="zh-CN"/>
        </w:rPr>
        <w:t>-</w:t>
      </w:r>
      <w:r>
        <w:rPr>
          <w:szCs w:val="21"/>
        </w:rPr>
        <w:t>2005 家用和类似用途电器的安全  第1部分：通用要求</w:t>
      </w:r>
    </w:p>
    <w:p>
      <w:pPr>
        <w:snapToGrid w:val="0"/>
        <w:spacing w:line="440" w:lineRule="exact"/>
        <w:ind w:firstLine="417" w:firstLineChars="199"/>
        <w:rPr>
          <w:szCs w:val="21"/>
        </w:rPr>
      </w:pPr>
      <w:r>
        <w:rPr>
          <w:szCs w:val="21"/>
        </w:rPr>
        <w:t>GB 4706.19</w:t>
      </w:r>
      <w:r>
        <w:rPr>
          <w:rFonts w:hint="eastAsia"/>
          <w:szCs w:val="21"/>
          <w:lang w:val="en-US" w:eastAsia="zh-CN"/>
        </w:rPr>
        <w:t>-</w:t>
      </w:r>
      <w:r>
        <w:rPr>
          <w:szCs w:val="21"/>
        </w:rPr>
        <w:t>2008 家用和类似用途电器的安全  液体加热器的特殊要求</w:t>
      </w:r>
    </w:p>
    <w:p>
      <w:pPr>
        <w:snapToGrid w:val="0"/>
        <w:spacing w:line="440" w:lineRule="exact"/>
        <w:ind w:firstLine="417" w:firstLineChars="199"/>
        <w:rPr>
          <w:szCs w:val="21"/>
        </w:rPr>
      </w:pPr>
      <w:r>
        <w:rPr>
          <w:szCs w:val="21"/>
        </w:rPr>
        <w:t>GB 4806.7</w:t>
      </w:r>
      <w:r>
        <w:rPr>
          <w:rFonts w:hint="eastAsia"/>
          <w:szCs w:val="21"/>
          <w:lang w:val="en-US" w:eastAsia="zh-CN"/>
        </w:rPr>
        <w:t>-</w:t>
      </w:r>
      <w:r>
        <w:rPr>
          <w:szCs w:val="21"/>
        </w:rPr>
        <w:t>2016 食品安全国家标准  食品接触用塑料材料及制品</w:t>
      </w:r>
    </w:p>
    <w:p>
      <w:pPr>
        <w:snapToGrid w:val="0"/>
        <w:spacing w:line="440" w:lineRule="exact"/>
        <w:ind w:firstLine="417" w:firstLineChars="199"/>
        <w:rPr>
          <w:szCs w:val="21"/>
        </w:rPr>
      </w:pPr>
      <w:r>
        <w:rPr>
          <w:szCs w:val="21"/>
        </w:rPr>
        <w:t>GB 4806.7</w:t>
      </w:r>
      <w:r>
        <w:rPr>
          <w:rFonts w:hint="eastAsia"/>
          <w:szCs w:val="21"/>
          <w:lang w:val="en-US" w:eastAsia="zh-CN"/>
        </w:rPr>
        <w:t>-</w:t>
      </w:r>
      <w:r>
        <w:rPr>
          <w:szCs w:val="21"/>
        </w:rPr>
        <w:t>2023 食品安全国家标准  食品接触用塑料材料及制品</w:t>
      </w:r>
    </w:p>
    <w:p>
      <w:pPr>
        <w:snapToGrid w:val="0"/>
        <w:spacing w:line="440" w:lineRule="exact"/>
        <w:ind w:firstLine="417" w:firstLineChars="199"/>
        <w:rPr>
          <w:szCs w:val="21"/>
        </w:rPr>
      </w:pPr>
      <w:r>
        <w:rPr>
          <w:szCs w:val="21"/>
        </w:rPr>
        <w:t>GB 4806.9</w:t>
      </w:r>
      <w:r>
        <w:rPr>
          <w:rFonts w:hint="eastAsia"/>
          <w:szCs w:val="21"/>
          <w:lang w:val="en-US" w:eastAsia="zh-CN"/>
        </w:rPr>
        <w:t>-</w:t>
      </w:r>
      <w:r>
        <w:rPr>
          <w:szCs w:val="21"/>
        </w:rPr>
        <w:t>2016 食品安全国家标准  食品接触用金属材料及制品</w:t>
      </w:r>
    </w:p>
    <w:p>
      <w:pPr>
        <w:snapToGrid w:val="0"/>
        <w:spacing w:line="440" w:lineRule="exact"/>
        <w:ind w:firstLine="417" w:firstLineChars="199"/>
        <w:rPr>
          <w:szCs w:val="21"/>
        </w:rPr>
      </w:pPr>
      <w:r>
        <w:rPr>
          <w:szCs w:val="21"/>
        </w:rPr>
        <w:t>GB 4806.9</w:t>
      </w:r>
      <w:r>
        <w:rPr>
          <w:rFonts w:hint="eastAsia"/>
          <w:szCs w:val="21"/>
          <w:lang w:val="en-US" w:eastAsia="zh-CN"/>
        </w:rPr>
        <w:t>-</w:t>
      </w:r>
      <w:r>
        <w:rPr>
          <w:szCs w:val="21"/>
        </w:rPr>
        <w:t>2023 食品安全国家标准  食品接触用金属材料及制品</w:t>
      </w:r>
    </w:p>
    <w:p>
      <w:pPr>
        <w:snapToGrid w:val="0"/>
        <w:spacing w:line="440" w:lineRule="exact"/>
        <w:ind w:firstLine="417" w:firstLineChars="199"/>
        <w:rPr>
          <w:szCs w:val="21"/>
        </w:rPr>
      </w:pPr>
      <w:r>
        <w:rPr>
          <w:szCs w:val="21"/>
        </w:rPr>
        <w:t>GB 4806.10</w:t>
      </w:r>
      <w:r>
        <w:rPr>
          <w:rFonts w:hint="eastAsia"/>
          <w:szCs w:val="21"/>
          <w:lang w:val="en-US" w:eastAsia="zh-CN"/>
        </w:rPr>
        <w:t>-</w:t>
      </w:r>
      <w:r>
        <w:rPr>
          <w:szCs w:val="21"/>
        </w:rPr>
        <w:t>2016 食品安全国家标准  食品接触用涂料及涂层</w:t>
      </w:r>
    </w:p>
    <w:p>
      <w:pPr>
        <w:snapToGrid w:val="0"/>
        <w:spacing w:line="440" w:lineRule="exact"/>
        <w:ind w:firstLine="417" w:firstLineChars="199"/>
        <w:rPr>
          <w:szCs w:val="21"/>
        </w:rPr>
      </w:pPr>
      <w:r>
        <w:rPr>
          <w:szCs w:val="21"/>
        </w:rPr>
        <w:t>GB 4806.11</w:t>
      </w:r>
      <w:r>
        <w:rPr>
          <w:rFonts w:hint="eastAsia"/>
          <w:szCs w:val="21"/>
          <w:lang w:val="en-US" w:eastAsia="zh-CN"/>
        </w:rPr>
        <w:t>-</w:t>
      </w:r>
      <w:r>
        <w:rPr>
          <w:szCs w:val="21"/>
        </w:rPr>
        <w:t>2016食品安全国家标准  食品接触用橡胶材料及制品</w:t>
      </w:r>
    </w:p>
    <w:p>
      <w:pPr>
        <w:snapToGrid w:val="0"/>
        <w:spacing w:line="440" w:lineRule="exact"/>
        <w:ind w:firstLine="417" w:firstLineChars="199"/>
        <w:rPr>
          <w:szCs w:val="21"/>
        </w:rPr>
      </w:pPr>
      <w:r>
        <w:rPr>
          <w:szCs w:val="21"/>
        </w:rPr>
        <w:t>GB 4806.11</w:t>
      </w:r>
      <w:r>
        <w:rPr>
          <w:rFonts w:hint="eastAsia"/>
          <w:szCs w:val="21"/>
          <w:lang w:val="en-US" w:eastAsia="zh-CN"/>
        </w:rPr>
        <w:t>-</w:t>
      </w:r>
      <w:r>
        <w:rPr>
          <w:szCs w:val="21"/>
        </w:rPr>
        <w:t>2023 食品安全国家标准  食品接触用橡胶材料及制品</w:t>
      </w:r>
    </w:p>
    <w:p>
      <w:pPr>
        <w:snapToGrid w:val="0"/>
        <w:spacing w:line="440" w:lineRule="exact"/>
        <w:ind w:firstLine="417" w:firstLineChars="199"/>
        <w:rPr>
          <w:szCs w:val="21"/>
        </w:rPr>
      </w:pPr>
      <w:r>
        <w:rPr>
          <w:szCs w:val="21"/>
        </w:rPr>
        <w:t>GB 5009.156</w:t>
      </w:r>
      <w:r>
        <w:rPr>
          <w:rFonts w:hint="eastAsia"/>
          <w:szCs w:val="21"/>
          <w:lang w:val="en-US" w:eastAsia="zh-CN"/>
        </w:rPr>
        <w:t>-</w:t>
      </w:r>
      <w:r>
        <w:rPr>
          <w:szCs w:val="21"/>
        </w:rPr>
        <w:t>2016 食品安全国家标准  食品接触材料及制品迁移试验预处理方法通则</w:t>
      </w:r>
    </w:p>
    <w:p>
      <w:pPr>
        <w:snapToGrid w:val="0"/>
        <w:spacing w:line="440" w:lineRule="exact"/>
        <w:ind w:firstLine="417" w:firstLineChars="199"/>
        <w:rPr>
          <w:szCs w:val="21"/>
        </w:rPr>
      </w:pPr>
      <w:r>
        <w:rPr>
          <w:szCs w:val="21"/>
        </w:rPr>
        <w:t>GB 12021.6</w:t>
      </w:r>
      <w:r>
        <w:rPr>
          <w:rFonts w:hint="eastAsia"/>
          <w:szCs w:val="21"/>
          <w:lang w:val="en-US" w:eastAsia="zh-CN"/>
        </w:rPr>
        <w:t>-</w:t>
      </w:r>
      <w:r>
        <w:rPr>
          <w:szCs w:val="21"/>
        </w:rPr>
        <w:t>2017 电饭锅能效限定值及能效等级</w:t>
      </w:r>
    </w:p>
    <w:p>
      <w:pPr>
        <w:snapToGrid w:val="0"/>
        <w:spacing w:line="440" w:lineRule="exact"/>
        <w:ind w:firstLine="417" w:firstLineChars="199"/>
        <w:rPr>
          <w:szCs w:val="21"/>
        </w:rPr>
      </w:pPr>
      <w:r>
        <w:rPr>
          <w:szCs w:val="21"/>
        </w:rPr>
        <w:t>GB 31604.1</w:t>
      </w:r>
      <w:r>
        <w:rPr>
          <w:rFonts w:hint="eastAsia"/>
          <w:szCs w:val="21"/>
          <w:lang w:val="en-US" w:eastAsia="zh-CN"/>
        </w:rPr>
        <w:t>-</w:t>
      </w:r>
      <w:r>
        <w:rPr>
          <w:szCs w:val="21"/>
        </w:rPr>
        <w:t>2023 食品接触材料及制品迁移试验通则</w:t>
      </w:r>
    </w:p>
    <w:p>
      <w:pPr>
        <w:snapToGrid w:val="0"/>
        <w:spacing w:line="440" w:lineRule="exact"/>
        <w:ind w:firstLine="417" w:firstLineChars="199"/>
        <w:rPr>
          <w:szCs w:val="21"/>
        </w:rPr>
      </w:pPr>
      <w:r>
        <w:rPr>
          <w:szCs w:val="21"/>
        </w:rPr>
        <w:t>GB 31604.2</w:t>
      </w:r>
      <w:r>
        <w:rPr>
          <w:rFonts w:hint="eastAsia"/>
          <w:szCs w:val="21"/>
          <w:lang w:val="en-US" w:eastAsia="zh-CN"/>
        </w:rPr>
        <w:t>-</w:t>
      </w:r>
      <w:r>
        <w:rPr>
          <w:szCs w:val="21"/>
        </w:rPr>
        <w:t>2016 食品安全国家标准</w:t>
      </w:r>
      <w:r>
        <w:rPr>
          <w:rFonts w:hint="eastAsia"/>
          <w:szCs w:val="21"/>
        </w:rPr>
        <w:t xml:space="preserve"> </w:t>
      </w:r>
      <w:r>
        <w:rPr>
          <w:szCs w:val="21"/>
        </w:rPr>
        <w:t xml:space="preserve"> 食品接触材料及制品</w:t>
      </w:r>
      <w:r>
        <w:rPr>
          <w:rFonts w:hint="eastAsia"/>
          <w:szCs w:val="21"/>
        </w:rPr>
        <w:t xml:space="preserve"> </w:t>
      </w:r>
      <w:r>
        <w:rPr>
          <w:szCs w:val="21"/>
        </w:rPr>
        <w:t xml:space="preserve"> 高锰酸钾消耗量的测定</w:t>
      </w:r>
    </w:p>
    <w:p>
      <w:pPr>
        <w:snapToGrid w:val="0"/>
        <w:spacing w:line="440" w:lineRule="exact"/>
        <w:ind w:firstLine="417" w:firstLineChars="199"/>
        <w:rPr>
          <w:szCs w:val="21"/>
        </w:rPr>
      </w:pPr>
      <w:r>
        <w:rPr>
          <w:szCs w:val="21"/>
        </w:rPr>
        <w:t>GB 31604.8</w:t>
      </w:r>
      <w:r>
        <w:rPr>
          <w:rFonts w:hint="eastAsia"/>
          <w:szCs w:val="21"/>
          <w:lang w:val="en-US" w:eastAsia="zh-CN"/>
        </w:rPr>
        <w:t>-</w:t>
      </w:r>
      <w:r>
        <w:rPr>
          <w:szCs w:val="21"/>
        </w:rPr>
        <w:t>2021 食品安全国家标准</w:t>
      </w:r>
      <w:r>
        <w:rPr>
          <w:rFonts w:hint="eastAsia"/>
          <w:szCs w:val="21"/>
        </w:rPr>
        <w:t xml:space="preserve"> </w:t>
      </w:r>
      <w:r>
        <w:rPr>
          <w:szCs w:val="21"/>
        </w:rPr>
        <w:t xml:space="preserve"> 食品接触材料及制品</w:t>
      </w:r>
      <w:r>
        <w:rPr>
          <w:rFonts w:hint="eastAsia"/>
          <w:szCs w:val="21"/>
        </w:rPr>
        <w:t xml:space="preserve"> </w:t>
      </w:r>
      <w:r>
        <w:rPr>
          <w:szCs w:val="21"/>
        </w:rPr>
        <w:t xml:space="preserve"> 总迁移量的测定</w:t>
      </w:r>
    </w:p>
    <w:p>
      <w:pPr>
        <w:snapToGrid w:val="0"/>
        <w:spacing w:line="440" w:lineRule="exact"/>
        <w:ind w:firstLine="417" w:firstLineChars="199"/>
        <w:rPr>
          <w:szCs w:val="21"/>
        </w:rPr>
      </w:pPr>
      <w:r>
        <w:rPr>
          <w:szCs w:val="21"/>
        </w:rPr>
        <w:t>GB 31604.24</w:t>
      </w:r>
      <w:r>
        <w:rPr>
          <w:rFonts w:hint="eastAsia"/>
          <w:szCs w:val="21"/>
          <w:lang w:val="en-US" w:eastAsia="zh-CN"/>
        </w:rPr>
        <w:t>-</w:t>
      </w:r>
      <w:r>
        <w:rPr>
          <w:szCs w:val="21"/>
        </w:rPr>
        <w:t>2016食品安全国家标准</w:t>
      </w:r>
      <w:r>
        <w:rPr>
          <w:rFonts w:hint="eastAsia"/>
          <w:szCs w:val="21"/>
        </w:rPr>
        <w:t xml:space="preserve"> </w:t>
      </w:r>
      <w:r>
        <w:rPr>
          <w:szCs w:val="21"/>
        </w:rPr>
        <w:t xml:space="preserve"> 食品接触材料及制品</w:t>
      </w:r>
      <w:r>
        <w:rPr>
          <w:rFonts w:hint="eastAsia"/>
          <w:szCs w:val="21"/>
        </w:rPr>
        <w:t xml:space="preserve"> </w:t>
      </w:r>
      <w:r>
        <w:rPr>
          <w:szCs w:val="21"/>
        </w:rPr>
        <w:t xml:space="preserve"> 镉迁移量的测定</w:t>
      </w:r>
    </w:p>
    <w:p>
      <w:pPr>
        <w:snapToGrid w:val="0"/>
        <w:spacing w:line="440" w:lineRule="exact"/>
        <w:ind w:firstLine="417" w:firstLineChars="199"/>
        <w:rPr>
          <w:szCs w:val="21"/>
        </w:rPr>
      </w:pPr>
      <w:r>
        <w:rPr>
          <w:szCs w:val="21"/>
        </w:rPr>
        <w:t>GB 31604.34</w:t>
      </w:r>
      <w:r>
        <w:rPr>
          <w:rFonts w:hint="eastAsia"/>
          <w:szCs w:val="21"/>
          <w:lang w:val="en-US" w:eastAsia="zh-CN"/>
        </w:rPr>
        <w:t>-</w:t>
      </w:r>
      <w:r>
        <w:rPr>
          <w:szCs w:val="21"/>
        </w:rPr>
        <w:t>2016食品安全国家标准</w:t>
      </w:r>
      <w:r>
        <w:rPr>
          <w:rFonts w:hint="eastAsia"/>
          <w:szCs w:val="21"/>
        </w:rPr>
        <w:t xml:space="preserve"> </w:t>
      </w:r>
      <w:r>
        <w:rPr>
          <w:szCs w:val="21"/>
        </w:rPr>
        <w:t xml:space="preserve"> 食品接触材料及制品</w:t>
      </w:r>
      <w:r>
        <w:rPr>
          <w:rFonts w:hint="eastAsia"/>
          <w:szCs w:val="21"/>
        </w:rPr>
        <w:t xml:space="preserve"> </w:t>
      </w:r>
      <w:r>
        <w:rPr>
          <w:szCs w:val="21"/>
        </w:rPr>
        <w:t xml:space="preserve"> 铅的测定和迁移量的测定</w:t>
      </w:r>
    </w:p>
    <w:p>
      <w:pPr>
        <w:snapToGrid w:val="0"/>
        <w:spacing w:line="440" w:lineRule="exact"/>
        <w:ind w:firstLine="417" w:firstLineChars="199"/>
        <w:rPr>
          <w:szCs w:val="21"/>
        </w:rPr>
      </w:pPr>
      <w:r>
        <w:rPr>
          <w:szCs w:val="21"/>
        </w:rPr>
        <w:t>GB 31604.25</w:t>
      </w:r>
      <w:r>
        <w:rPr>
          <w:rFonts w:hint="eastAsia"/>
          <w:szCs w:val="21"/>
          <w:lang w:val="en-US" w:eastAsia="zh-CN"/>
        </w:rPr>
        <w:t>-</w:t>
      </w:r>
      <w:r>
        <w:rPr>
          <w:szCs w:val="21"/>
        </w:rPr>
        <w:t>2016食品安全国家标准  食品接触材料及制品  铬迁移量的测定</w:t>
      </w:r>
    </w:p>
    <w:p>
      <w:pPr>
        <w:snapToGrid w:val="0"/>
        <w:spacing w:line="440" w:lineRule="exact"/>
        <w:ind w:firstLine="417" w:firstLineChars="199"/>
        <w:rPr>
          <w:szCs w:val="21"/>
        </w:rPr>
      </w:pPr>
      <w:r>
        <w:rPr>
          <w:szCs w:val="21"/>
        </w:rPr>
        <w:t>GB 31604.33</w:t>
      </w:r>
      <w:r>
        <w:rPr>
          <w:rFonts w:hint="eastAsia"/>
          <w:szCs w:val="21"/>
          <w:lang w:val="en-US" w:eastAsia="zh-CN"/>
        </w:rPr>
        <w:t>-</w:t>
      </w:r>
      <w:r>
        <w:rPr>
          <w:szCs w:val="21"/>
        </w:rPr>
        <w:t>2016食品安全国家标准  食品接触材料及制品  镍迁移量的测定</w:t>
      </w:r>
    </w:p>
    <w:p>
      <w:pPr>
        <w:snapToGrid w:val="0"/>
        <w:spacing w:line="440" w:lineRule="exact"/>
        <w:ind w:firstLine="417" w:firstLineChars="199"/>
        <w:rPr>
          <w:szCs w:val="21"/>
        </w:rPr>
      </w:pPr>
      <w:r>
        <w:rPr>
          <w:szCs w:val="21"/>
        </w:rPr>
        <w:t>GB 31604.38</w:t>
      </w:r>
      <w:r>
        <w:rPr>
          <w:rFonts w:hint="eastAsia"/>
          <w:szCs w:val="21"/>
          <w:lang w:val="en-US" w:eastAsia="zh-CN"/>
        </w:rPr>
        <w:t>-</w:t>
      </w:r>
      <w:r>
        <w:rPr>
          <w:szCs w:val="21"/>
        </w:rPr>
        <w:t>2016食品安全国家标准</w:t>
      </w:r>
      <w:r>
        <w:rPr>
          <w:rFonts w:hint="eastAsia"/>
          <w:szCs w:val="21"/>
        </w:rPr>
        <w:t xml:space="preserve"> </w:t>
      </w:r>
      <w:r>
        <w:rPr>
          <w:szCs w:val="21"/>
        </w:rPr>
        <w:t xml:space="preserve"> 食品接触材料及制品</w:t>
      </w:r>
      <w:r>
        <w:rPr>
          <w:rFonts w:hint="eastAsia"/>
          <w:szCs w:val="21"/>
        </w:rPr>
        <w:t xml:space="preserve"> </w:t>
      </w:r>
      <w:r>
        <w:rPr>
          <w:szCs w:val="21"/>
        </w:rPr>
        <w:t xml:space="preserve"> 砷的测定和迁移量的测定</w:t>
      </w:r>
    </w:p>
    <w:p>
      <w:pPr>
        <w:snapToGrid w:val="0"/>
        <w:spacing w:line="440" w:lineRule="exact"/>
        <w:ind w:firstLine="417" w:firstLineChars="199"/>
        <w:rPr>
          <w:szCs w:val="21"/>
        </w:rPr>
      </w:pPr>
      <w:r>
        <w:rPr>
          <w:szCs w:val="21"/>
        </w:rPr>
        <w:t>GB 31604.49</w:t>
      </w:r>
      <w:r>
        <w:rPr>
          <w:rFonts w:hint="eastAsia"/>
          <w:szCs w:val="21"/>
          <w:lang w:val="en-US" w:eastAsia="zh-CN"/>
        </w:rPr>
        <w:t>-</w:t>
      </w:r>
      <w:r>
        <w:rPr>
          <w:szCs w:val="21"/>
        </w:rPr>
        <w:t>2023食品安全国家标准  食品接触材料及制品</w:t>
      </w:r>
      <w:r>
        <w:rPr>
          <w:rFonts w:hint="eastAsia"/>
          <w:szCs w:val="21"/>
        </w:rPr>
        <w:t xml:space="preserve"> </w:t>
      </w:r>
      <w:r>
        <w:rPr>
          <w:szCs w:val="21"/>
        </w:rPr>
        <w:t xml:space="preserve"> 多元素的测定和多元素迁移量的测定</w:t>
      </w:r>
    </w:p>
    <w:p>
      <w:pPr>
        <w:snapToGrid w:val="0"/>
        <w:spacing w:line="440" w:lineRule="exact"/>
        <w:ind w:firstLine="359" w:firstLineChars="171"/>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pacing w:line="440" w:lineRule="exact"/>
        <w:rPr>
          <w:rFonts w:eastAsia="黑体"/>
          <w:szCs w:val="21"/>
        </w:rPr>
      </w:pPr>
    </w:p>
    <w:p>
      <w:pPr>
        <w:spacing w:line="440" w:lineRule="exact"/>
        <w:rPr>
          <w:rFonts w:eastAsia="黑体"/>
          <w:szCs w:val="21"/>
        </w:rPr>
      </w:pPr>
      <w:r>
        <w:rPr>
          <w:rFonts w:hint="eastAsia" w:eastAsia="黑体"/>
          <w:szCs w:val="21"/>
        </w:rPr>
        <w:t>4</w:t>
      </w:r>
      <w:r>
        <w:rPr>
          <w:rFonts w:eastAsia="黑体"/>
          <w:szCs w:val="21"/>
        </w:rPr>
        <w:t xml:space="preserve"> 附则</w:t>
      </w:r>
    </w:p>
    <w:p>
      <w:pPr>
        <w:snapToGrid w:val="0"/>
        <w:spacing w:line="440" w:lineRule="exact"/>
        <w:ind w:firstLine="417" w:firstLineChars="199"/>
        <w:rPr>
          <w:szCs w:val="21"/>
        </w:rPr>
      </w:pPr>
      <w:r>
        <w:rPr>
          <w:rFonts w:hint="eastAsia"/>
          <w:color w:val="auto"/>
          <w:szCs w:val="21"/>
        </w:rPr>
        <w:t>本细则代替《贵州省市场监管局关</w:t>
      </w:r>
      <w:bookmarkStart w:id="0" w:name="_GoBack"/>
      <w:r>
        <w:rPr>
          <w:rFonts w:hint="default" w:ascii="Times New Roman" w:hAnsi="Times New Roman" w:cs="Times New Roman"/>
          <w:color w:val="auto"/>
          <w:szCs w:val="21"/>
        </w:rPr>
        <w:t>于发布2024年版车用柴油等110种产品贵州省产品质量监督抽查实施细则的公告</w:t>
      </w:r>
      <w:r>
        <w:rPr>
          <w:rFonts w:hint="default" w:ascii="Times New Roman" w:hAnsi="Times New Roman" w:cs="Times New Roman"/>
          <w:color w:val="auto"/>
          <w:szCs w:val="21"/>
          <w:lang w:eastAsia="zh-CN"/>
        </w:rPr>
        <w:t>》</w:t>
      </w:r>
      <w:r>
        <w:rPr>
          <w:rFonts w:hint="default" w:ascii="Times New Roman" w:hAnsi="Times New Roman" w:cs="Times New Roman"/>
          <w:szCs w:val="21"/>
        </w:rPr>
        <w:t>中的《贵州省自动电饭锅产品质量监督抽查实施细则（202</w:t>
      </w:r>
      <w:r>
        <w:rPr>
          <w:rFonts w:hint="default" w:ascii="Times New Roman" w:hAnsi="Times New Roman" w:cs="Times New Roman"/>
          <w:szCs w:val="21"/>
          <w:lang w:val="en-US" w:eastAsia="zh-CN"/>
        </w:rPr>
        <w:t>4</w:t>
      </w:r>
      <w:bookmarkEnd w:id="0"/>
      <w:r>
        <w:rPr>
          <w:szCs w:val="21"/>
        </w:rPr>
        <w:t>年版）》</w:t>
      </w:r>
      <w:r>
        <w:rPr>
          <w:rFonts w:hint="eastAsia"/>
          <w:szCs w:val="21"/>
          <w:lang w:val="en-US" w:eastAsia="zh-CN"/>
        </w:rPr>
        <w:t xml:space="preserve"> </w:t>
      </w:r>
      <w:r>
        <w:rPr>
          <w:szCs w:val="21"/>
        </w:rPr>
        <w:t>。</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6</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hN2Y1NWVlNTVkMGM3NTM5N2Y5NzAwMzFhN2VkOTYifQ=="/>
  </w:docVars>
  <w:rsids>
    <w:rsidRoot w:val="00172A27"/>
    <w:rsid w:val="000158D8"/>
    <w:rsid w:val="00051A44"/>
    <w:rsid w:val="0006105A"/>
    <w:rsid w:val="00071105"/>
    <w:rsid w:val="00073C02"/>
    <w:rsid w:val="00081CBD"/>
    <w:rsid w:val="0008706D"/>
    <w:rsid w:val="000976DE"/>
    <w:rsid w:val="000E64EC"/>
    <w:rsid w:val="00123D1C"/>
    <w:rsid w:val="00151EB4"/>
    <w:rsid w:val="0018003A"/>
    <w:rsid w:val="001809DD"/>
    <w:rsid w:val="001B4D33"/>
    <w:rsid w:val="001C7E8B"/>
    <w:rsid w:val="002248FC"/>
    <w:rsid w:val="00232530"/>
    <w:rsid w:val="0023649D"/>
    <w:rsid w:val="00253624"/>
    <w:rsid w:val="00257D6A"/>
    <w:rsid w:val="002A4E85"/>
    <w:rsid w:val="002C64DB"/>
    <w:rsid w:val="002D7F8A"/>
    <w:rsid w:val="002E0D1D"/>
    <w:rsid w:val="002E3CBD"/>
    <w:rsid w:val="003203A3"/>
    <w:rsid w:val="00365CBE"/>
    <w:rsid w:val="00367E9E"/>
    <w:rsid w:val="003A7D30"/>
    <w:rsid w:val="003C388C"/>
    <w:rsid w:val="003D09A1"/>
    <w:rsid w:val="003E61BF"/>
    <w:rsid w:val="004104AC"/>
    <w:rsid w:val="00445E86"/>
    <w:rsid w:val="0045434D"/>
    <w:rsid w:val="00474E04"/>
    <w:rsid w:val="00481E5A"/>
    <w:rsid w:val="0049583B"/>
    <w:rsid w:val="004D0C5A"/>
    <w:rsid w:val="004D184C"/>
    <w:rsid w:val="004E1396"/>
    <w:rsid w:val="004E6C21"/>
    <w:rsid w:val="00524651"/>
    <w:rsid w:val="00563EBC"/>
    <w:rsid w:val="005C747C"/>
    <w:rsid w:val="005F2F2B"/>
    <w:rsid w:val="00601961"/>
    <w:rsid w:val="0063439F"/>
    <w:rsid w:val="006C4A73"/>
    <w:rsid w:val="006D0419"/>
    <w:rsid w:val="006E1171"/>
    <w:rsid w:val="006E4252"/>
    <w:rsid w:val="006F0971"/>
    <w:rsid w:val="00702A81"/>
    <w:rsid w:val="0072334C"/>
    <w:rsid w:val="00731A5C"/>
    <w:rsid w:val="007822DA"/>
    <w:rsid w:val="007A4D3E"/>
    <w:rsid w:val="00895BEA"/>
    <w:rsid w:val="008A3497"/>
    <w:rsid w:val="00917A54"/>
    <w:rsid w:val="0094187A"/>
    <w:rsid w:val="00970021"/>
    <w:rsid w:val="009A79AC"/>
    <w:rsid w:val="009F4719"/>
    <w:rsid w:val="00A05840"/>
    <w:rsid w:val="00A15235"/>
    <w:rsid w:val="00A23D98"/>
    <w:rsid w:val="00A33C99"/>
    <w:rsid w:val="00A3587B"/>
    <w:rsid w:val="00A43553"/>
    <w:rsid w:val="00A82F70"/>
    <w:rsid w:val="00A93344"/>
    <w:rsid w:val="00AB0E18"/>
    <w:rsid w:val="00AC5391"/>
    <w:rsid w:val="00B603F7"/>
    <w:rsid w:val="00B65F23"/>
    <w:rsid w:val="00BF2B8C"/>
    <w:rsid w:val="00C26074"/>
    <w:rsid w:val="00C83B0A"/>
    <w:rsid w:val="00CE1E0C"/>
    <w:rsid w:val="00CE277E"/>
    <w:rsid w:val="00CE4CF8"/>
    <w:rsid w:val="00CF4BF7"/>
    <w:rsid w:val="00D56867"/>
    <w:rsid w:val="00DB16B0"/>
    <w:rsid w:val="00E02A7F"/>
    <w:rsid w:val="00E07880"/>
    <w:rsid w:val="00E11656"/>
    <w:rsid w:val="00E533E6"/>
    <w:rsid w:val="00E82621"/>
    <w:rsid w:val="00EB2EBA"/>
    <w:rsid w:val="00F00755"/>
    <w:rsid w:val="00F049A3"/>
    <w:rsid w:val="00F2121C"/>
    <w:rsid w:val="00F35F44"/>
    <w:rsid w:val="00F70D2D"/>
    <w:rsid w:val="00F72334"/>
    <w:rsid w:val="00F77C9A"/>
    <w:rsid w:val="00FB576C"/>
    <w:rsid w:val="00FD2AA6"/>
    <w:rsid w:val="00FE7E8A"/>
    <w:rsid w:val="014C4DA3"/>
    <w:rsid w:val="066C1A43"/>
    <w:rsid w:val="078B414B"/>
    <w:rsid w:val="085920F5"/>
    <w:rsid w:val="08856DEC"/>
    <w:rsid w:val="08907C6B"/>
    <w:rsid w:val="0B745622"/>
    <w:rsid w:val="107100BF"/>
    <w:rsid w:val="10FD7E68"/>
    <w:rsid w:val="17A252C5"/>
    <w:rsid w:val="1A3B37AF"/>
    <w:rsid w:val="1A597193"/>
    <w:rsid w:val="1CD6156D"/>
    <w:rsid w:val="1E9972F6"/>
    <w:rsid w:val="20971CA1"/>
    <w:rsid w:val="21EE1107"/>
    <w:rsid w:val="229E2B2D"/>
    <w:rsid w:val="23825FAA"/>
    <w:rsid w:val="24AB7A6D"/>
    <w:rsid w:val="24BA6669"/>
    <w:rsid w:val="266E3E58"/>
    <w:rsid w:val="268838D8"/>
    <w:rsid w:val="26887D7C"/>
    <w:rsid w:val="277A0467"/>
    <w:rsid w:val="284F753A"/>
    <w:rsid w:val="296D5007"/>
    <w:rsid w:val="2B5E769F"/>
    <w:rsid w:val="2B664C20"/>
    <w:rsid w:val="2CF73565"/>
    <w:rsid w:val="2D6A01DB"/>
    <w:rsid w:val="2E692241"/>
    <w:rsid w:val="2ECD27D0"/>
    <w:rsid w:val="372E04CB"/>
    <w:rsid w:val="3A192D6D"/>
    <w:rsid w:val="3BA90120"/>
    <w:rsid w:val="3C2123AD"/>
    <w:rsid w:val="3D9372DA"/>
    <w:rsid w:val="3EB96FF7"/>
    <w:rsid w:val="457C4AF8"/>
    <w:rsid w:val="45880D21"/>
    <w:rsid w:val="49557320"/>
    <w:rsid w:val="4B7D6ED4"/>
    <w:rsid w:val="4BEA7891"/>
    <w:rsid w:val="4FC76963"/>
    <w:rsid w:val="4FF97471"/>
    <w:rsid w:val="537806AC"/>
    <w:rsid w:val="543C797C"/>
    <w:rsid w:val="54C0055D"/>
    <w:rsid w:val="55425416"/>
    <w:rsid w:val="58106307"/>
    <w:rsid w:val="59072C9E"/>
    <w:rsid w:val="5A4237C2"/>
    <w:rsid w:val="62A1409E"/>
    <w:rsid w:val="652E506F"/>
    <w:rsid w:val="6D8222E6"/>
    <w:rsid w:val="6DB97DE8"/>
    <w:rsid w:val="6DFF7869"/>
    <w:rsid w:val="6EFE1F56"/>
    <w:rsid w:val="6F5F7CEF"/>
    <w:rsid w:val="71EF202A"/>
    <w:rsid w:val="71F633B8"/>
    <w:rsid w:val="728E539F"/>
    <w:rsid w:val="751B4EE4"/>
    <w:rsid w:val="75774810"/>
    <w:rsid w:val="76E41A31"/>
    <w:rsid w:val="76EE0B02"/>
    <w:rsid w:val="77091498"/>
    <w:rsid w:val="78DF7905"/>
    <w:rsid w:val="79EB30D7"/>
    <w:rsid w:val="79FD4348"/>
    <w:rsid w:val="7A1D0398"/>
    <w:rsid w:val="7ECC04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字符"/>
    <w:link w:val="2"/>
    <w:semiHidden/>
    <w:qFormat/>
    <w:uiPriority w:val="99"/>
    <w:rPr>
      <w:kern w:val="2"/>
      <w:sz w:val="21"/>
      <w:szCs w:val="24"/>
    </w:rPr>
  </w:style>
  <w:style w:type="character" w:customStyle="1" w:styleId="12">
    <w:name w:val="批注框文本 字符"/>
    <w:link w:val="3"/>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semiHidden/>
    <w:qFormat/>
    <w:uiPriority w:val="99"/>
    <w:rPr>
      <w:kern w:val="2"/>
      <w:sz w:val="18"/>
      <w:szCs w:val="18"/>
    </w:rPr>
  </w:style>
  <w:style w:type="character" w:customStyle="1" w:styleId="15">
    <w:name w:val="批注主题 字符"/>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5</Pages>
  <Words>669</Words>
  <Characters>1814</Characters>
  <Lines>34</Lines>
  <Paragraphs>9</Paragraphs>
  <TotalTime>2</TotalTime>
  <ScaleCrop>false</ScaleCrop>
  <LinksUpToDate>false</LinksUpToDate>
  <CharactersWithSpaces>1919</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2024-03-15T17:08:00Z</dcterms:created>
  <dc:creator>Legend User</dc:creator>
  <cp:lastModifiedBy>ysgz</cp:lastModifiedBy>
  <cp:lastPrinted>2019-12-05T23:53:00Z</cp:lastPrinted>
  <dcterms:modified xsi:type="dcterms:W3CDTF">2025-04-11T17:21:12Z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commondata">
    <vt:lpwstr>eyJoZGlkIjoiNDRmZDlmMjdkNDI1NjEzMmI2Y2M4ZTAxODQ5YmJlMTYifQ==</vt:lpwstr>
  </property>
  <property fmtid="{D5CDD505-2E9C-101B-9397-08002B2CF9AE}" pid="4" name="ICV">
    <vt:lpwstr>2CC7A738E5D5455498CEC43E09D86262_13</vt:lpwstr>
  </property>
  <property fmtid="{D5CDD505-2E9C-101B-9397-08002B2CF9AE}" pid="5" name="KSOTemplateDocerSaveRecord">
    <vt:lpwstr>eyJoZGlkIjoiNDNiOGM3Y2MyOGFlZjJlMWRhOWY0MTgxYjJkNGQ1NzciLCJ1c2VySWQiOiI0NTA5MTk5NTIifQ==</vt:lpwstr>
  </property>
</Properties>
</file>