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简体" w:cs="方正仿宋简体"/>
          <w:color w:val="000000" w:themeColor="text1"/>
          <w:sz w:val="32"/>
          <w:szCs w:val="32"/>
        </w:rPr>
      </w:pPr>
      <w:r>
        <w:rPr>
          <w:rFonts w:hint="eastAsia" w:ascii="Times New Roman" w:hAnsi="Times New Roman" w:eastAsia="方正小标宋简体" w:cs="方正仿宋简体"/>
          <w:color w:val="000000" w:themeColor="text1"/>
          <w:sz w:val="32"/>
          <w:szCs w:val="32"/>
        </w:rPr>
        <w:t>贵州省</w:t>
      </w:r>
      <w:r>
        <w:rPr>
          <w:rFonts w:ascii="Times New Roman" w:hAnsi="Times New Roman" w:eastAsia="方正小标宋简体" w:cs="方正仿宋简体"/>
          <w:color w:val="000000" w:themeColor="text1"/>
          <w:sz w:val="32"/>
          <w:szCs w:val="32"/>
        </w:rPr>
        <w:t>食品接触用纸容器产品质量监督抽查实施细则</w:t>
      </w:r>
    </w:p>
    <w:p>
      <w:pPr>
        <w:spacing w:line="440" w:lineRule="exact"/>
        <w:jc w:val="center"/>
        <w:rPr>
          <w:rFonts w:hint="eastAsia" w:ascii="楷体_GB2312" w:hAnsi="楷体_GB2312" w:eastAsia="楷体_GB2312" w:cs="楷体_GB2312"/>
          <w:color w:val="000000" w:themeColor="text1"/>
          <w:sz w:val="32"/>
          <w:szCs w:val="32"/>
        </w:rPr>
      </w:pPr>
      <w:r>
        <w:rPr>
          <w:rFonts w:hint="eastAsia" w:ascii="楷体_GB2312" w:hAnsi="楷体_GB2312" w:eastAsia="楷体_GB2312" w:cs="楷体_GB2312"/>
          <w:color w:val="000000" w:themeColor="text1"/>
          <w:sz w:val="32"/>
          <w:szCs w:val="32"/>
        </w:rPr>
        <w:t>（2025年版）</w:t>
      </w:r>
    </w:p>
    <w:p>
      <w:pPr>
        <w:adjustRightInd w:val="0"/>
        <w:snapToGrid w:val="0"/>
        <w:spacing w:line="440" w:lineRule="exact"/>
        <w:outlineLvl w:val="1"/>
        <w:rPr>
          <w:rFonts w:hint="eastAsia" w:ascii="黑体" w:hAnsi="黑体" w:eastAsia="黑体"/>
          <w:color w:val="000000" w:themeColor="text1"/>
        </w:rPr>
      </w:pPr>
      <w:r>
        <w:rPr>
          <w:rFonts w:ascii="黑体" w:hAnsi="黑体" w:eastAsia="黑体"/>
          <w:color w:val="000000" w:themeColor="text1"/>
        </w:rPr>
        <w:t>1</w:t>
      </w:r>
      <w:r>
        <w:rPr>
          <w:rFonts w:hint="eastAsia" w:ascii="黑体" w:hAnsi="黑体" w:eastAsia="黑体"/>
          <w:color w:val="000000" w:themeColor="text1"/>
        </w:rPr>
        <w:t>抽样方法</w:t>
      </w:r>
    </w:p>
    <w:p>
      <w:pPr>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随机数一般可使用随机数表等方法产生。</w:t>
      </w:r>
    </w:p>
    <w:p>
      <w:pPr>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抽样数量见表1。</w:t>
      </w:r>
    </w:p>
    <w:p>
      <w:pPr>
        <w:snapToGrid w:val="0"/>
        <w:spacing w:line="440" w:lineRule="exact"/>
        <w:ind w:firstLine="420" w:firstLineChars="20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表1 抽样数量</w:t>
      </w:r>
    </w:p>
    <w:tbl>
      <w:tblPr>
        <w:tblStyle w:val="8"/>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709"/>
        <w:gridCol w:w="1559"/>
        <w:gridCol w:w="2693"/>
        <w:gridCol w:w="1665"/>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69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序号</w:t>
            </w:r>
          </w:p>
        </w:tc>
        <w:tc>
          <w:tcPr>
            <w:tcW w:w="2268" w:type="dxa"/>
            <w:gridSpan w:val="2"/>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产品名称</w:t>
            </w:r>
          </w:p>
        </w:tc>
        <w:tc>
          <w:tcPr>
            <w:tcW w:w="2693"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抽样数量（只/支）</w:t>
            </w:r>
          </w:p>
        </w:tc>
        <w:tc>
          <w:tcPr>
            <w:tcW w:w="1665" w:type="dxa"/>
            <w:vAlign w:val="center"/>
          </w:tcPr>
          <w:p>
            <w:pPr>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检验样品数量</w:t>
            </w:r>
            <w:r>
              <w:rPr>
                <w:rFonts w:hint="default" w:ascii="Times New Roman" w:hAnsi="Times New Roman" w:cs="Times New Roman"/>
                <w:color w:val="000000" w:themeColor="text1"/>
                <w:kern w:val="0"/>
              </w:rPr>
              <w:t>（只/支）</w:t>
            </w:r>
          </w:p>
        </w:tc>
        <w:tc>
          <w:tcPr>
            <w:tcW w:w="1632" w:type="dxa"/>
            <w:vAlign w:val="center"/>
          </w:tcPr>
          <w:p>
            <w:pPr>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备用样品数量</w:t>
            </w:r>
            <w:r>
              <w:rPr>
                <w:rFonts w:hint="default" w:ascii="Times New Roman" w:hAnsi="Times New Roman" w:cs="Times New Roman"/>
                <w:color w:val="000000" w:themeColor="text1"/>
                <w:kern w:val="0"/>
              </w:rPr>
              <w:t>（只/支）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9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w:t>
            </w:r>
          </w:p>
        </w:tc>
        <w:tc>
          <w:tcPr>
            <w:tcW w:w="2268" w:type="dxa"/>
            <w:gridSpan w:val="2"/>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纸餐具</w:t>
            </w:r>
          </w:p>
        </w:tc>
        <w:tc>
          <w:tcPr>
            <w:tcW w:w="2693"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70</w:t>
            </w:r>
          </w:p>
        </w:tc>
        <w:tc>
          <w:tcPr>
            <w:tcW w:w="166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50</w:t>
            </w:r>
          </w:p>
        </w:tc>
        <w:tc>
          <w:tcPr>
            <w:tcW w:w="1632"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69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w:t>
            </w:r>
          </w:p>
        </w:tc>
        <w:tc>
          <w:tcPr>
            <w:tcW w:w="2268" w:type="dxa"/>
            <w:gridSpan w:val="2"/>
            <w:vAlign w:val="center"/>
          </w:tcPr>
          <w:p>
            <w:pPr>
              <w:adjustRightInd w:val="0"/>
              <w:snapToGrid w:val="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纸盒</w:t>
            </w:r>
          </w:p>
        </w:tc>
        <w:tc>
          <w:tcPr>
            <w:tcW w:w="2693"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40</w:t>
            </w:r>
          </w:p>
        </w:tc>
        <w:tc>
          <w:tcPr>
            <w:tcW w:w="166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30</w:t>
            </w:r>
          </w:p>
        </w:tc>
        <w:tc>
          <w:tcPr>
            <w:tcW w:w="1632"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9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w:t>
            </w:r>
          </w:p>
        </w:tc>
        <w:tc>
          <w:tcPr>
            <w:tcW w:w="2268" w:type="dxa"/>
            <w:gridSpan w:val="2"/>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纸袋</w:t>
            </w:r>
          </w:p>
        </w:tc>
        <w:tc>
          <w:tcPr>
            <w:tcW w:w="2693"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60（若样品过小、过大时，应调整抽样量满足总质量不少于0.25kg，不多于3kg，检验、备样按比例：2:1抽取）</w:t>
            </w:r>
          </w:p>
        </w:tc>
        <w:tc>
          <w:tcPr>
            <w:tcW w:w="166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40</w:t>
            </w:r>
          </w:p>
        </w:tc>
        <w:tc>
          <w:tcPr>
            <w:tcW w:w="1632"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695" w:type="dxa"/>
            <w:vMerge w:val="restart"/>
            <w:vAlign w:val="center"/>
          </w:tcPr>
          <w:p>
            <w:pPr>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4</w:t>
            </w:r>
          </w:p>
        </w:tc>
        <w:tc>
          <w:tcPr>
            <w:tcW w:w="709" w:type="dxa"/>
            <w:vMerge w:val="restart"/>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纸罐</w:t>
            </w:r>
          </w:p>
        </w:tc>
        <w:tc>
          <w:tcPr>
            <w:tcW w:w="155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纸板类罐</w:t>
            </w:r>
          </w:p>
        </w:tc>
        <w:tc>
          <w:tcPr>
            <w:tcW w:w="2693"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30</w:t>
            </w:r>
          </w:p>
        </w:tc>
        <w:tc>
          <w:tcPr>
            <w:tcW w:w="166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25</w:t>
            </w:r>
          </w:p>
        </w:tc>
        <w:tc>
          <w:tcPr>
            <w:tcW w:w="1632"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695" w:type="dxa"/>
            <w:vMerge w:val="continue"/>
            <w:vAlign w:val="center"/>
          </w:tcPr>
          <w:p>
            <w:pPr>
              <w:autoSpaceDE w:val="0"/>
              <w:autoSpaceDN w:val="0"/>
              <w:adjustRightInd w:val="0"/>
              <w:snapToGrid w:val="0"/>
              <w:jc w:val="center"/>
              <w:rPr>
                <w:rFonts w:hint="default" w:ascii="Times New Roman" w:hAnsi="Times New Roman" w:cs="Times New Roman"/>
                <w:color w:val="000000" w:themeColor="text1"/>
                <w:kern w:val="0"/>
              </w:rPr>
            </w:pPr>
          </w:p>
        </w:tc>
        <w:tc>
          <w:tcPr>
            <w:tcW w:w="709" w:type="dxa"/>
            <w:vMerge w:val="continue"/>
            <w:vAlign w:val="center"/>
          </w:tcPr>
          <w:p>
            <w:pPr>
              <w:autoSpaceDE w:val="0"/>
              <w:autoSpaceDN w:val="0"/>
              <w:adjustRightInd w:val="0"/>
              <w:snapToGrid w:val="0"/>
              <w:jc w:val="center"/>
              <w:rPr>
                <w:rFonts w:hint="default" w:ascii="Times New Roman" w:hAnsi="Times New Roman" w:cs="Times New Roman"/>
                <w:color w:val="000000" w:themeColor="text1"/>
                <w:kern w:val="0"/>
              </w:rPr>
            </w:pPr>
          </w:p>
        </w:tc>
        <w:tc>
          <w:tcPr>
            <w:tcW w:w="155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圆柱形复合罐</w:t>
            </w:r>
          </w:p>
        </w:tc>
        <w:tc>
          <w:tcPr>
            <w:tcW w:w="2693"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50</w:t>
            </w:r>
          </w:p>
        </w:tc>
        <w:tc>
          <w:tcPr>
            <w:tcW w:w="166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40</w:t>
            </w:r>
          </w:p>
        </w:tc>
        <w:tc>
          <w:tcPr>
            <w:tcW w:w="1632"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r>
    </w:tbl>
    <w:p>
      <w:pPr>
        <w:adjustRightInd w:val="0"/>
        <w:snapToGrid w:val="0"/>
        <w:spacing w:line="440" w:lineRule="exact"/>
        <w:outlineLvl w:val="1"/>
        <w:rPr>
          <w:rFonts w:hint="default" w:ascii="Times New Roman" w:hAnsi="Times New Roman" w:eastAsia="黑体" w:cs="Times New Roman"/>
          <w:color w:val="000000" w:themeColor="text1"/>
        </w:rPr>
      </w:pPr>
    </w:p>
    <w:p>
      <w:pPr>
        <w:adjustRightInd w:val="0"/>
        <w:snapToGrid w:val="0"/>
        <w:spacing w:line="440" w:lineRule="exact"/>
        <w:outlineLvl w:val="1"/>
        <w:rPr>
          <w:rFonts w:hint="default" w:ascii="Times New Roman" w:hAnsi="Times New Roman" w:eastAsia="黑体" w:cs="Times New Roman"/>
          <w:color w:val="000000" w:themeColor="text1"/>
        </w:rPr>
      </w:pPr>
      <w:bookmarkStart w:id="1" w:name="_GoBack"/>
      <w:bookmarkEnd w:id="1"/>
      <w:r>
        <w:rPr>
          <w:rFonts w:hint="default" w:ascii="Times New Roman" w:hAnsi="Times New Roman" w:eastAsia="黑体" w:cs="Times New Roman"/>
          <w:color w:val="000000" w:themeColor="text1"/>
        </w:rPr>
        <w:t>2 检验依据</w:t>
      </w:r>
    </w:p>
    <w:p>
      <w:pPr>
        <w:adjustRightInd w:val="0"/>
        <w:snapToGrid w:val="0"/>
        <w:spacing w:line="440" w:lineRule="exact"/>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表2 纸餐具</w:t>
      </w:r>
    </w:p>
    <w:tbl>
      <w:tblPr>
        <w:tblStyle w:val="8"/>
        <w:tblW w:w="48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3905"/>
        <w:gridCol w:w="4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高锰酸钾消耗量</w:t>
            </w:r>
            <w:r>
              <w:rPr>
                <w:rFonts w:hint="default" w:ascii="Times New Roman" w:hAnsi="Times New Roman" w:cs="Times New Roman"/>
                <w:color w:val="000000" w:themeColor="text1"/>
                <w:vertAlign w:val="superscript"/>
              </w:rPr>
              <w:t>a</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6</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7</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8</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9</w:t>
            </w:r>
          </w:p>
        </w:tc>
        <w:tc>
          <w:tcPr>
            <w:tcW w:w="2197" w:type="pc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2197" w:type="pc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11</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12</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14</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渗漏性能</w:t>
            </w:r>
            <w:r>
              <w:rPr>
                <w:rFonts w:hint="default" w:ascii="Times New Roman" w:hAnsi="Times New Roman" w:cs="Times New Roman"/>
                <w:color w:val="000000" w:themeColor="text1"/>
                <w:vertAlign w:val="superscript"/>
              </w:rPr>
              <w:t>b</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（95℃±5℃水、油）</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27591—2011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15</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抗压强度</w:t>
            </w:r>
            <w:r>
              <w:rPr>
                <w:rFonts w:hint="default" w:ascii="Times New Roman" w:hAnsi="Times New Roman" w:cs="Times New Roman"/>
                <w:color w:val="000000" w:themeColor="text1"/>
                <w:vertAlign w:val="superscript"/>
              </w:rPr>
              <w:t>b</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27591—2011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16</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耐温试验</w:t>
            </w:r>
            <w:r>
              <w:rPr>
                <w:rFonts w:hint="default" w:ascii="Times New Roman" w:hAnsi="Times New Roman" w:cs="Times New Roman"/>
                <w:color w:val="000000" w:themeColor="text1"/>
                <w:vertAlign w:val="superscript"/>
              </w:rPr>
              <w:t>c</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（95℃±5℃的油、水，30min）</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27589—2011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17</w:t>
            </w:r>
          </w:p>
        </w:tc>
        <w:tc>
          <w:tcPr>
            <w:tcW w:w="219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渗漏性能</w:t>
            </w:r>
            <w:r>
              <w:rPr>
                <w:rFonts w:hint="default" w:ascii="Times New Roman" w:hAnsi="Times New Roman" w:cs="Times New Roman"/>
                <w:color w:val="000000" w:themeColor="text1"/>
                <w:vertAlign w:val="superscript"/>
              </w:rPr>
              <w:t>d</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（90℃±5℃水、95℃±5℃油）</w:t>
            </w:r>
          </w:p>
        </w:tc>
        <w:tc>
          <w:tcPr>
            <w:tcW w:w="243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QB/T 2898—2007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18</w:t>
            </w:r>
          </w:p>
        </w:tc>
        <w:tc>
          <w:tcPr>
            <w:tcW w:w="2197" w:type="pct"/>
            <w:vAlign w:val="center"/>
          </w:tcPr>
          <w:p>
            <w:pPr>
              <w:adjustRightInd w:val="0"/>
              <w:snapToGrid w:val="0"/>
              <w:spacing w:before="62" w:beforeLines="20" w:after="62"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耐温性能</w:t>
            </w:r>
            <w:r>
              <w:rPr>
                <w:rFonts w:hint="default" w:ascii="Times New Roman" w:hAnsi="Times New Roman" w:cs="Times New Roman" w:eastAsiaTheme="majorEastAsia"/>
                <w:color w:val="000000" w:themeColor="text1"/>
                <w:vertAlign w:val="superscript"/>
              </w:rPr>
              <w:t>e</w:t>
            </w:r>
          </w:p>
        </w:tc>
        <w:tc>
          <w:tcPr>
            <w:tcW w:w="2436" w:type="pct"/>
            <w:vAlign w:val="center"/>
          </w:tcPr>
          <w:p>
            <w:pPr>
              <w:adjustRightInd w:val="0"/>
              <w:snapToGrid w:val="0"/>
              <w:spacing w:before="62" w:beforeLines="20" w:after="62"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GB/T 36787—2018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eastAsiaTheme="majorEastAsia"/>
                <w:color w:val="000000" w:themeColor="text1"/>
                <w:kern w:val="0"/>
              </w:rPr>
              <w:t>19</w:t>
            </w:r>
          </w:p>
        </w:tc>
        <w:tc>
          <w:tcPr>
            <w:tcW w:w="2197" w:type="pct"/>
            <w:vAlign w:val="center"/>
          </w:tcPr>
          <w:p>
            <w:pPr>
              <w:adjustRightInd w:val="0"/>
              <w:snapToGrid w:val="0"/>
              <w:spacing w:before="62" w:beforeLines="20" w:after="62"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杯身挺度</w:t>
            </w:r>
            <w:r>
              <w:rPr>
                <w:rFonts w:hint="default" w:ascii="Times New Roman" w:hAnsi="Times New Roman" w:cs="Times New Roman" w:eastAsiaTheme="majorEastAsia"/>
                <w:color w:val="000000" w:themeColor="text1"/>
                <w:vertAlign w:val="superscript"/>
              </w:rPr>
              <w:t>e</w:t>
            </w:r>
          </w:p>
        </w:tc>
        <w:tc>
          <w:tcPr>
            <w:tcW w:w="2436" w:type="pct"/>
            <w:vAlign w:val="center"/>
          </w:tcPr>
          <w:p>
            <w:pPr>
              <w:adjustRightInd w:val="0"/>
              <w:snapToGrid w:val="0"/>
              <w:spacing w:before="62" w:beforeLines="20" w:after="62"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color w:val="000000" w:themeColor="text1"/>
              </w:rPr>
              <w:t>GB/T 27590—2011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6" w:type="pct"/>
            <w:vAlign w:val="center"/>
          </w:tcPr>
          <w:p>
            <w:pPr>
              <w:adjustRightInd w:val="0"/>
              <w:snapToGrid w:val="0"/>
              <w:spacing w:before="62" w:beforeLines="20" w:after="62"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20</w:t>
            </w:r>
          </w:p>
        </w:tc>
        <w:tc>
          <w:tcPr>
            <w:tcW w:w="2197" w:type="pct"/>
            <w:vAlign w:val="center"/>
          </w:tcPr>
          <w:p>
            <w:pPr>
              <w:adjustRightInd w:val="0"/>
              <w:snapToGrid w:val="0"/>
              <w:spacing w:before="62" w:beforeLines="20" w:after="62"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抗压性能</w:t>
            </w:r>
            <w:r>
              <w:rPr>
                <w:rFonts w:hint="default" w:ascii="Times New Roman" w:hAnsi="Times New Roman" w:cs="Times New Roman" w:eastAsiaTheme="majorEastAsia"/>
                <w:color w:val="000000" w:themeColor="text1"/>
                <w:vertAlign w:val="superscript"/>
              </w:rPr>
              <w:t>e</w:t>
            </w:r>
          </w:p>
        </w:tc>
        <w:tc>
          <w:tcPr>
            <w:tcW w:w="2436" w:type="pct"/>
            <w:vAlign w:val="center"/>
          </w:tcPr>
          <w:p>
            <w:pPr>
              <w:adjustRightInd w:val="0"/>
              <w:snapToGrid w:val="0"/>
              <w:spacing w:before="62" w:beforeLines="20" w:after="62"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GB/T 36787—2018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00" w:type="pct"/>
            <w:gridSpan w:val="3"/>
          </w:tcPr>
          <w:p>
            <w:pPr>
              <w:adjustRightInd w:val="0"/>
              <w:snapToGrid w:val="0"/>
              <w:spacing w:before="62" w:beforeLines="20" w:after="62"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注：</w:t>
            </w:r>
          </w:p>
          <w:p>
            <w:pPr>
              <w:adjustRightInd w:val="0"/>
              <w:snapToGrid w:val="0"/>
              <w:spacing w:before="62" w:beforeLines="20" w:after="62"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a适用于淋（覆）膜、涂层产品。</w:t>
            </w:r>
          </w:p>
          <w:p>
            <w:pPr>
              <w:adjustRightInd w:val="0"/>
              <w:snapToGrid w:val="0"/>
              <w:spacing w:before="62" w:beforeLines="20" w:after="62"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b适用于执行标准为GB/T 27591—2011的淋（覆）膜纸碗。</w:t>
            </w:r>
          </w:p>
          <w:p>
            <w:pPr>
              <w:adjustRightInd w:val="0"/>
              <w:snapToGrid w:val="0"/>
              <w:spacing w:before="62" w:beforeLines="20" w:after="62"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c适用于执行标准为GB/T 27589—2011的淋膜纸餐盒。</w:t>
            </w:r>
          </w:p>
          <w:p>
            <w:pPr>
              <w:adjustRightInd w:val="0"/>
              <w:snapToGrid w:val="0"/>
              <w:spacing w:before="62" w:beforeLines="20" w:after="62"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d适用于执行标准为QB/T 2898—2007的餐用纸制品。</w:t>
            </w:r>
          </w:p>
          <w:p>
            <w:pPr>
              <w:adjustRightInd w:val="0"/>
              <w:snapToGrid w:val="0"/>
              <w:spacing w:before="62" w:beforeLines="20" w:after="62"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e适用于执行标准为</w:t>
            </w:r>
            <w:r>
              <w:rPr>
                <w:rFonts w:hint="default" w:ascii="Times New Roman" w:hAnsi="Times New Roman" w:cs="Times New Roman" w:eastAsiaTheme="majorEastAsia"/>
                <w:color w:val="000000" w:themeColor="text1"/>
              </w:rPr>
              <w:t>GB/T 36787—2018的纸浆模塑餐具。</w:t>
            </w:r>
          </w:p>
        </w:tc>
      </w:tr>
    </w:tbl>
    <w:p>
      <w:pPr>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表3 纸盒</w:t>
      </w:r>
    </w:p>
    <w:tbl>
      <w:tblPr>
        <w:tblStyle w:val="8"/>
        <w:tblW w:w="48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3790"/>
        <w:gridCol w:w="4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高锰酸钾消耗量</w:t>
            </w:r>
            <w:r>
              <w:rPr>
                <w:rFonts w:hint="default" w:ascii="Times New Roman" w:hAnsi="Times New Roman" w:cs="Times New Roman"/>
                <w:color w:val="000000" w:themeColor="text1"/>
                <w:vertAlign w:val="superscript"/>
              </w:rPr>
              <w:t>a</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6</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7</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8</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9</w:t>
            </w:r>
          </w:p>
        </w:tc>
        <w:tc>
          <w:tcPr>
            <w:tcW w:w="2120" w:type="pc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2120" w:type="pc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11</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12</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3"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13</w:t>
            </w:r>
          </w:p>
        </w:tc>
        <w:tc>
          <w:tcPr>
            <w:tcW w:w="2120"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2507"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sz w:val="18"/>
                <w:szCs w:val="18"/>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3"/>
          </w:tcPr>
          <w:p>
            <w:pPr>
              <w:adjustRightInd w:val="0"/>
              <w:snapToGrid w:val="0"/>
              <w:spacing w:before="62" w:beforeLines="20" w:after="62" w:afterLines="20"/>
              <w:rPr>
                <w:rFonts w:hint="default" w:ascii="Times New Roman" w:hAnsi="Times New Roman" w:cs="Times New Roman"/>
                <w:color w:val="000000" w:themeColor="text1"/>
                <w:sz w:val="18"/>
              </w:rPr>
            </w:pPr>
            <w:r>
              <w:rPr>
                <w:rFonts w:hint="default" w:ascii="Times New Roman" w:hAnsi="Times New Roman" w:cs="Times New Roman"/>
                <w:color w:val="000000" w:themeColor="text1"/>
              </w:rPr>
              <w:t>注：a适用于淋（覆）膜、涂层产品。</w:t>
            </w:r>
          </w:p>
        </w:tc>
      </w:tr>
    </w:tbl>
    <w:p>
      <w:pPr>
        <w:jc w:val="left"/>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表4 纸袋</w:t>
      </w:r>
    </w:p>
    <w:tbl>
      <w:tblPr>
        <w:tblStyle w:val="8"/>
        <w:tblW w:w="48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3898"/>
        <w:gridCol w:w="4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高锰酸钾消耗量</w:t>
            </w:r>
            <w:r>
              <w:rPr>
                <w:rFonts w:hint="default" w:ascii="Times New Roman" w:hAnsi="Times New Roman" w:cs="Times New Roman"/>
                <w:color w:val="000000" w:themeColor="text1"/>
                <w:vertAlign w:val="superscript"/>
              </w:rPr>
              <w:t>a</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6</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7</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8</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9</w:t>
            </w:r>
          </w:p>
        </w:tc>
        <w:tc>
          <w:tcPr>
            <w:tcW w:w="2186" w:type="pc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2186" w:type="pc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11</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12</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13</w:t>
            </w:r>
          </w:p>
        </w:tc>
        <w:tc>
          <w:tcPr>
            <w:tcW w:w="218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242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3"/>
            <w:vAlign w:val="center"/>
          </w:tcPr>
          <w:p>
            <w:pPr>
              <w:adjustRightInd w:val="0"/>
              <w:snapToGrid w:val="0"/>
              <w:spacing w:before="62" w:beforeLines="20" w:after="62"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注：a适用于淋（覆）膜、涂层产品。</w:t>
            </w:r>
          </w:p>
        </w:tc>
      </w:tr>
    </w:tbl>
    <w:p>
      <w:pPr>
        <w:adjustRightInd w:val="0"/>
        <w:snapToGrid w:val="0"/>
        <w:spacing w:line="360" w:lineRule="auto"/>
        <w:jc w:val="center"/>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表5 纸罐（纸板类罐）</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
        <w:gridCol w:w="4144"/>
        <w:gridCol w:w="4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225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225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2</w:t>
            </w:r>
          </w:p>
        </w:tc>
        <w:tc>
          <w:tcPr>
            <w:tcW w:w="225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3</w:t>
            </w:r>
          </w:p>
        </w:tc>
        <w:tc>
          <w:tcPr>
            <w:tcW w:w="225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4</w:t>
            </w:r>
          </w:p>
        </w:tc>
        <w:tc>
          <w:tcPr>
            <w:tcW w:w="225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225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6</w:t>
            </w:r>
          </w:p>
        </w:tc>
        <w:tc>
          <w:tcPr>
            <w:tcW w:w="2258" w:type="pc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7</w:t>
            </w:r>
          </w:p>
        </w:tc>
        <w:tc>
          <w:tcPr>
            <w:tcW w:w="2258" w:type="pc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5"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8</w:t>
            </w:r>
          </w:p>
        </w:tc>
        <w:tc>
          <w:tcPr>
            <w:tcW w:w="225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2196"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5" w:type="pct"/>
            <w:tcBorders>
              <w:bottom w:val="single" w:color="auto" w:sz="4" w:space="0"/>
            </w:tcBorders>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9</w:t>
            </w:r>
          </w:p>
        </w:tc>
        <w:tc>
          <w:tcPr>
            <w:tcW w:w="2258" w:type="pct"/>
            <w:tcBorders>
              <w:bottom w:val="single" w:color="auto" w:sz="4" w:space="0"/>
            </w:tcBorders>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2196" w:type="pct"/>
            <w:tcBorders>
              <w:bottom w:val="single" w:color="auto" w:sz="4" w:space="0"/>
            </w:tcBorders>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c>
          <w:tcPr>
            <w:tcW w:w="2258"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219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bl>
    <w:p>
      <w:pPr>
        <w:jc w:val="center"/>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表6 纸罐（圆柱形复合罐）</w:t>
      </w:r>
    </w:p>
    <w:tbl>
      <w:tblPr>
        <w:tblStyle w:val="8"/>
        <w:tblW w:w="48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3693"/>
        <w:gridCol w:w="4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感官要求/感官</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r>
              <w:rPr>
                <w:rFonts w:hint="default" w:ascii="Times New Roman" w:hAnsi="Times New Roman" w:cs="Times New Roman"/>
                <w:color w:val="000000" w:themeColor="text1"/>
                <w:vertAlign w:val="superscript"/>
              </w:rPr>
              <w:t>a</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高锰酸钾消耗量</w:t>
            </w:r>
            <w:r>
              <w:rPr>
                <w:rFonts w:hint="default" w:ascii="Times New Roman" w:hAnsi="Times New Roman" w:cs="Times New Roman"/>
                <w:color w:val="000000" w:themeColor="text1"/>
                <w:vertAlign w:val="superscript"/>
              </w:rPr>
              <w:t>a</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r>
              <w:rPr>
                <w:rFonts w:hint="default" w:ascii="Times New Roman" w:hAnsi="Times New Roman" w:cs="Times New Roman"/>
                <w:color w:val="000000" w:themeColor="text1"/>
                <w:vertAlign w:val="superscript"/>
              </w:rPr>
              <w:t>a</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6</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7</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8</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端盖脱离力</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10440—2008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9</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轴向压溃力</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10440—2008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2068"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快速泄漏试验</w:t>
            </w:r>
          </w:p>
        </w:tc>
        <w:tc>
          <w:tcPr>
            <w:tcW w:w="2531" w:type="pct"/>
            <w:vAlign w:val="center"/>
          </w:tcPr>
          <w:p>
            <w:pPr>
              <w:adjustRightInd w:val="0"/>
              <w:snapToGrid w:val="0"/>
              <w:spacing w:before="62" w:beforeLines="20" w:after="62"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10440—2008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3"/>
          </w:tcPr>
          <w:p>
            <w:pPr>
              <w:adjustRightInd w:val="0"/>
              <w:snapToGrid w:val="0"/>
              <w:spacing w:before="62" w:beforeLines="20" w:after="62" w:afterLines="20"/>
              <w:rPr>
                <w:rFonts w:hint="default" w:ascii="Times New Roman" w:hAnsi="Times New Roman" w:cs="Times New Roman"/>
                <w:color w:val="000000" w:themeColor="text1"/>
              </w:rPr>
            </w:pPr>
            <w:r>
              <w:rPr>
                <w:rFonts w:hint="default" w:ascii="Times New Roman" w:hAnsi="Times New Roman" w:cs="Times New Roman"/>
                <w:color w:val="000000" w:themeColor="text1"/>
              </w:rPr>
              <w:t>注：a适用于</w:t>
            </w:r>
            <w:r>
              <w:rPr>
                <w:rFonts w:hint="default" w:ascii="Times New Roman" w:hAnsi="Times New Roman" w:cs="Times New Roman"/>
              </w:rPr>
              <w:t>执行标准为GB 4806.13—2023，且直</w:t>
            </w:r>
            <w:r>
              <w:rPr>
                <w:rFonts w:hint="default" w:ascii="Times New Roman" w:hAnsi="Times New Roman" w:cs="Times New Roman"/>
                <w:color w:val="000000" w:themeColor="text1"/>
              </w:rPr>
              <w:t>接接触食品层为塑料材质的产品。</w:t>
            </w:r>
          </w:p>
        </w:tc>
      </w:tr>
    </w:tbl>
    <w:p>
      <w:pPr>
        <w:adjustRightInd w:val="0"/>
        <w:snapToGrid w:val="0"/>
        <w:spacing w:line="440" w:lineRule="exact"/>
        <w:ind w:firstLine="420" w:firstLineChars="200"/>
        <w:rPr>
          <w:rFonts w:hint="default" w:ascii="Times New Roman" w:hAnsi="Times New Roman" w:cs="Times New Roman"/>
          <w:color w:val="000000" w:themeColor="text1"/>
        </w:rPr>
      </w:pPr>
      <w:bookmarkStart w:id="0" w:name="_Hlk40347690"/>
      <w:r>
        <w:rPr>
          <w:rFonts w:hint="default" w:ascii="Times New Roman" w:hAnsi="Times New Roman" w:cs="Times New Roman"/>
          <w:color w:val="000000" w:themeColor="text1"/>
        </w:rPr>
        <w:t>执行企业标准、团体标准、地方标准的产品，检验项目参照上述内容执行。</w:t>
      </w:r>
      <w:bookmarkEnd w:id="0"/>
    </w:p>
    <w:p>
      <w:pPr>
        <w:snapToGrid w:val="0"/>
        <w:spacing w:line="440" w:lineRule="exact"/>
        <w:ind w:firstLine="359" w:firstLineChars="171"/>
        <w:rPr>
          <w:rFonts w:hint="default" w:ascii="Times New Roman" w:hAnsi="Times New Roman" w:cs="Times New Roman"/>
          <w:color w:val="000000" w:themeColor="text1"/>
        </w:rPr>
      </w:pPr>
      <w:r>
        <w:rPr>
          <w:rFonts w:hint="default" w:ascii="Times New Roman" w:hAnsi="Times New Roman" w:cs="Times New Roman"/>
          <w:color w:val="000000" w:themeColor="text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cs="Times New Roman"/>
          <w:color w:val="000000" w:themeColor="text1"/>
        </w:rPr>
      </w:pPr>
    </w:p>
    <w:p>
      <w:pPr>
        <w:adjustRightInd w:val="0"/>
        <w:snapToGrid w:val="0"/>
        <w:spacing w:line="440" w:lineRule="exact"/>
        <w:outlineLvl w:val="1"/>
        <w:rPr>
          <w:rFonts w:hint="default" w:ascii="Times New Roman" w:hAnsi="Times New Roman" w:eastAsia="黑体" w:cs="Times New Roman"/>
          <w:color w:val="000000" w:themeColor="text1"/>
        </w:rPr>
      </w:pPr>
      <w:r>
        <w:rPr>
          <w:rFonts w:hint="default" w:ascii="Times New Roman" w:hAnsi="Times New Roman" w:eastAsia="黑体" w:cs="Times New Roman"/>
          <w:color w:val="000000" w:themeColor="text1"/>
        </w:rPr>
        <w:t>3 判定规则</w:t>
      </w:r>
    </w:p>
    <w:p>
      <w:pPr>
        <w:snapToGrid w:val="0"/>
        <w:spacing w:line="360" w:lineRule="auto"/>
        <w:rPr>
          <w:rFonts w:hint="default" w:ascii="Times New Roman" w:hAnsi="Times New Roman" w:cs="Times New Roman"/>
          <w:color w:val="000000" w:themeColor="text1"/>
        </w:rPr>
      </w:pPr>
      <w:r>
        <w:rPr>
          <w:rFonts w:hint="default" w:ascii="Times New Roman" w:hAnsi="Times New Roman" w:cs="Times New Roman"/>
          <w:color w:val="000000" w:themeColor="text1"/>
        </w:rPr>
        <w:t>3.1依据标准</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 4806.7—2023 食品安全国家标准 食品接触用塑料材料及制品</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 食品安全国家标准 食品接触用纸和纸板材料及制品</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 4806.13—2023 食品安全国家标准 食品接触用复合材料及制品</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GB/T 10440—2008 圆柱形复合罐</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GB/T 27589—2011 纸餐盒</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GB/T 27591—2011 纸碗</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GB/T 36787—2018 纸浆模塑餐具</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QB/T 2898—2007 餐用纸制品</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现行有效的企业标准、团体标准、地方标准及产品明示质量要求</w:t>
      </w:r>
    </w:p>
    <w:p>
      <w:pPr>
        <w:snapToGrid w:val="0"/>
        <w:spacing w:line="440" w:lineRule="exact"/>
        <w:rPr>
          <w:rFonts w:hint="default" w:ascii="Times New Roman" w:hAnsi="Times New Roman" w:cs="Times New Roman"/>
          <w:color w:val="000000" w:themeColor="text1"/>
        </w:rPr>
      </w:pPr>
      <w:r>
        <w:rPr>
          <w:rFonts w:hint="default" w:ascii="Times New Roman" w:hAnsi="Times New Roman" w:cs="Times New Roman"/>
          <w:color w:val="000000" w:themeColor="text1"/>
        </w:rPr>
        <w:t>3.2判定原则</w:t>
      </w:r>
    </w:p>
    <w:p>
      <w:pPr>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依据GB 4789.1—2016 《食品安全国家标准 食品微生物学检验 总则》第7.3条规定“检验结果报告后，剩余样品和同批产品不进行微生物项目的复检”，微生物指标不合格不进行复检。</w:t>
      </w:r>
    </w:p>
    <w:p>
      <w:pPr>
        <w:spacing w:line="360" w:lineRule="auto"/>
        <w:rPr>
          <w:rFonts w:hint="default" w:ascii="Times New Roman" w:hAnsi="Times New Roman" w:eastAsia="黑体" w:cs="Times New Roman"/>
          <w:color w:val="000000" w:themeColor="text1"/>
        </w:rPr>
      </w:pPr>
    </w:p>
    <w:p>
      <w:pPr>
        <w:adjustRightInd w:val="0"/>
        <w:snapToGrid w:val="0"/>
        <w:spacing w:line="440" w:lineRule="exact"/>
        <w:outlineLvl w:val="1"/>
        <w:rPr>
          <w:rFonts w:hint="default" w:ascii="Times New Roman" w:hAnsi="Times New Roman" w:eastAsia="黑体" w:cs="Times New Roman"/>
          <w:color w:val="000000" w:themeColor="text1"/>
        </w:rPr>
      </w:pPr>
      <w:r>
        <w:rPr>
          <w:rFonts w:hint="default" w:ascii="Times New Roman" w:hAnsi="Times New Roman" w:eastAsia="黑体" w:cs="Times New Roman"/>
          <w:color w:val="000000" w:themeColor="text1"/>
        </w:rPr>
        <w:t>4 附则</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eastAsiaTheme="minorEastAsia"/>
          <w:color w:val="000000"/>
        </w:rPr>
        <w:t>本细则代替《贵州省市场监管局关于发布2024年版车用柴油等110种产品贵州省产品质量监督抽查实施细则的公告》中的《贵州省食品接触用纸容器产品质量监督抽查实施细则（2024版）》。</w:t>
      </w:r>
    </w:p>
    <w:p>
      <w:pPr>
        <w:snapToGrid w:val="0"/>
        <w:spacing w:line="440" w:lineRule="exact"/>
        <w:ind w:firstLine="417" w:firstLineChars="199"/>
      </w:pPr>
    </w:p>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6</w:t>
    </w:r>
    <w:r>
      <w:rPr>
        <w:rFonts w:ascii="Times New Roman" w:hAnsi="Times New Roma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AyODJhMmYzY2JlOGEzZDJkYWI0YWZlYjYwODIzM2EifQ=="/>
  </w:docVars>
  <w:rsids>
    <w:rsidRoot w:val="001E3443"/>
    <w:rsid w:val="00011DEF"/>
    <w:rsid w:val="00020D11"/>
    <w:rsid w:val="00043430"/>
    <w:rsid w:val="000442BC"/>
    <w:rsid w:val="000469E7"/>
    <w:rsid w:val="0007714C"/>
    <w:rsid w:val="000851E2"/>
    <w:rsid w:val="00090BF9"/>
    <w:rsid w:val="000A17FB"/>
    <w:rsid w:val="000A2874"/>
    <w:rsid w:val="000A56E2"/>
    <w:rsid w:val="000C2594"/>
    <w:rsid w:val="000D04CA"/>
    <w:rsid w:val="000D3046"/>
    <w:rsid w:val="000E0CC0"/>
    <w:rsid w:val="000E33C5"/>
    <w:rsid w:val="000F6765"/>
    <w:rsid w:val="00113FBE"/>
    <w:rsid w:val="00130AB6"/>
    <w:rsid w:val="0013416B"/>
    <w:rsid w:val="00145543"/>
    <w:rsid w:val="0015338B"/>
    <w:rsid w:val="00162504"/>
    <w:rsid w:val="00171325"/>
    <w:rsid w:val="001728F1"/>
    <w:rsid w:val="00180345"/>
    <w:rsid w:val="001815BF"/>
    <w:rsid w:val="001A55F9"/>
    <w:rsid w:val="001C026B"/>
    <w:rsid w:val="001C7634"/>
    <w:rsid w:val="001D1072"/>
    <w:rsid w:val="001E3443"/>
    <w:rsid w:val="0020204B"/>
    <w:rsid w:val="0021277B"/>
    <w:rsid w:val="00235C2E"/>
    <w:rsid w:val="00245435"/>
    <w:rsid w:val="0024582F"/>
    <w:rsid w:val="00251C14"/>
    <w:rsid w:val="00257373"/>
    <w:rsid w:val="00272DCF"/>
    <w:rsid w:val="002825F8"/>
    <w:rsid w:val="002A0A7E"/>
    <w:rsid w:val="002B5082"/>
    <w:rsid w:val="002C1903"/>
    <w:rsid w:val="002C525D"/>
    <w:rsid w:val="002C7009"/>
    <w:rsid w:val="002F6274"/>
    <w:rsid w:val="00322439"/>
    <w:rsid w:val="0032288C"/>
    <w:rsid w:val="00326645"/>
    <w:rsid w:val="00343996"/>
    <w:rsid w:val="00353F4B"/>
    <w:rsid w:val="00354450"/>
    <w:rsid w:val="00356AE1"/>
    <w:rsid w:val="00360823"/>
    <w:rsid w:val="00361764"/>
    <w:rsid w:val="00371488"/>
    <w:rsid w:val="003C5FEA"/>
    <w:rsid w:val="003D10BA"/>
    <w:rsid w:val="003D4887"/>
    <w:rsid w:val="003D6DF2"/>
    <w:rsid w:val="003F6834"/>
    <w:rsid w:val="00411EBF"/>
    <w:rsid w:val="004131F7"/>
    <w:rsid w:val="004179F8"/>
    <w:rsid w:val="0042024E"/>
    <w:rsid w:val="00427315"/>
    <w:rsid w:val="004345BF"/>
    <w:rsid w:val="0044769E"/>
    <w:rsid w:val="0048591F"/>
    <w:rsid w:val="00487541"/>
    <w:rsid w:val="004E45AA"/>
    <w:rsid w:val="004E75DB"/>
    <w:rsid w:val="00510516"/>
    <w:rsid w:val="00525D59"/>
    <w:rsid w:val="005642B2"/>
    <w:rsid w:val="00593F48"/>
    <w:rsid w:val="005A0B59"/>
    <w:rsid w:val="005A4D95"/>
    <w:rsid w:val="005B3CAB"/>
    <w:rsid w:val="005C31DD"/>
    <w:rsid w:val="005D2A96"/>
    <w:rsid w:val="005E34E6"/>
    <w:rsid w:val="005E5680"/>
    <w:rsid w:val="005E632C"/>
    <w:rsid w:val="005F013F"/>
    <w:rsid w:val="005F461F"/>
    <w:rsid w:val="00605E22"/>
    <w:rsid w:val="00630847"/>
    <w:rsid w:val="00633319"/>
    <w:rsid w:val="006665D4"/>
    <w:rsid w:val="0068106E"/>
    <w:rsid w:val="00683C16"/>
    <w:rsid w:val="00694C94"/>
    <w:rsid w:val="006D5E2F"/>
    <w:rsid w:val="006F52EE"/>
    <w:rsid w:val="006F6056"/>
    <w:rsid w:val="00710BF5"/>
    <w:rsid w:val="00714FC7"/>
    <w:rsid w:val="007429D1"/>
    <w:rsid w:val="00747750"/>
    <w:rsid w:val="0079004C"/>
    <w:rsid w:val="00794116"/>
    <w:rsid w:val="007B17E0"/>
    <w:rsid w:val="007C3E8D"/>
    <w:rsid w:val="007E506E"/>
    <w:rsid w:val="007E65D2"/>
    <w:rsid w:val="007F4069"/>
    <w:rsid w:val="00807F42"/>
    <w:rsid w:val="008104B1"/>
    <w:rsid w:val="0081150C"/>
    <w:rsid w:val="00820690"/>
    <w:rsid w:val="008245CB"/>
    <w:rsid w:val="00837F24"/>
    <w:rsid w:val="0086284D"/>
    <w:rsid w:val="00870740"/>
    <w:rsid w:val="00872FF7"/>
    <w:rsid w:val="008736B8"/>
    <w:rsid w:val="00884606"/>
    <w:rsid w:val="00892491"/>
    <w:rsid w:val="00895B7C"/>
    <w:rsid w:val="008A6E90"/>
    <w:rsid w:val="008B5066"/>
    <w:rsid w:val="008B6C09"/>
    <w:rsid w:val="008B7B47"/>
    <w:rsid w:val="008C7CA4"/>
    <w:rsid w:val="008D4B2D"/>
    <w:rsid w:val="008F4FB8"/>
    <w:rsid w:val="00902387"/>
    <w:rsid w:val="00916BDD"/>
    <w:rsid w:val="009366B8"/>
    <w:rsid w:val="00937E93"/>
    <w:rsid w:val="00946234"/>
    <w:rsid w:val="009463A3"/>
    <w:rsid w:val="00953717"/>
    <w:rsid w:val="0096482D"/>
    <w:rsid w:val="009673EA"/>
    <w:rsid w:val="00970F53"/>
    <w:rsid w:val="009720C3"/>
    <w:rsid w:val="00987140"/>
    <w:rsid w:val="009A0CFE"/>
    <w:rsid w:val="009A5117"/>
    <w:rsid w:val="009A6331"/>
    <w:rsid w:val="009A7F59"/>
    <w:rsid w:val="009D60ED"/>
    <w:rsid w:val="009E22E7"/>
    <w:rsid w:val="009E470B"/>
    <w:rsid w:val="009F2EF2"/>
    <w:rsid w:val="00A06419"/>
    <w:rsid w:val="00A10DBB"/>
    <w:rsid w:val="00A1287C"/>
    <w:rsid w:val="00A32223"/>
    <w:rsid w:val="00A46206"/>
    <w:rsid w:val="00A50717"/>
    <w:rsid w:val="00A61D90"/>
    <w:rsid w:val="00A747CE"/>
    <w:rsid w:val="00A91A5C"/>
    <w:rsid w:val="00A96B04"/>
    <w:rsid w:val="00AA4371"/>
    <w:rsid w:val="00AC3319"/>
    <w:rsid w:val="00AD55EF"/>
    <w:rsid w:val="00AE4FCD"/>
    <w:rsid w:val="00AF27A4"/>
    <w:rsid w:val="00AF3C28"/>
    <w:rsid w:val="00B0005F"/>
    <w:rsid w:val="00B00D74"/>
    <w:rsid w:val="00B027D7"/>
    <w:rsid w:val="00B07723"/>
    <w:rsid w:val="00B14F44"/>
    <w:rsid w:val="00B22B4B"/>
    <w:rsid w:val="00B26D2D"/>
    <w:rsid w:val="00B304D9"/>
    <w:rsid w:val="00B37C20"/>
    <w:rsid w:val="00B46901"/>
    <w:rsid w:val="00B554F0"/>
    <w:rsid w:val="00B658A9"/>
    <w:rsid w:val="00B711F9"/>
    <w:rsid w:val="00BA1817"/>
    <w:rsid w:val="00BB441E"/>
    <w:rsid w:val="00BC503A"/>
    <w:rsid w:val="00BD45C8"/>
    <w:rsid w:val="00BE6227"/>
    <w:rsid w:val="00BF34D2"/>
    <w:rsid w:val="00BF6059"/>
    <w:rsid w:val="00C076DC"/>
    <w:rsid w:val="00C13D4E"/>
    <w:rsid w:val="00C16879"/>
    <w:rsid w:val="00C42B79"/>
    <w:rsid w:val="00C445F9"/>
    <w:rsid w:val="00C534BA"/>
    <w:rsid w:val="00C63055"/>
    <w:rsid w:val="00C82251"/>
    <w:rsid w:val="00CB4778"/>
    <w:rsid w:val="00CC1F6D"/>
    <w:rsid w:val="00CC730F"/>
    <w:rsid w:val="00CE31BA"/>
    <w:rsid w:val="00CF0851"/>
    <w:rsid w:val="00D01A72"/>
    <w:rsid w:val="00D1182B"/>
    <w:rsid w:val="00D1311F"/>
    <w:rsid w:val="00D21961"/>
    <w:rsid w:val="00D4428B"/>
    <w:rsid w:val="00D46A99"/>
    <w:rsid w:val="00D53113"/>
    <w:rsid w:val="00D5593C"/>
    <w:rsid w:val="00D56CE1"/>
    <w:rsid w:val="00D57DA7"/>
    <w:rsid w:val="00D63A4A"/>
    <w:rsid w:val="00D66942"/>
    <w:rsid w:val="00D92669"/>
    <w:rsid w:val="00DC424B"/>
    <w:rsid w:val="00DD5D84"/>
    <w:rsid w:val="00DD6EF5"/>
    <w:rsid w:val="00DE0387"/>
    <w:rsid w:val="00E02ED9"/>
    <w:rsid w:val="00E117AD"/>
    <w:rsid w:val="00E15023"/>
    <w:rsid w:val="00E202B2"/>
    <w:rsid w:val="00E30BFF"/>
    <w:rsid w:val="00E335C7"/>
    <w:rsid w:val="00E467B3"/>
    <w:rsid w:val="00E47DFE"/>
    <w:rsid w:val="00E66E18"/>
    <w:rsid w:val="00E678DC"/>
    <w:rsid w:val="00E81136"/>
    <w:rsid w:val="00E81DB6"/>
    <w:rsid w:val="00E84180"/>
    <w:rsid w:val="00E85045"/>
    <w:rsid w:val="00E92767"/>
    <w:rsid w:val="00EA3DE4"/>
    <w:rsid w:val="00EE344F"/>
    <w:rsid w:val="00EF5298"/>
    <w:rsid w:val="00EF7E42"/>
    <w:rsid w:val="00F02DF8"/>
    <w:rsid w:val="00F03CCA"/>
    <w:rsid w:val="00F127CB"/>
    <w:rsid w:val="00F346AE"/>
    <w:rsid w:val="00F431FC"/>
    <w:rsid w:val="00F44667"/>
    <w:rsid w:val="00F5503C"/>
    <w:rsid w:val="00F90C2C"/>
    <w:rsid w:val="00F92CF7"/>
    <w:rsid w:val="00F96E5B"/>
    <w:rsid w:val="00F97A82"/>
    <w:rsid w:val="00FA234D"/>
    <w:rsid w:val="00FD12A2"/>
    <w:rsid w:val="00FD776E"/>
    <w:rsid w:val="00FE21C0"/>
    <w:rsid w:val="00FE64B7"/>
    <w:rsid w:val="06D957A5"/>
    <w:rsid w:val="08680557"/>
    <w:rsid w:val="0B1659B9"/>
    <w:rsid w:val="0E1A5855"/>
    <w:rsid w:val="100C136B"/>
    <w:rsid w:val="10F22FF4"/>
    <w:rsid w:val="13B81C39"/>
    <w:rsid w:val="13C773FA"/>
    <w:rsid w:val="15E1046E"/>
    <w:rsid w:val="16537C89"/>
    <w:rsid w:val="1666503C"/>
    <w:rsid w:val="16B659FA"/>
    <w:rsid w:val="178F1F16"/>
    <w:rsid w:val="188C7277"/>
    <w:rsid w:val="18EA1134"/>
    <w:rsid w:val="1AC85A38"/>
    <w:rsid w:val="218923F5"/>
    <w:rsid w:val="2284663F"/>
    <w:rsid w:val="23131BDE"/>
    <w:rsid w:val="23465DDD"/>
    <w:rsid w:val="23674DDC"/>
    <w:rsid w:val="26191A4E"/>
    <w:rsid w:val="2B5F098D"/>
    <w:rsid w:val="2C18281E"/>
    <w:rsid w:val="2EA90219"/>
    <w:rsid w:val="2FDA6409"/>
    <w:rsid w:val="32FE1849"/>
    <w:rsid w:val="368C4FB0"/>
    <w:rsid w:val="38853EBE"/>
    <w:rsid w:val="3B2F38C9"/>
    <w:rsid w:val="3EE95F8A"/>
    <w:rsid w:val="402F4F0B"/>
    <w:rsid w:val="438700C4"/>
    <w:rsid w:val="43A72664"/>
    <w:rsid w:val="43B531B7"/>
    <w:rsid w:val="4432161E"/>
    <w:rsid w:val="464278AD"/>
    <w:rsid w:val="47965578"/>
    <w:rsid w:val="498C0C76"/>
    <w:rsid w:val="4A4E61B4"/>
    <w:rsid w:val="51064BF1"/>
    <w:rsid w:val="52B55C95"/>
    <w:rsid w:val="537A3527"/>
    <w:rsid w:val="53AA41F0"/>
    <w:rsid w:val="55865969"/>
    <w:rsid w:val="56400EC9"/>
    <w:rsid w:val="5B414FAB"/>
    <w:rsid w:val="5DD64A11"/>
    <w:rsid w:val="5E6B43EC"/>
    <w:rsid w:val="60BA57F4"/>
    <w:rsid w:val="624C5753"/>
    <w:rsid w:val="637F5A3F"/>
    <w:rsid w:val="64AC6B49"/>
    <w:rsid w:val="664A0B1C"/>
    <w:rsid w:val="688D54BF"/>
    <w:rsid w:val="6944085B"/>
    <w:rsid w:val="6C1E5310"/>
    <w:rsid w:val="6E902609"/>
    <w:rsid w:val="6F3F8ED6"/>
    <w:rsid w:val="730365B5"/>
    <w:rsid w:val="753D0AE0"/>
    <w:rsid w:val="75EB0F1D"/>
    <w:rsid w:val="76B14CF5"/>
    <w:rsid w:val="7B5F19F8"/>
    <w:rsid w:val="7E184417"/>
    <w:rsid w:val="7FD785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semiHidden/>
    <w:qFormat/>
    <w:locked/>
    <w:uiPriority w:val="99"/>
    <w:pPr>
      <w:shd w:val="clear" w:color="auto" w:fill="000080"/>
    </w:pPr>
    <w:rPr>
      <w:rFonts w:ascii="Times New Roman" w:hAnsi="Times New Roman" w:cs="Times New Roman"/>
      <w:kern w:val="0"/>
      <w:sz w:val="0"/>
      <w:szCs w:val="0"/>
    </w:rPr>
  </w:style>
  <w:style w:type="paragraph" w:styleId="3">
    <w:name w:val="annotation text"/>
    <w:basedOn w:val="1"/>
    <w:link w:val="15"/>
    <w:unhideWhenUsed/>
    <w:qFormat/>
    <w:locked/>
    <w:uiPriority w:val="99"/>
    <w:pPr>
      <w:jc w:val="left"/>
    </w:pPr>
    <w:rPr>
      <w:rFonts w:cs="Times New Roman"/>
    </w:rPr>
  </w:style>
  <w:style w:type="paragraph" w:styleId="4">
    <w:name w:val="Balloon Text"/>
    <w:basedOn w:val="1"/>
    <w:link w:val="13"/>
    <w:semiHidden/>
    <w:qFormat/>
    <w:uiPriority w:val="99"/>
    <w:rPr>
      <w:rFonts w:cs="Times New Roman"/>
      <w:sz w:val="18"/>
      <w:szCs w:val="18"/>
    </w:rPr>
  </w:style>
  <w:style w:type="paragraph" w:styleId="5">
    <w:name w:val="footer"/>
    <w:basedOn w:val="1"/>
    <w:link w:val="12"/>
    <w:qFormat/>
    <w:uiPriority w:val="99"/>
    <w:pPr>
      <w:tabs>
        <w:tab w:val="center" w:pos="4153"/>
        <w:tab w:val="right" w:pos="8306"/>
      </w:tabs>
      <w:snapToGrid w:val="0"/>
      <w:jc w:val="left"/>
    </w:pPr>
    <w:rPr>
      <w:rFonts w:cs="Times New Roman"/>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7">
    <w:name w:val="annotation subject"/>
    <w:basedOn w:val="3"/>
    <w:next w:val="3"/>
    <w:link w:val="16"/>
    <w:semiHidden/>
    <w:unhideWhenUsed/>
    <w:qFormat/>
    <w:locked/>
    <w:uiPriority w:val="99"/>
    <w:rPr>
      <w:b/>
      <w:bCs/>
    </w:rPr>
  </w:style>
  <w:style w:type="character" w:styleId="10">
    <w:name w:val="annotation reference"/>
    <w:semiHidden/>
    <w:unhideWhenUsed/>
    <w:qFormat/>
    <w:locked/>
    <w:uiPriority w:val="99"/>
    <w:rPr>
      <w:sz w:val="21"/>
      <w:szCs w:val="21"/>
    </w:rPr>
  </w:style>
  <w:style w:type="character" w:customStyle="1" w:styleId="11">
    <w:name w:val="页眉 字符"/>
    <w:link w:val="6"/>
    <w:qFormat/>
    <w:locked/>
    <w:uiPriority w:val="99"/>
    <w:rPr>
      <w:rFonts w:ascii="Calibri" w:hAnsi="Calibri" w:cs="Calibri"/>
      <w:kern w:val="2"/>
      <w:sz w:val="18"/>
      <w:szCs w:val="18"/>
    </w:rPr>
  </w:style>
  <w:style w:type="character" w:customStyle="1" w:styleId="12">
    <w:name w:val="页脚 字符"/>
    <w:link w:val="5"/>
    <w:qFormat/>
    <w:locked/>
    <w:uiPriority w:val="99"/>
    <w:rPr>
      <w:rFonts w:ascii="Calibri" w:hAnsi="Calibri" w:cs="Calibri"/>
      <w:kern w:val="2"/>
      <w:sz w:val="18"/>
      <w:szCs w:val="18"/>
    </w:rPr>
  </w:style>
  <w:style w:type="character" w:customStyle="1" w:styleId="13">
    <w:name w:val="批注框文本 字符"/>
    <w:link w:val="4"/>
    <w:qFormat/>
    <w:locked/>
    <w:uiPriority w:val="99"/>
    <w:rPr>
      <w:rFonts w:ascii="Calibri" w:hAnsi="Calibri" w:cs="Calibri"/>
      <w:kern w:val="2"/>
      <w:sz w:val="18"/>
      <w:szCs w:val="18"/>
    </w:rPr>
  </w:style>
  <w:style w:type="character" w:customStyle="1" w:styleId="14">
    <w:name w:val="文档结构图 字符"/>
    <w:link w:val="2"/>
    <w:semiHidden/>
    <w:qFormat/>
    <w:uiPriority w:val="99"/>
    <w:rPr>
      <w:rFonts w:cs="Calibri"/>
      <w:sz w:val="0"/>
      <w:szCs w:val="0"/>
    </w:rPr>
  </w:style>
  <w:style w:type="character" w:customStyle="1" w:styleId="15">
    <w:name w:val="批注文字 字符"/>
    <w:link w:val="3"/>
    <w:qFormat/>
    <w:uiPriority w:val="99"/>
    <w:rPr>
      <w:rFonts w:ascii="Calibri" w:hAnsi="Calibri" w:cs="Calibri"/>
      <w:kern w:val="2"/>
      <w:sz w:val="21"/>
      <w:szCs w:val="21"/>
    </w:rPr>
  </w:style>
  <w:style w:type="character" w:customStyle="1" w:styleId="16">
    <w:name w:val="批注主题 字符"/>
    <w:link w:val="7"/>
    <w:semiHidden/>
    <w:qFormat/>
    <w:uiPriority w:val="99"/>
    <w:rPr>
      <w:rFonts w:ascii="Calibri" w:hAnsi="Calibri" w:cs="Calibri"/>
      <w:b/>
      <w:bCs/>
      <w:kern w:val="2"/>
      <w:sz w:val="21"/>
      <w:szCs w:val="21"/>
    </w:rPr>
  </w:style>
  <w:style w:type="paragraph" w:customStyle="1" w:styleId="17">
    <w:name w:val="修订1"/>
    <w:hidden/>
    <w:semiHidden/>
    <w:qFormat/>
    <w:uiPriority w:val="99"/>
    <w:rPr>
      <w:rFonts w:ascii="Calibri" w:hAnsi="Calibri" w:eastAsia="宋体" w:cs="Calibri"/>
      <w:kern w:val="2"/>
      <w:sz w:val="21"/>
      <w:szCs w:val="21"/>
      <w:lang w:val="en-US" w:eastAsia="zh-CN" w:bidi="ar-SA"/>
    </w:rPr>
  </w:style>
  <w:style w:type="paragraph" w:customStyle="1" w:styleId="18">
    <w:name w:val="修订2"/>
    <w:hidden/>
    <w:semiHidden/>
    <w:qFormat/>
    <w:uiPriority w:val="99"/>
    <w:rPr>
      <w:rFonts w:ascii="Calibri" w:hAnsi="Calibri" w:eastAsia="宋体" w:cs="Calibri"/>
      <w:kern w:val="2"/>
      <w:sz w:val="21"/>
      <w:szCs w:val="21"/>
      <w:lang w:val="en-US" w:eastAsia="zh-CN" w:bidi="ar-SA"/>
    </w:rPr>
  </w:style>
  <w:style w:type="paragraph" w:customStyle="1" w:styleId="19">
    <w:name w:val="修订3"/>
    <w:hidden/>
    <w:semiHidden/>
    <w:qFormat/>
    <w:uiPriority w:val="99"/>
    <w:rPr>
      <w:rFonts w:ascii="Calibri" w:hAnsi="Calibri" w:eastAsia="宋体" w:cs="Calibri"/>
      <w:kern w:val="2"/>
      <w:sz w:val="21"/>
      <w:szCs w:val="21"/>
      <w:lang w:val="en-US" w:eastAsia="zh-CN" w:bidi="ar-SA"/>
    </w:rPr>
  </w:style>
  <w:style w:type="paragraph" w:customStyle="1" w:styleId="20">
    <w:name w:val="修订4"/>
    <w:hidden/>
    <w:semiHidden/>
    <w:qFormat/>
    <w:uiPriority w:val="99"/>
    <w:rPr>
      <w:rFonts w:ascii="Calibri" w:hAnsi="Calibri" w:eastAsia="宋体" w:cs="Calibri"/>
      <w:kern w:val="2"/>
      <w:sz w:val="21"/>
      <w:szCs w:val="21"/>
      <w:lang w:val="en-US" w:eastAsia="zh-CN" w:bidi="ar-SA"/>
    </w:rPr>
  </w:style>
  <w:style w:type="paragraph" w:customStyle="1" w:styleId="21">
    <w:name w:val="修订5"/>
    <w:hidden/>
    <w:semiHidden/>
    <w:qFormat/>
    <w:uiPriority w:val="99"/>
    <w:rPr>
      <w:rFonts w:ascii="Calibri" w:hAnsi="Calibri" w:eastAsia="宋体" w:cs="Calibri"/>
      <w:kern w:val="2"/>
      <w:sz w:val="21"/>
      <w:szCs w:val="21"/>
      <w:lang w:val="en-US" w:eastAsia="zh-CN" w:bidi="ar-SA"/>
    </w:rPr>
  </w:style>
  <w:style w:type="paragraph" w:customStyle="1" w:styleId="22">
    <w:name w:val="Revision"/>
    <w:hidden/>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526</Words>
  <Characters>2999</Characters>
  <Lines>24</Lines>
  <Paragraphs>7</Paragraphs>
  <TotalTime>481</TotalTime>
  <ScaleCrop>false</ScaleCrop>
  <LinksUpToDate>false</LinksUpToDate>
  <CharactersWithSpaces>3518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2023-02-01T21:02:00Z</dcterms:created>
  <dc:creator>Administrator</dc:creator>
  <cp:lastModifiedBy>ysgz</cp:lastModifiedBy>
  <dcterms:modified xsi:type="dcterms:W3CDTF">2025-04-14T10:03:05Z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B4CB4F2F84A4423E9AAD95BFD489B818</vt:lpwstr>
  </property>
</Properties>
</file>