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贵州省预应力混凝土用钢材产品质量监督抽查实施细则</w:t>
      </w:r>
    </w:p>
    <w:p>
      <w:pPr>
        <w:snapToGrid w:val="0"/>
        <w:spacing w:line="440" w:lineRule="exact"/>
        <w:jc w:val="center"/>
        <w:rPr>
          <w:rFonts w:eastAsia="黑体"/>
          <w:color w:val="000000"/>
          <w:szCs w:val="21"/>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snapToGrid w:val="0"/>
        <w:spacing w:line="440" w:lineRule="exact"/>
        <w:rPr>
          <w:rFonts w:hint="default" w:ascii="Times New Roman" w:hAnsi="Times New Roman" w:eastAsia="黑体" w:cs="Times New Roman"/>
          <w:color w:val="000000"/>
          <w:szCs w:val="21"/>
        </w:rPr>
      </w:pPr>
      <w:bookmarkStart w:id="3" w:name="_GoBack"/>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在同一规格、批次产品中随机抽取3根长2000mm的试样，再将该试样截为两段，每段长度 1000mm，分别依次编号，并一一对应（如1-a，1-b）。再随机抽取2支3000mm样品（松弛试验用），做出一一对应标识（如1-a，1-b）。所有抽标记 a 的样品为检验样品，标记 b 的样品为备用样品。</w:t>
      </w:r>
    </w:p>
    <w:p>
      <w:pPr>
        <w:spacing w:line="440" w:lineRule="exact"/>
        <w:rPr>
          <w:rFonts w:hint="default" w:ascii="Times New Roman" w:hAnsi="Times New Roman" w:eastAsia="宋体" w:cs="Times New Roman"/>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pacing w:line="50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表1  预应力混凝土用钢绞线</w:t>
      </w:r>
    </w:p>
    <w:tbl>
      <w:tblPr>
        <w:tblStyle w:val="5"/>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6305"/>
        <w:gridCol w:w="1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blHeader/>
          <w:jc w:val="center"/>
        </w:trPr>
        <w:tc>
          <w:tcPr>
            <w:tcW w:w="957"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6305"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检验项目</w:t>
            </w:r>
          </w:p>
        </w:tc>
        <w:tc>
          <w:tcPr>
            <w:tcW w:w="1906"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5" w:hRule="atLeast"/>
          <w:tblHeader/>
          <w:jc w:val="center"/>
        </w:trPr>
        <w:tc>
          <w:tcPr>
            <w:tcW w:w="957" w:type="dxa"/>
            <w:vMerge w:val="continue"/>
            <w:vAlign w:val="center"/>
          </w:tcPr>
          <w:p>
            <w:pPr>
              <w:snapToGrid w:val="0"/>
              <w:ind w:firstLine="420"/>
              <w:jc w:val="center"/>
              <w:rPr>
                <w:rFonts w:hint="default" w:ascii="Times New Roman" w:hAnsi="Times New Roman" w:cs="Times New Roman"/>
                <w:color w:val="auto"/>
                <w:sz w:val="21"/>
                <w:szCs w:val="21"/>
              </w:rPr>
            </w:pPr>
          </w:p>
        </w:tc>
        <w:tc>
          <w:tcPr>
            <w:tcW w:w="6305" w:type="dxa"/>
            <w:vMerge w:val="continue"/>
            <w:vAlign w:val="center"/>
          </w:tcPr>
          <w:p>
            <w:pPr>
              <w:snapToGrid w:val="0"/>
              <w:ind w:firstLine="420"/>
              <w:jc w:val="center"/>
              <w:rPr>
                <w:rFonts w:hint="default" w:ascii="Times New Roman" w:hAnsi="Times New Roman" w:cs="Times New Roman"/>
                <w:color w:val="auto"/>
                <w:sz w:val="21"/>
                <w:szCs w:val="21"/>
              </w:rPr>
            </w:pPr>
          </w:p>
        </w:tc>
        <w:tc>
          <w:tcPr>
            <w:tcW w:w="1906" w:type="dxa"/>
            <w:vMerge w:val="continue"/>
            <w:vAlign w:val="center"/>
          </w:tcPr>
          <w:p>
            <w:pPr>
              <w:snapToGrid w:val="0"/>
              <w:ind w:firstLine="42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7" w:type="dxa"/>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6305" w:type="dxa"/>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公称</w:t>
            </w:r>
            <w:r>
              <w:rPr>
                <w:rFonts w:hint="default" w:ascii="Times New Roman" w:hAnsi="Times New Roman" w:cs="Times New Roman"/>
                <w:color w:val="auto"/>
                <w:sz w:val="21"/>
                <w:szCs w:val="21"/>
              </w:rPr>
              <w:t>抗拉强度</w:t>
            </w:r>
          </w:p>
        </w:tc>
        <w:tc>
          <w:tcPr>
            <w:tcW w:w="1906"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7" w:type="dxa"/>
            <w:vAlign w:val="center"/>
          </w:tcPr>
          <w:p>
            <w:pPr>
              <w:snapToGrid w:val="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lang w:val="en-US" w:eastAsia="zh-CN"/>
              </w:rPr>
              <w:t>2</w:t>
            </w:r>
          </w:p>
        </w:tc>
        <w:tc>
          <w:tcPr>
            <w:tcW w:w="6305" w:type="dxa"/>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整根钢绞线最大力</w:t>
            </w:r>
          </w:p>
        </w:tc>
        <w:tc>
          <w:tcPr>
            <w:tcW w:w="1906" w:type="dxa"/>
            <w:vMerge w:val="continue"/>
            <w:vAlign w:val="center"/>
          </w:tcPr>
          <w:p>
            <w:pPr>
              <w:snapToGrid w:val="0"/>
              <w:jc w:val="center"/>
              <w:rPr>
                <w:rFonts w:hint="default" w:ascii="Times New Roman" w:hAnsi="Times New Roman" w:cs="Times New Roman"/>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7" w:type="dxa"/>
            <w:vAlign w:val="center"/>
          </w:tcPr>
          <w:p>
            <w:pPr>
              <w:snapToGrid w:val="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lang w:val="en-US" w:eastAsia="zh-CN"/>
              </w:rPr>
              <w:t>3</w:t>
            </w:r>
          </w:p>
        </w:tc>
        <w:tc>
          <w:tcPr>
            <w:tcW w:w="6305" w:type="dxa"/>
            <w:vAlign w:val="center"/>
          </w:tcPr>
          <w:p>
            <w:pPr>
              <w:snapToGrid w:val="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lang w:val="en-US" w:eastAsia="zh-CN"/>
              </w:rPr>
              <w:t>0.2%屈服力</w:t>
            </w:r>
          </w:p>
        </w:tc>
        <w:tc>
          <w:tcPr>
            <w:tcW w:w="1906" w:type="dxa"/>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21839-2019</w:t>
            </w:r>
          </w:p>
          <w:p>
            <w:pPr>
              <w:snapToGrid w:val="0"/>
              <w:jc w:val="center"/>
              <w:rPr>
                <w:rFonts w:hint="default" w:ascii="Times New Roman" w:hAnsi="Times New Roman" w:cs="Times New Roman"/>
                <w:color w:val="auto"/>
                <w:sz w:val="21"/>
                <w:szCs w:val="21"/>
              </w:rPr>
            </w:pPr>
            <w:r>
              <w:rPr>
                <w:rFonts w:hint="default" w:ascii="Times New Roman" w:hAnsi="Times New Roman" w:eastAsia="宋体" w:cs="Times New Roman"/>
                <w:color w:val="auto"/>
                <w:szCs w:val="21"/>
                <w:lang w:val="en-US" w:eastAsia="zh-CN"/>
              </w:rPr>
              <w:t>GB/T 5224-2023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7" w:type="dxa"/>
            <w:vAlign w:val="center"/>
          </w:tcPr>
          <w:p>
            <w:pPr>
              <w:snapToGrid w:val="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lang w:val="en-US" w:eastAsia="zh-CN"/>
              </w:rPr>
              <w:t>4</w:t>
            </w:r>
          </w:p>
        </w:tc>
        <w:tc>
          <w:tcPr>
            <w:tcW w:w="6305" w:type="dxa"/>
            <w:vAlign w:val="center"/>
          </w:tcPr>
          <w:p>
            <w:pPr>
              <w:snapToGrid w:val="0"/>
              <w:jc w:val="center"/>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color w:val="auto"/>
                <w:sz w:val="21"/>
                <w:szCs w:val="21"/>
                <w:lang w:eastAsia="zh-CN"/>
              </w:rPr>
              <w:t>最大力总延伸率（</w:t>
            </w:r>
            <w:r>
              <w:rPr>
                <w:rFonts w:hint="default" w:ascii="Times New Roman" w:hAnsi="Times New Roman" w:cs="Times New Roman"/>
                <w:color w:val="auto"/>
                <w:sz w:val="21"/>
                <w:szCs w:val="21"/>
              </w:rPr>
              <w:t>最大力总伸长率</w:t>
            </w:r>
            <w:r>
              <w:rPr>
                <w:rFonts w:hint="default" w:ascii="Times New Roman" w:hAnsi="Times New Roman" w:cs="Times New Roman"/>
                <w:color w:val="auto"/>
                <w:sz w:val="21"/>
                <w:szCs w:val="21"/>
                <w:lang w:eastAsia="zh-CN"/>
              </w:rPr>
              <w:t>）</w:t>
            </w:r>
          </w:p>
        </w:tc>
        <w:tc>
          <w:tcPr>
            <w:tcW w:w="1906" w:type="dxa"/>
            <w:vMerge w:val="restart"/>
            <w:vAlign w:val="center"/>
          </w:tcPr>
          <w:p>
            <w:pPr>
              <w:snapToGrid w:val="0"/>
              <w:jc w:val="center"/>
              <w:rPr>
                <w:rFonts w:hint="default" w:ascii="Times New Roman" w:hAnsi="Times New Roman" w:cs="Times New Roman"/>
                <w:color w:val="auto"/>
                <w:sz w:val="18"/>
                <w:szCs w:val="18"/>
              </w:rPr>
            </w:pPr>
            <w:r>
              <w:rPr>
                <w:rFonts w:hint="default" w:ascii="Times New Roman" w:hAnsi="Times New Roman" w:cs="Times New Roman"/>
                <w:color w:val="auto"/>
                <w:sz w:val="21"/>
                <w:szCs w:val="21"/>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7" w:type="dxa"/>
            <w:vAlign w:val="center"/>
          </w:tcPr>
          <w:p>
            <w:pPr>
              <w:snapToGrid w:val="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lang w:val="en-US" w:eastAsia="zh-CN"/>
              </w:rPr>
              <w:t>5</w:t>
            </w:r>
          </w:p>
        </w:tc>
        <w:tc>
          <w:tcPr>
            <w:tcW w:w="6305" w:type="dxa"/>
            <w:vAlign w:val="center"/>
          </w:tcPr>
          <w:p>
            <w:pPr>
              <w:snapToGrid w:val="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sz w:val="21"/>
                <w:szCs w:val="21"/>
                <w:lang w:val="en-US" w:eastAsia="zh-CN"/>
              </w:rPr>
              <w:t>应力</w:t>
            </w:r>
            <w:r>
              <w:rPr>
                <w:rFonts w:hint="default" w:ascii="Times New Roman" w:hAnsi="Times New Roman" w:cs="Times New Roman"/>
                <w:color w:val="auto"/>
                <w:sz w:val="21"/>
                <w:szCs w:val="21"/>
              </w:rPr>
              <w:t>松弛</w:t>
            </w:r>
            <w:r>
              <w:rPr>
                <w:rFonts w:hint="default" w:ascii="Times New Roman" w:hAnsi="Times New Roman" w:cs="Times New Roman"/>
                <w:color w:val="auto"/>
                <w:sz w:val="21"/>
                <w:szCs w:val="21"/>
                <w:lang w:val="en-US" w:eastAsia="zh-CN"/>
              </w:rPr>
              <w:t>性能</w:t>
            </w:r>
          </w:p>
        </w:tc>
        <w:tc>
          <w:tcPr>
            <w:tcW w:w="1906" w:type="dxa"/>
            <w:vMerge w:val="continue"/>
            <w:vAlign w:val="center"/>
          </w:tcPr>
          <w:p>
            <w:pPr>
              <w:snapToGrid w:val="0"/>
              <w:jc w:val="center"/>
              <w:rPr>
                <w:rFonts w:hint="default" w:ascii="Times New Roman" w:hAnsi="Times New Roman" w:cs="Times New Roman"/>
                <w:color w:val="auto"/>
                <w:sz w:val="18"/>
                <w:szCs w:val="18"/>
              </w:rPr>
            </w:pPr>
          </w:p>
        </w:tc>
      </w:tr>
    </w:tbl>
    <w:p>
      <w:pPr>
        <w:spacing w:line="50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表2  预应力混凝土用钢丝</w:t>
      </w:r>
    </w:p>
    <w:tbl>
      <w:tblPr>
        <w:tblStyle w:val="5"/>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6301"/>
        <w:gridCol w:w="1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blHeader/>
          <w:jc w:val="center"/>
        </w:trPr>
        <w:tc>
          <w:tcPr>
            <w:tcW w:w="959" w:type="dxa"/>
            <w:vMerge w:val="restart"/>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序号</w:t>
            </w:r>
          </w:p>
        </w:tc>
        <w:tc>
          <w:tcPr>
            <w:tcW w:w="6301" w:type="dxa"/>
            <w:vMerge w:val="restart"/>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检验项目</w:t>
            </w:r>
          </w:p>
        </w:tc>
        <w:tc>
          <w:tcPr>
            <w:tcW w:w="1907" w:type="dxa"/>
            <w:vMerge w:val="restart"/>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blHeader/>
          <w:jc w:val="center"/>
        </w:trPr>
        <w:tc>
          <w:tcPr>
            <w:tcW w:w="959" w:type="dxa"/>
            <w:vMerge w:val="continue"/>
            <w:vAlign w:val="center"/>
          </w:tcPr>
          <w:p>
            <w:pPr>
              <w:snapToGrid w:val="0"/>
              <w:ind w:firstLine="420"/>
              <w:jc w:val="center"/>
              <w:rPr>
                <w:rFonts w:hint="default" w:ascii="Times New Roman" w:hAnsi="Times New Roman" w:eastAsia="宋体" w:cs="Times New Roman"/>
                <w:color w:val="auto"/>
                <w:sz w:val="21"/>
                <w:szCs w:val="21"/>
              </w:rPr>
            </w:pPr>
          </w:p>
        </w:tc>
        <w:tc>
          <w:tcPr>
            <w:tcW w:w="6301" w:type="dxa"/>
            <w:vMerge w:val="continue"/>
            <w:vAlign w:val="center"/>
          </w:tcPr>
          <w:p>
            <w:pPr>
              <w:snapToGrid w:val="0"/>
              <w:ind w:firstLine="420"/>
              <w:jc w:val="center"/>
              <w:rPr>
                <w:rFonts w:hint="default" w:ascii="Times New Roman" w:hAnsi="Times New Roman" w:eastAsia="宋体" w:cs="Times New Roman"/>
                <w:color w:val="auto"/>
                <w:sz w:val="21"/>
                <w:szCs w:val="21"/>
              </w:rPr>
            </w:pPr>
          </w:p>
        </w:tc>
        <w:tc>
          <w:tcPr>
            <w:tcW w:w="1907" w:type="dxa"/>
            <w:vMerge w:val="continue"/>
            <w:vAlign w:val="center"/>
          </w:tcPr>
          <w:p>
            <w:pPr>
              <w:snapToGrid w:val="0"/>
              <w:ind w:firstLine="420"/>
              <w:jc w:val="center"/>
              <w:rPr>
                <w:rFonts w:hint="default" w:ascii="Times New Roman" w:hAnsi="Times New Roman"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p>
        </w:tc>
        <w:tc>
          <w:tcPr>
            <w:tcW w:w="6301" w:type="dxa"/>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公称</w:t>
            </w:r>
            <w:r>
              <w:rPr>
                <w:rFonts w:hint="default" w:ascii="Times New Roman" w:hAnsi="Times New Roman" w:eastAsia="宋体" w:cs="Times New Roman"/>
                <w:color w:val="auto"/>
                <w:sz w:val="21"/>
                <w:szCs w:val="21"/>
              </w:rPr>
              <w:t>抗拉强度</w:t>
            </w:r>
          </w:p>
        </w:tc>
        <w:tc>
          <w:tcPr>
            <w:tcW w:w="1907" w:type="dxa"/>
            <w:vMerge w:val="restart"/>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pPr>
              <w:snapToGrid w:val="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6301" w:type="dxa"/>
            <w:vAlign w:val="center"/>
          </w:tcPr>
          <w:p>
            <w:pPr>
              <w:snapToGrid w:val="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最大力</w:t>
            </w:r>
          </w:p>
        </w:tc>
        <w:tc>
          <w:tcPr>
            <w:tcW w:w="1907" w:type="dxa"/>
            <w:vMerge w:val="continue"/>
            <w:vAlign w:val="center"/>
          </w:tcPr>
          <w:p>
            <w:pPr>
              <w:snapToGrid w:val="0"/>
              <w:jc w:val="center"/>
              <w:rPr>
                <w:rFonts w:hint="default" w:ascii="Times New Roman" w:hAnsi="Times New Roman"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pPr>
              <w:snapToGrid w:val="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w:t>
            </w:r>
          </w:p>
        </w:tc>
        <w:tc>
          <w:tcPr>
            <w:tcW w:w="6301" w:type="dxa"/>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0.2%屈服力</w:t>
            </w:r>
          </w:p>
        </w:tc>
        <w:tc>
          <w:tcPr>
            <w:tcW w:w="1907" w:type="dxa"/>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21839-2019</w:t>
            </w:r>
          </w:p>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zh-TW" w:eastAsia="zh-TW"/>
              </w:rPr>
              <w:t>5223</w:t>
            </w:r>
            <w:r>
              <w:rPr>
                <w:rFonts w:hint="default" w:ascii="Times New Roman" w:hAnsi="Times New Roman" w:eastAsia="宋体" w:cs="Times New Roman"/>
                <w:color w:val="auto"/>
                <w:sz w:val="21"/>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pPr>
              <w:snapToGrid w:val="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4</w:t>
            </w:r>
          </w:p>
        </w:tc>
        <w:tc>
          <w:tcPr>
            <w:tcW w:w="6301" w:type="dxa"/>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最大力总伸长率</w:t>
            </w:r>
          </w:p>
        </w:tc>
        <w:tc>
          <w:tcPr>
            <w:tcW w:w="1907" w:type="dxa"/>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pPr>
              <w:snapToGrid w:val="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w:t>
            </w:r>
          </w:p>
        </w:tc>
        <w:tc>
          <w:tcPr>
            <w:tcW w:w="6301" w:type="dxa"/>
            <w:vAlign w:val="center"/>
          </w:tcPr>
          <w:p>
            <w:pPr>
              <w:snapToGrid w:val="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断面收缩率</w:t>
            </w:r>
            <w:r>
              <w:rPr>
                <w:rFonts w:hint="default" w:ascii="Times New Roman" w:hAnsi="Times New Roman" w:eastAsia="宋体" w:cs="Times New Roman"/>
                <w:color w:val="auto"/>
                <w:sz w:val="21"/>
                <w:szCs w:val="21"/>
                <w:vertAlign w:val="superscript"/>
                <w:lang w:val="en-US" w:eastAsia="zh-CN"/>
              </w:rPr>
              <w:t>*</w:t>
            </w:r>
          </w:p>
        </w:tc>
        <w:tc>
          <w:tcPr>
            <w:tcW w:w="1907" w:type="dxa"/>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228.1-20</w:t>
            </w:r>
            <w:r>
              <w:rPr>
                <w:rFonts w:hint="default" w:ascii="Times New Roman" w:hAnsi="Times New Roman" w:eastAsia="宋体" w:cs="Times New Roman"/>
                <w:color w:val="auto"/>
                <w:sz w:val="21"/>
                <w:szCs w:val="21"/>
                <w:lang w:val="en-US" w:eastAsia="zh-CN"/>
              </w:rPr>
              <w:t>2</w:t>
            </w:r>
            <w:r>
              <w:rPr>
                <w:rFonts w:hint="default" w:ascii="Times New Roman" w:hAnsi="Times New Roman" w:eastAsia="宋体" w:cs="Times New Roman"/>
                <w:color w:val="auto"/>
                <w:sz w:val="21"/>
                <w:szCs w:val="21"/>
              </w:rPr>
              <w:t>1</w:t>
            </w:r>
          </w:p>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zh-TW" w:eastAsia="zh-TW"/>
              </w:rPr>
              <w:t>5223</w:t>
            </w:r>
            <w:r>
              <w:rPr>
                <w:rFonts w:hint="default" w:ascii="Times New Roman" w:hAnsi="Times New Roman" w:eastAsia="宋体" w:cs="Times New Roman"/>
                <w:color w:val="auto"/>
                <w:sz w:val="21"/>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pPr>
              <w:snapToGrid w:val="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6</w:t>
            </w:r>
          </w:p>
        </w:tc>
        <w:tc>
          <w:tcPr>
            <w:tcW w:w="6301" w:type="dxa"/>
            <w:vAlign w:val="center"/>
          </w:tcPr>
          <w:p>
            <w:pPr>
              <w:snapToGrid w:val="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应力</w:t>
            </w:r>
            <w:r>
              <w:rPr>
                <w:rFonts w:hint="default" w:ascii="Times New Roman" w:hAnsi="Times New Roman" w:eastAsia="宋体" w:cs="Times New Roman"/>
                <w:color w:val="auto"/>
                <w:sz w:val="21"/>
                <w:szCs w:val="21"/>
              </w:rPr>
              <w:t>松弛</w:t>
            </w:r>
            <w:r>
              <w:rPr>
                <w:rFonts w:hint="default" w:ascii="Times New Roman" w:hAnsi="Times New Roman" w:eastAsia="宋体" w:cs="Times New Roman"/>
                <w:color w:val="auto"/>
                <w:sz w:val="21"/>
                <w:szCs w:val="21"/>
                <w:lang w:val="en-US" w:eastAsia="zh-CN"/>
              </w:rPr>
              <w:t>性能</w:t>
            </w:r>
          </w:p>
        </w:tc>
        <w:tc>
          <w:tcPr>
            <w:tcW w:w="1907" w:type="dxa"/>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pPr>
              <w:snapToGrid w:val="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7</w:t>
            </w:r>
          </w:p>
        </w:tc>
        <w:tc>
          <w:tcPr>
            <w:tcW w:w="6301" w:type="dxa"/>
            <w:vAlign w:val="center"/>
          </w:tcPr>
          <w:p>
            <w:pPr>
              <w:snapToGrid w:val="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反复弯曲</w:t>
            </w:r>
            <w:r>
              <w:rPr>
                <w:rFonts w:hint="default" w:ascii="Times New Roman" w:hAnsi="Times New Roman" w:eastAsia="宋体" w:cs="Times New Roman"/>
                <w:color w:val="auto"/>
                <w:sz w:val="21"/>
                <w:szCs w:val="21"/>
                <w:lang w:val="en-US" w:eastAsia="zh-CN"/>
              </w:rPr>
              <w:t>性能</w:t>
            </w:r>
          </w:p>
        </w:tc>
        <w:tc>
          <w:tcPr>
            <w:tcW w:w="1907" w:type="dxa"/>
            <w:vMerge w:val="restart"/>
            <w:vAlign w:val="center"/>
          </w:tcPr>
          <w:p>
            <w:pPr>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pPr>
              <w:snapToGrid w:val="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8</w:t>
            </w:r>
          </w:p>
        </w:tc>
        <w:tc>
          <w:tcPr>
            <w:tcW w:w="6301" w:type="dxa"/>
            <w:vAlign w:val="center"/>
          </w:tcPr>
          <w:p>
            <w:pPr>
              <w:snapToGrid w:val="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扭转</w:t>
            </w:r>
            <w:r>
              <w:rPr>
                <w:rFonts w:hint="default" w:ascii="Times New Roman" w:hAnsi="Times New Roman" w:eastAsia="宋体" w:cs="Times New Roman"/>
                <w:color w:val="auto"/>
                <w:sz w:val="21"/>
                <w:szCs w:val="21"/>
                <w:vertAlign w:val="superscript"/>
                <w:lang w:val="en-US" w:eastAsia="zh-CN"/>
              </w:rPr>
              <w:t>*</w:t>
            </w:r>
          </w:p>
        </w:tc>
        <w:tc>
          <w:tcPr>
            <w:tcW w:w="1907" w:type="dxa"/>
            <w:vMerge w:val="continue"/>
            <w:vAlign w:val="center"/>
          </w:tcPr>
          <w:p>
            <w:pPr>
              <w:snapToGrid w:val="0"/>
              <w:jc w:val="center"/>
              <w:rPr>
                <w:rFonts w:hint="default" w:ascii="Times New Roman" w:hAnsi="Times New Roman" w:eastAsia="宋体"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9167" w:type="dxa"/>
            <w:gridSpan w:val="3"/>
            <w:vAlign w:val="center"/>
          </w:tcPr>
          <w:p>
            <w:pPr>
              <w:snapToGrid w:val="0"/>
              <w:jc w:val="left"/>
              <w:rPr>
                <w:rFonts w:hint="default" w:ascii="Times New Roman" w:hAnsi="Times New Roman" w:eastAsia="宋体" w:cs="Times New Roman"/>
                <w:color w:val="auto"/>
                <w:sz w:val="21"/>
                <w:szCs w:val="21"/>
              </w:rPr>
            </w:pPr>
            <w:r>
              <w:rPr>
                <w:rFonts w:hint="default" w:ascii="Times New Roman" w:hAnsi="Times New Roman" w:eastAsia="宋体" w:cs="Times New Roman"/>
                <w:bCs/>
                <w:color w:val="auto"/>
                <w:kern w:val="2"/>
                <w:sz w:val="21"/>
                <w:szCs w:val="21"/>
                <w:lang w:val="en-US" w:eastAsia="zh-CN"/>
              </w:rPr>
              <w:t>*：断面收缩率、扭转检验适用于冷拉钢丝，冷拉钢丝不检最大力总伸长率、反复弯曲性能。</w:t>
            </w:r>
          </w:p>
        </w:tc>
      </w:tr>
    </w:tbl>
    <w:p>
      <w:pPr>
        <w:adjustRightInd w:val="0"/>
        <w:snapToGrid w:val="0"/>
        <w:spacing w:line="440" w:lineRule="exact"/>
        <w:ind w:firstLine="420" w:firstLineChars="200"/>
        <w:rPr>
          <w:rFonts w:hint="default" w:ascii="Times New Roman" w:hAnsi="Times New Roman" w:cs="Times New Roman"/>
          <w:color w:val="auto"/>
        </w:rPr>
      </w:pPr>
      <w:r>
        <w:rPr>
          <w:rFonts w:hint="default" w:ascii="Times New Roman" w:hAnsi="Times New Roman" w:cs="Times New Roman"/>
          <w:color w:val="auto"/>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凡是注日期的文件，其随后所有的修改单（不包括勘误的内容）或修订版不适用于本细则。凡是不注日期的文件，其最新版本适用于本细则。</w:t>
      </w:r>
    </w:p>
    <w:p>
      <w:pPr>
        <w:snapToGrid w:val="0"/>
        <w:spacing w:line="440" w:lineRule="exact"/>
        <w:rPr>
          <w:rFonts w:hint="default" w:ascii="Times New Roman" w:hAnsi="Times New Roman" w:cs="Times New Roman"/>
          <w:color w:val="auto"/>
          <w:szCs w:val="21"/>
        </w:rPr>
      </w:pPr>
    </w:p>
    <w:p>
      <w:pPr>
        <w:spacing w:line="440" w:lineRule="exact"/>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3 判定规则</w:t>
      </w:r>
    </w:p>
    <w:p>
      <w:pPr>
        <w:snapToGrid w:val="0"/>
        <w:spacing w:line="440" w:lineRule="exact"/>
        <w:rPr>
          <w:rFonts w:hint="default" w:ascii="Times New Roman" w:hAnsi="Times New Roman" w:cs="Times New Roman"/>
          <w:color w:val="auto"/>
          <w:szCs w:val="21"/>
        </w:rPr>
      </w:pPr>
      <w:r>
        <w:rPr>
          <w:rFonts w:hint="default" w:ascii="Times New Roman" w:hAnsi="Times New Roman" w:cs="Times New Roman"/>
          <w:color w:val="auto"/>
          <w:szCs w:val="21"/>
        </w:rPr>
        <w:t>3.1依据标准</w:t>
      </w:r>
    </w:p>
    <w:p>
      <w:pPr>
        <w:snapToGrid w:val="0"/>
        <w:spacing w:line="500" w:lineRule="exact"/>
        <w:ind w:firstLine="420" w:firstLineChars="200"/>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GB/T 5224-2014  预应力混凝土用钢绞线</w:t>
      </w:r>
    </w:p>
    <w:p>
      <w:pPr>
        <w:snapToGrid w:val="0"/>
        <w:spacing w:line="500" w:lineRule="exact"/>
        <w:ind w:firstLine="420" w:firstLineChars="200"/>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GB/T 5224-2023  预应力混凝土用钢绞线</w:t>
      </w:r>
    </w:p>
    <w:p>
      <w:pPr>
        <w:snapToGrid w:val="0"/>
        <w:spacing w:line="500" w:lineRule="exact"/>
        <w:ind w:firstLine="420" w:firstLineChars="200"/>
        <w:rPr>
          <w:rFonts w:hint="default" w:ascii="Times New Roman" w:hAnsi="Times New Roman" w:eastAsia="宋体" w:cs="Times New Roman"/>
          <w:color w:val="auto"/>
          <w:szCs w:val="21"/>
        </w:rPr>
      </w:pPr>
      <w:bookmarkStart w:id="0" w:name="bookmark26"/>
      <w:bookmarkStart w:id="1" w:name="bookmark25"/>
      <w:bookmarkStart w:id="2" w:name="bookmark24"/>
      <w:r>
        <w:rPr>
          <w:rFonts w:hint="default" w:ascii="Times New Roman" w:hAnsi="Times New Roman" w:eastAsia="宋体" w:cs="Times New Roman"/>
          <w:color w:val="auto"/>
          <w:szCs w:val="21"/>
        </w:rPr>
        <w:t xml:space="preserve">GB/T </w:t>
      </w:r>
      <w:r>
        <w:rPr>
          <w:rFonts w:hint="default" w:ascii="Times New Roman" w:hAnsi="Times New Roman" w:eastAsia="宋体" w:cs="Times New Roman"/>
          <w:color w:val="auto"/>
          <w:szCs w:val="21"/>
          <w:lang w:val="zh-TW" w:eastAsia="zh-TW"/>
        </w:rPr>
        <w:t>5223</w:t>
      </w:r>
      <w:r>
        <w:rPr>
          <w:rFonts w:hint="default" w:ascii="Times New Roman" w:hAnsi="Times New Roman" w:eastAsia="宋体" w:cs="Times New Roman"/>
          <w:color w:val="auto"/>
          <w:szCs w:val="21"/>
        </w:rPr>
        <w:t xml:space="preserve">-2014  </w:t>
      </w:r>
      <w:r>
        <w:rPr>
          <w:rFonts w:hint="default" w:ascii="Times New Roman" w:hAnsi="Times New Roman" w:eastAsia="宋体" w:cs="Times New Roman"/>
          <w:color w:val="auto"/>
          <w:szCs w:val="21"/>
          <w:lang w:val="zh-TW" w:eastAsia="zh-TW"/>
        </w:rPr>
        <w:t>预应力混凝土用钢丝</w:t>
      </w:r>
      <w:bookmarkEnd w:id="0"/>
      <w:bookmarkEnd w:id="1"/>
      <w:bookmarkEnd w:id="2"/>
    </w:p>
    <w:p>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现行有效的企业标准、团体标准、地方标准及产品明示质量要求</w:t>
      </w:r>
    </w:p>
    <w:p>
      <w:pPr>
        <w:snapToGrid w:val="0"/>
        <w:spacing w:line="440" w:lineRule="exact"/>
        <w:rPr>
          <w:rFonts w:hint="default" w:ascii="Times New Roman" w:hAnsi="Times New Roman" w:cs="Times New Roman"/>
          <w:color w:val="auto"/>
          <w:szCs w:val="21"/>
        </w:rPr>
      </w:pPr>
      <w:r>
        <w:rPr>
          <w:rFonts w:hint="default" w:ascii="Times New Roman" w:hAnsi="Times New Roman" w:cs="Times New Roman"/>
          <w:color w:val="auto"/>
          <w:szCs w:val="21"/>
        </w:rPr>
        <w:t>3.2判定原则</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eastAsia="宋体" w:cs="Times New Roman"/>
          <w:color w:val="FF0000"/>
          <w:szCs w:val="21"/>
          <w:lang w:val="en-US" w:eastAsia="en-US"/>
        </w:rPr>
      </w:pPr>
      <w:r>
        <w:rPr>
          <w:rFonts w:hint="default" w:ascii="Times New Roman" w:hAnsi="Times New Roman" w:eastAsia="宋体" w:cs="Times New Roman"/>
          <w:color w:val="auto"/>
          <w:szCs w:val="21"/>
          <w:lang w:val="en-US" w:eastAsia="en-US"/>
        </w:rPr>
        <w:t>经检验，检验项目全部合格，</w:t>
      </w:r>
      <w:r>
        <w:rPr>
          <w:rFonts w:hint="default" w:ascii="Times New Roman" w:hAnsi="Times New Roman" w:cs="Times New Roman"/>
          <w:color w:val="auto"/>
          <w:szCs w:val="21"/>
        </w:rPr>
        <w:t>判定为被抽查产品所检项目未发现不合格</w:t>
      </w:r>
      <w:r>
        <w:rPr>
          <w:rFonts w:hint="default" w:ascii="Times New Roman" w:hAnsi="Times New Roman" w:eastAsia="宋体" w:cs="Times New Roman"/>
          <w:color w:val="auto"/>
          <w:szCs w:val="21"/>
          <w:lang w:val="en-US" w:eastAsia="en-US"/>
        </w:rPr>
        <w:t>；检验项目中任一项或一项以上不合格，判定为被抽查产品不合格。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snapToGrid w:val="0"/>
        <w:spacing w:line="440" w:lineRule="exact"/>
        <w:rPr>
          <w:rFonts w:hint="default" w:ascii="Times New Roman" w:hAnsi="Times New Roman" w:cs="Times New Roman"/>
          <w:color w:val="000000"/>
          <w:szCs w:val="21"/>
        </w:rPr>
      </w:pPr>
      <w:r>
        <w:rPr>
          <w:rFonts w:hint="default" w:ascii="Times New Roman" w:hAnsi="Times New Roman" w:eastAsia="黑体" w:cs="Times New Roman"/>
          <w:color w:val="000000"/>
          <w:szCs w:val="21"/>
        </w:rPr>
        <w:t>4 附则</w:t>
      </w:r>
    </w:p>
    <w:p>
      <w:pPr>
        <w:spacing w:line="440" w:lineRule="exact"/>
        <w:ind w:firstLine="420" w:firstLineChars="200"/>
        <w:rPr>
          <w:rFonts w:hint="default" w:ascii="Times New Roman" w:hAnsi="Times New Roman" w:eastAsia="黑体" w:cs="Times New Roman"/>
          <w:color w:val="000000"/>
          <w:szCs w:val="21"/>
        </w:rPr>
      </w:pPr>
      <w:r>
        <w:rPr>
          <w:rFonts w:hint="default" w:ascii="Times New Roman" w:hAnsi="Times New Roman" w:cs="Times New Roman"/>
          <w:color w:val="000000"/>
          <w:szCs w:val="21"/>
        </w:rPr>
        <w:t>本细则代替《贵州省市场监管局关于发布2024年版防爆灯具等142种产品贵州省产品质量监督抽查实施细则的公告》</w:t>
      </w:r>
      <w:r>
        <w:rPr>
          <w:rFonts w:hint="default" w:ascii="Times New Roman" w:hAnsi="Times New Roman" w:cs="Times New Roman"/>
          <w:color w:val="000000"/>
        </w:rPr>
        <w:t>中的</w:t>
      </w:r>
      <w:r>
        <w:rPr>
          <w:rFonts w:hint="default" w:ascii="Times New Roman" w:hAnsi="Times New Roman" w:cs="Times New Roman"/>
          <w:color w:val="000000"/>
          <w:szCs w:val="21"/>
        </w:rPr>
        <w:t>《贵州省预应力混凝土用钢材产品质量监督抽查实施细则（202</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年版）》。</w:t>
      </w:r>
    </w:p>
    <w:bookmarkEnd w:id="3"/>
    <w:sectPr>
      <w:pgSz w:w="11906" w:h="16838"/>
      <w:pgMar w:top="1644" w:right="1474" w:bottom="1644"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386D4F26"/>
    <w:rsid w:val="00005D50"/>
    <w:rsid w:val="00A73D03"/>
    <w:rsid w:val="00E13435"/>
    <w:rsid w:val="04B05928"/>
    <w:rsid w:val="0A11010C"/>
    <w:rsid w:val="0F8E10BD"/>
    <w:rsid w:val="101104C6"/>
    <w:rsid w:val="10845CEE"/>
    <w:rsid w:val="22351588"/>
    <w:rsid w:val="28031C5D"/>
    <w:rsid w:val="31017915"/>
    <w:rsid w:val="315B256F"/>
    <w:rsid w:val="386D4F26"/>
    <w:rsid w:val="3FA35CAE"/>
    <w:rsid w:val="431807FC"/>
    <w:rsid w:val="48215BF3"/>
    <w:rsid w:val="4890390E"/>
    <w:rsid w:val="4BC37414"/>
    <w:rsid w:val="4D513062"/>
    <w:rsid w:val="4FB912D3"/>
    <w:rsid w:val="5D710CE8"/>
    <w:rsid w:val="5D7E0128"/>
    <w:rsid w:val="6A370FC1"/>
    <w:rsid w:val="6A697354"/>
    <w:rsid w:val="7271367C"/>
    <w:rsid w:val="752D37AA"/>
    <w:rsid w:val="78BF5E6B"/>
    <w:rsid w:val="7B821ACC"/>
    <w:rsid w:val="FA57A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kern w:val="0"/>
      <w:sz w:val="20"/>
      <w:szCs w:val="20"/>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962</Words>
  <Characters>1180</Characters>
  <Lines>8</Lines>
  <Paragraphs>2</Paragraphs>
  <TotalTime>3</TotalTime>
  <ScaleCrop>false</ScaleCrop>
  <LinksUpToDate>false</LinksUpToDate>
  <CharactersWithSpaces>1214</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2020-06-03T18:41:00Z</dcterms:created>
  <dc:creator>青鸟</dc:creator>
  <cp:lastModifiedBy>ysgz</cp:lastModifiedBy>
  <cp:lastPrinted>2023-03-01T22:15:00Z</cp:lastPrinted>
  <dcterms:modified xsi:type="dcterms:W3CDTF">2025-04-14T09:26:36Z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82EEB82A2028470884138B41985532BD</vt:lpwstr>
  </property>
  <property fmtid="{D5CDD505-2E9C-101B-9397-08002B2CF9AE}" pid="4" name="KSOTemplateDocerSaveRecord">
    <vt:lpwstr>eyJoZGlkIjoiYmFhNGU0ZTc4M2RlYmEzMjhkYTljYTFhNDE0M2FkZmIiLCJ1c2VySWQiOiI0MjUxMDQ1MjMifQ==</vt:lpwstr>
  </property>
</Properties>
</file>