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贵州省食品接触用塑料容器、工具</w:t>
      </w:r>
      <w:r>
        <w:rPr>
          <w:rFonts w:hint="eastAsia" w:ascii="方正小标宋_GBK" w:hAnsi="方正小标宋_GBK" w:eastAsia="方正小标宋_GBK" w:cs="方正小标宋_GBK"/>
          <w:color w:val="000000"/>
          <w:sz w:val="32"/>
          <w:szCs w:val="32"/>
          <w:lang w:val="en-US" w:eastAsia="zh-CN"/>
        </w:rPr>
        <w:t>等</w:t>
      </w:r>
      <w:r>
        <w:rPr>
          <w:rFonts w:hint="eastAsia" w:ascii="方正小标宋_GBK" w:hAnsi="方正小标宋_GBK" w:eastAsia="方正小标宋_GBK" w:cs="方正小标宋_GBK"/>
          <w:color w:val="000000"/>
          <w:sz w:val="32"/>
          <w:szCs w:val="32"/>
        </w:rPr>
        <w:t>产品</w:t>
      </w:r>
    </w:p>
    <w:p>
      <w:pPr>
        <w:adjustRightInd w:val="0"/>
        <w:snapToGrid w:val="0"/>
        <w:spacing w:line="594" w:lineRule="exact"/>
        <w:jc w:val="center"/>
        <w:rPr>
          <w:rFonts w:hint="eastAsia" w:eastAsia="方正小标宋简体" w:cs="方正仿宋简体"/>
          <w:color w:val="000000"/>
          <w:sz w:val="32"/>
          <w:szCs w:val="32"/>
        </w:rPr>
      </w:pPr>
      <w:r>
        <w:rPr>
          <w:rFonts w:hint="eastAsia" w:ascii="方正小标宋_GBK" w:hAnsi="方正小标宋_GBK" w:eastAsia="方正小标宋_GBK" w:cs="方正小标宋_GBK"/>
          <w:color w:val="000000"/>
          <w:sz w:val="32"/>
          <w:szCs w:val="32"/>
        </w:rPr>
        <w:t>质量监督抽查实施细则</w:t>
      </w:r>
    </w:p>
    <w:p>
      <w:pPr>
        <w:adjustRightInd w:val="0"/>
        <w:snapToGrid w:val="0"/>
        <w:spacing w:line="440" w:lineRule="exact"/>
        <w:jc w:val="center"/>
        <w:rPr>
          <w:rFonts w:eastAsia="楷体_GB2312"/>
          <w:color w:val="000000"/>
          <w:sz w:val="32"/>
          <w:szCs w:val="32"/>
        </w:rPr>
      </w:pPr>
      <w:r>
        <w:rPr>
          <w:rFonts w:hint="eastAsia" w:ascii="楷体_GB2312" w:hAnsi="楷体_GB2312" w:eastAsia="楷体_GB2312" w:cs="楷体_GB2312"/>
          <w:color w:val="000000"/>
          <w:sz w:val="32"/>
          <w:szCs w:val="32"/>
        </w:rPr>
        <w:t>（2025年版）</w:t>
      </w:r>
    </w:p>
    <w:p>
      <w:pPr>
        <w:adjustRightInd w:val="0"/>
        <w:snapToGrid w:val="0"/>
        <w:spacing w:line="440" w:lineRule="exact"/>
        <w:outlineLvl w:val="1"/>
        <w:rPr>
          <w:rFonts w:eastAsia="黑体"/>
          <w:szCs w:val="21"/>
        </w:rPr>
      </w:pPr>
      <w:r>
        <w:rPr>
          <w:rFonts w:eastAsia="黑体"/>
          <w:szCs w:val="21"/>
        </w:rPr>
        <w:t>1 抽样方法</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以随机抽样的方式在被抽样生产者、销售者的待销产品中抽取。</w:t>
      </w:r>
    </w:p>
    <w:p>
      <w:pPr>
        <w:adjustRightInd w:val="0"/>
        <w:snapToGrid w:val="0"/>
        <w:spacing w:line="440" w:lineRule="exact"/>
        <w:ind w:firstLine="420" w:firstLineChars="200"/>
        <w:outlineLvl w:val="1"/>
        <w:rPr>
          <w:rFonts w:hint="default" w:ascii="Times New Roman" w:hAnsi="Times New Roman" w:cs="Times New Roman"/>
          <w:szCs w:val="21"/>
        </w:rPr>
      </w:pPr>
      <w:r>
        <w:rPr>
          <w:rFonts w:hint="default" w:ascii="Times New Roman" w:hAnsi="Times New Roman" w:cs="Times New Roman"/>
          <w:szCs w:val="21"/>
        </w:rPr>
        <w:t>随机数一般可使用随机数表等方法产生。</w:t>
      </w:r>
    </w:p>
    <w:p>
      <w:pPr>
        <w:adjustRightInd w:val="0"/>
        <w:snapToGrid w:val="0"/>
        <w:spacing w:line="440" w:lineRule="exact"/>
        <w:ind w:firstLine="3570" w:firstLineChars="1700"/>
        <w:outlineLvl w:val="1"/>
        <w:rPr>
          <w:rFonts w:hint="default" w:ascii="Times New Roman" w:hAnsi="Times New Roman" w:cs="Times New Roman"/>
          <w:szCs w:val="21"/>
        </w:rPr>
      </w:pPr>
      <w:r>
        <w:rPr>
          <w:rFonts w:hint="default" w:ascii="Times New Roman" w:hAnsi="Times New Roman" w:cs="Times New Roman"/>
          <w:szCs w:val="21"/>
        </w:rPr>
        <w:t>表1   抽样数量</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2173"/>
        <w:gridCol w:w="2883"/>
        <w:gridCol w:w="2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blHeader/>
          <w:jc w:val="center"/>
        </w:trPr>
        <w:tc>
          <w:tcPr>
            <w:tcW w:w="837" w:type="dxa"/>
            <w:noWrap w:val="0"/>
            <w:vAlign w:val="bottom"/>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序号</w:t>
            </w:r>
          </w:p>
        </w:tc>
        <w:tc>
          <w:tcPr>
            <w:tcW w:w="2173" w:type="dxa"/>
            <w:noWrap w:val="0"/>
            <w:vAlign w:val="bottom"/>
          </w:tcPr>
          <w:p>
            <w:pPr>
              <w:keepNext w:val="0"/>
              <w:keepLines w:val="0"/>
              <w:suppressLineNumbers w:val="0"/>
              <w:snapToGrid w:val="0"/>
              <w:spacing w:before="0" w:beforeAutospacing="0" w:after="0" w:afterAutospacing="0" w:line="360" w:lineRule="auto"/>
              <w:ind w:left="0" w:right="0" w:firstLine="630" w:firstLineChars="300"/>
              <w:jc w:val="both"/>
              <w:rPr>
                <w:rFonts w:hint="default" w:ascii="Times New Roman" w:hAnsi="Times New Roman" w:cs="Times New Roman"/>
                <w:szCs w:val="21"/>
              </w:rPr>
            </w:pPr>
            <w:r>
              <w:rPr>
                <w:rFonts w:hint="default" w:ascii="Times New Roman" w:hAnsi="Times New Roman" w:cs="Times New Roman"/>
                <w:szCs w:val="21"/>
              </w:rPr>
              <w:t>产品名称</w:t>
            </w:r>
          </w:p>
        </w:tc>
        <w:tc>
          <w:tcPr>
            <w:tcW w:w="2883" w:type="dxa"/>
            <w:noWrap w:val="0"/>
            <w:vAlign w:val="bottom"/>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检验数量</w:t>
            </w:r>
          </w:p>
        </w:tc>
        <w:tc>
          <w:tcPr>
            <w:tcW w:w="2604" w:type="dxa"/>
            <w:noWrap w:val="0"/>
            <w:vAlign w:val="bottom"/>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3" w:hRule="exact"/>
          <w:tblHeader/>
          <w:jc w:val="center"/>
        </w:trPr>
        <w:tc>
          <w:tcPr>
            <w:tcW w:w="837" w:type="dxa"/>
            <w:noWrap w:val="0"/>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1</w:t>
            </w:r>
          </w:p>
        </w:tc>
        <w:tc>
          <w:tcPr>
            <w:tcW w:w="2173" w:type="dxa"/>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聚碳酸酯（PC）饮用水罐</w:t>
            </w:r>
          </w:p>
        </w:tc>
        <w:tc>
          <w:tcPr>
            <w:tcW w:w="2883" w:type="dxa"/>
            <w:noWrap w:val="0"/>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5个（配同样数量的盖）</w:t>
            </w:r>
          </w:p>
        </w:tc>
        <w:tc>
          <w:tcPr>
            <w:tcW w:w="2604" w:type="dxa"/>
            <w:noWrap w:val="0"/>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5个（配同样数量的盖）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2" w:hRule="exact"/>
          <w:tblHeader/>
          <w:jc w:val="center"/>
        </w:trPr>
        <w:tc>
          <w:tcPr>
            <w:tcW w:w="837" w:type="dxa"/>
            <w:noWrap w:val="0"/>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2</w:t>
            </w:r>
          </w:p>
        </w:tc>
        <w:tc>
          <w:tcPr>
            <w:tcW w:w="2173" w:type="dxa"/>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cs="Times New Roman"/>
                <w:kern w:val="0"/>
                <w:szCs w:val="21"/>
              </w:rPr>
            </w:pPr>
            <w:r>
              <w:rPr>
                <w:rFonts w:hint="default" w:ascii="Times New Roman" w:hAnsi="Times New Roman" w:cs="Times New Roman"/>
                <w:kern w:val="0"/>
                <w:szCs w:val="21"/>
              </w:rPr>
              <w:t>瓶坯</w:t>
            </w:r>
          </w:p>
        </w:tc>
        <w:tc>
          <w:tcPr>
            <w:tcW w:w="2883" w:type="dxa"/>
            <w:noWrap w:val="0"/>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20个</w:t>
            </w:r>
          </w:p>
        </w:tc>
        <w:tc>
          <w:tcPr>
            <w:tcW w:w="2604" w:type="dxa"/>
            <w:noWrap w:val="0"/>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20个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2" w:hRule="exact"/>
          <w:tblHeader/>
          <w:jc w:val="center"/>
        </w:trPr>
        <w:tc>
          <w:tcPr>
            <w:tcW w:w="837" w:type="dxa"/>
            <w:noWrap w:val="0"/>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3</w:t>
            </w:r>
          </w:p>
        </w:tc>
        <w:tc>
          <w:tcPr>
            <w:tcW w:w="2173" w:type="dxa"/>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cs="Times New Roman"/>
                <w:kern w:val="0"/>
                <w:szCs w:val="21"/>
              </w:rPr>
            </w:pPr>
            <w:r>
              <w:rPr>
                <w:rFonts w:hint="default" w:ascii="Times New Roman" w:hAnsi="Times New Roman" w:cs="Times New Roman"/>
                <w:kern w:val="0"/>
                <w:szCs w:val="21"/>
              </w:rPr>
              <w:t>PET食品瓶</w:t>
            </w:r>
          </w:p>
        </w:tc>
        <w:tc>
          <w:tcPr>
            <w:tcW w:w="2883"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cs="Times New Roman"/>
                <w:szCs w:val="21"/>
              </w:rPr>
            </w:pPr>
            <w:r>
              <w:rPr>
                <w:rFonts w:hint="default" w:ascii="Times New Roman" w:hAnsi="Times New Roman" w:cs="Times New Roman"/>
                <w:szCs w:val="21"/>
              </w:rPr>
              <w:t>V＜200 ml，20个；</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cs="Times New Roman"/>
                <w:szCs w:val="21"/>
              </w:rPr>
            </w:pPr>
            <w:r>
              <w:rPr>
                <w:rFonts w:hint="default" w:ascii="Times New Roman" w:hAnsi="Times New Roman" w:cs="Times New Roman"/>
                <w:szCs w:val="21"/>
              </w:rPr>
              <w:t>V≥200 ml，10个</w:t>
            </w:r>
          </w:p>
        </w:tc>
        <w:tc>
          <w:tcPr>
            <w:tcW w:w="260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cs="Times New Roman"/>
                <w:szCs w:val="21"/>
              </w:rPr>
            </w:pPr>
            <w:r>
              <w:rPr>
                <w:rFonts w:hint="default" w:ascii="Times New Roman" w:hAnsi="Times New Roman" w:cs="Times New Roman"/>
                <w:szCs w:val="21"/>
              </w:rPr>
              <w:t>V＜200 ml，20个；</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cs="Times New Roman"/>
                <w:szCs w:val="21"/>
              </w:rPr>
            </w:pPr>
            <w:r>
              <w:rPr>
                <w:rFonts w:hint="default" w:ascii="Times New Roman" w:hAnsi="Times New Roman" w:cs="Times New Roman"/>
                <w:szCs w:val="21"/>
              </w:rPr>
              <w:t>V≥200 ml，10个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exact"/>
          <w:tblHeader/>
          <w:jc w:val="center"/>
        </w:trPr>
        <w:tc>
          <w:tcPr>
            <w:tcW w:w="837" w:type="dxa"/>
            <w:noWrap w:val="0"/>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4</w:t>
            </w:r>
          </w:p>
        </w:tc>
        <w:tc>
          <w:tcPr>
            <w:tcW w:w="2173" w:type="dxa"/>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cs="Times New Roman"/>
                <w:kern w:val="0"/>
                <w:szCs w:val="21"/>
              </w:rPr>
            </w:pPr>
            <w:r>
              <w:rPr>
                <w:rFonts w:hint="default" w:ascii="Times New Roman" w:hAnsi="Times New Roman" w:cs="Times New Roman"/>
                <w:kern w:val="0"/>
                <w:szCs w:val="21"/>
              </w:rPr>
              <w:t>聚酯（PET）无汽饮料瓶</w:t>
            </w:r>
          </w:p>
        </w:tc>
        <w:tc>
          <w:tcPr>
            <w:tcW w:w="2883" w:type="dxa"/>
            <w:noWrap w:val="0"/>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40个</w:t>
            </w:r>
          </w:p>
        </w:tc>
        <w:tc>
          <w:tcPr>
            <w:tcW w:w="2604" w:type="dxa"/>
            <w:noWrap w:val="0"/>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20个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exact"/>
          <w:tblHeader/>
          <w:jc w:val="center"/>
        </w:trPr>
        <w:tc>
          <w:tcPr>
            <w:tcW w:w="837" w:type="dxa"/>
            <w:noWrap w:val="0"/>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4</w:t>
            </w:r>
          </w:p>
        </w:tc>
        <w:tc>
          <w:tcPr>
            <w:tcW w:w="2173" w:type="dxa"/>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PC饮用水罐密封盖</w:t>
            </w:r>
          </w:p>
        </w:tc>
        <w:tc>
          <w:tcPr>
            <w:tcW w:w="2883" w:type="dxa"/>
            <w:noWrap w:val="0"/>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20个</w:t>
            </w:r>
          </w:p>
        </w:tc>
        <w:tc>
          <w:tcPr>
            <w:tcW w:w="2604" w:type="dxa"/>
            <w:noWrap w:val="0"/>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20个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exact"/>
          <w:tblHeader/>
          <w:jc w:val="center"/>
        </w:trPr>
        <w:tc>
          <w:tcPr>
            <w:tcW w:w="837" w:type="dxa"/>
            <w:noWrap w:val="0"/>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5</w:t>
            </w:r>
          </w:p>
        </w:tc>
        <w:tc>
          <w:tcPr>
            <w:tcW w:w="2173" w:type="dxa"/>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cs="Times New Roman"/>
                <w:kern w:val="0"/>
                <w:szCs w:val="21"/>
              </w:rPr>
            </w:pPr>
            <w:r>
              <w:rPr>
                <w:rFonts w:hint="default" w:ascii="Times New Roman" w:hAnsi="Times New Roman" w:cs="Times New Roman"/>
                <w:kern w:val="0"/>
                <w:szCs w:val="21"/>
              </w:rPr>
              <w:t>塑料瓶盖</w:t>
            </w:r>
          </w:p>
        </w:tc>
        <w:tc>
          <w:tcPr>
            <w:tcW w:w="2883" w:type="dxa"/>
            <w:noWrap w:val="0"/>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50个</w:t>
            </w:r>
          </w:p>
        </w:tc>
        <w:tc>
          <w:tcPr>
            <w:tcW w:w="2604" w:type="dxa"/>
            <w:noWrap w:val="0"/>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50个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exact"/>
          <w:tblHeader/>
          <w:jc w:val="center"/>
        </w:trPr>
        <w:tc>
          <w:tcPr>
            <w:tcW w:w="837" w:type="dxa"/>
            <w:noWrap w:val="0"/>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6</w:t>
            </w:r>
          </w:p>
        </w:tc>
        <w:tc>
          <w:tcPr>
            <w:tcW w:w="2173" w:type="dxa"/>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cs="Times New Roman"/>
                <w:kern w:val="0"/>
                <w:szCs w:val="21"/>
              </w:rPr>
            </w:pPr>
            <w:r>
              <w:rPr>
                <w:rFonts w:hint="default" w:ascii="Times New Roman" w:hAnsi="Times New Roman" w:cs="Times New Roman"/>
                <w:kern w:val="0"/>
                <w:szCs w:val="21"/>
              </w:rPr>
              <w:t>食品包装用聚氯乙烯硬片、膜</w:t>
            </w:r>
          </w:p>
        </w:tc>
        <w:tc>
          <w:tcPr>
            <w:tcW w:w="2883" w:type="dxa"/>
            <w:noWrap w:val="0"/>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5.0 m</w:t>
            </w:r>
            <w:r>
              <w:rPr>
                <w:rFonts w:hint="default" w:ascii="Times New Roman" w:hAnsi="Times New Roman" w:cs="Times New Roman"/>
                <w:szCs w:val="21"/>
                <w:vertAlign w:val="superscript"/>
              </w:rPr>
              <w:t>2</w:t>
            </w:r>
          </w:p>
        </w:tc>
        <w:tc>
          <w:tcPr>
            <w:tcW w:w="2604" w:type="dxa"/>
            <w:noWrap w:val="0"/>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2.5 m</w:t>
            </w:r>
            <w:r>
              <w:rPr>
                <w:rFonts w:hint="default" w:ascii="Times New Roman" w:hAnsi="Times New Roman" w:cs="Times New Roman"/>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exact"/>
          <w:tblHeader/>
          <w:jc w:val="center"/>
        </w:trPr>
        <w:tc>
          <w:tcPr>
            <w:tcW w:w="837" w:type="dxa"/>
            <w:noWrap w:val="0"/>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7</w:t>
            </w:r>
          </w:p>
        </w:tc>
        <w:tc>
          <w:tcPr>
            <w:tcW w:w="2173" w:type="dxa"/>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cs="Times New Roman"/>
                <w:kern w:val="0"/>
                <w:szCs w:val="21"/>
              </w:rPr>
            </w:pPr>
            <w:r>
              <w:rPr>
                <w:rFonts w:hint="default" w:ascii="Times New Roman" w:hAnsi="Times New Roman" w:cs="Times New Roman"/>
                <w:kern w:val="0"/>
                <w:szCs w:val="21"/>
              </w:rPr>
              <w:t>其他食品接触用塑料容器、工具制品</w:t>
            </w:r>
          </w:p>
        </w:tc>
        <w:tc>
          <w:tcPr>
            <w:tcW w:w="2883" w:type="dxa"/>
            <w:noWrap w:val="0"/>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面积不少于0.5m</w:t>
            </w:r>
            <w:r>
              <w:rPr>
                <w:rFonts w:hint="default" w:ascii="Times New Roman" w:hAnsi="Times New Roman" w:cs="Times New Roman"/>
                <w:szCs w:val="21"/>
                <w:vertAlign w:val="superscript"/>
              </w:rPr>
              <w:t>2</w:t>
            </w:r>
          </w:p>
        </w:tc>
        <w:tc>
          <w:tcPr>
            <w:tcW w:w="2604" w:type="dxa"/>
            <w:noWrap w:val="0"/>
            <w:vAlign w:val="center"/>
          </w:tcPr>
          <w:p>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szCs w:val="21"/>
              </w:rPr>
            </w:pPr>
            <w:r>
              <w:rPr>
                <w:rFonts w:hint="default" w:ascii="Times New Roman" w:hAnsi="Times New Roman" w:cs="Times New Roman"/>
                <w:szCs w:val="21"/>
              </w:rPr>
              <w:t>面积不少于0.5m</w:t>
            </w:r>
            <w:r>
              <w:rPr>
                <w:rFonts w:hint="default" w:ascii="Times New Roman" w:hAnsi="Times New Roman" w:cs="Times New Roman"/>
                <w:szCs w:val="21"/>
                <w:vertAlign w:val="superscript"/>
              </w:rPr>
              <w:t>2</w:t>
            </w:r>
          </w:p>
        </w:tc>
      </w:tr>
    </w:tbl>
    <w:p>
      <w:pPr>
        <w:adjustRightInd w:val="0"/>
        <w:snapToGrid w:val="0"/>
        <w:spacing w:line="440" w:lineRule="exact"/>
        <w:ind w:firstLine="420" w:firstLineChars="200"/>
        <w:outlineLvl w:val="1"/>
        <w:rPr>
          <w:rFonts w:hint="default" w:ascii="Times New Roman" w:hAnsi="Times New Roman" w:cs="Times New Roman"/>
          <w:szCs w:val="21"/>
        </w:rPr>
      </w:pPr>
    </w:p>
    <w:p>
      <w:pPr>
        <w:adjustRightInd w:val="0"/>
        <w:snapToGrid w:val="0"/>
        <w:spacing w:line="440" w:lineRule="exact"/>
        <w:outlineLvl w:val="1"/>
        <w:rPr>
          <w:rFonts w:hint="default" w:ascii="Times New Roman" w:hAnsi="Times New Roman" w:eastAsia="黑体" w:cs="Times New Roman"/>
          <w:szCs w:val="21"/>
        </w:rPr>
      </w:pPr>
      <w:r>
        <w:rPr>
          <w:rFonts w:hint="default" w:ascii="Times New Roman" w:hAnsi="Times New Roman" w:eastAsia="黑体" w:cs="Times New Roman"/>
          <w:szCs w:val="21"/>
        </w:rPr>
        <w:t>2 检验依据</w:t>
      </w:r>
    </w:p>
    <w:p>
      <w:pPr>
        <w:adjustRightInd w:val="0"/>
        <w:ind w:firstLine="420" w:firstLineChars="200"/>
        <w:rPr>
          <w:rFonts w:hint="default" w:ascii="Times New Roman" w:hAnsi="Times New Roman" w:cs="Times New Roman"/>
          <w:color w:val="000000"/>
          <w:szCs w:val="21"/>
        </w:rPr>
      </w:pPr>
      <w:r>
        <w:rPr>
          <w:rFonts w:hint="default" w:ascii="Times New Roman" w:hAnsi="Times New Roman" w:eastAsia="黑体" w:cs="Times New Roman"/>
          <w:szCs w:val="21"/>
        </w:rPr>
        <w:t xml:space="preserve">            </w:t>
      </w:r>
      <w:r>
        <w:rPr>
          <w:rFonts w:hint="default" w:ascii="Times New Roman" w:hAnsi="Times New Roman" w:cs="Times New Roman"/>
          <w:color w:val="000000"/>
          <w:szCs w:val="21"/>
        </w:rPr>
        <w:t xml:space="preserve">        表2    聚碳酸酯（PC）饮用水罐</w:t>
      </w:r>
    </w:p>
    <w:tbl>
      <w:tblPr>
        <w:tblStyle w:val="9"/>
        <w:tblW w:w="462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6"/>
        <w:gridCol w:w="3545"/>
        <w:gridCol w:w="3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82" w:type="pct"/>
            <w:noWrap w:val="0"/>
            <w:vAlign w:val="center"/>
          </w:tcPr>
          <w:p>
            <w:pPr>
              <w:keepNext w:val="0"/>
              <w:keepLines w:val="0"/>
              <w:suppressLineNumbers w:val="0"/>
              <w:adjustRightInd w:val="0"/>
              <w:snapToGrid w:val="0"/>
              <w:spacing w:before="0" w:beforeAutospacing="0" w:after="0" w:afterAutospacing="0" w:line="440" w:lineRule="exact"/>
              <w:ind w:left="0" w:right="0"/>
              <w:jc w:val="center"/>
              <w:rPr>
                <w:rFonts w:hint="default" w:ascii="Times New Roman" w:hAnsi="Times New Roman" w:cs="Times New Roman"/>
                <w:szCs w:val="21"/>
              </w:rPr>
            </w:pPr>
            <w:r>
              <w:rPr>
                <w:rFonts w:hint="default" w:ascii="Times New Roman" w:hAnsi="Times New Roman" w:cs="Times New Roman"/>
                <w:szCs w:val="21"/>
              </w:rPr>
              <w:t>序号</w:t>
            </w:r>
          </w:p>
        </w:tc>
        <w:tc>
          <w:tcPr>
            <w:tcW w:w="2091" w:type="pct"/>
            <w:noWrap w:val="0"/>
            <w:vAlign w:val="center"/>
          </w:tcPr>
          <w:p>
            <w:pPr>
              <w:keepNext w:val="0"/>
              <w:keepLines w:val="0"/>
              <w:suppressLineNumbers w:val="0"/>
              <w:adjustRightInd w:val="0"/>
              <w:snapToGrid w:val="0"/>
              <w:spacing w:before="0" w:beforeAutospacing="0" w:after="0" w:afterAutospacing="0" w:line="440" w:lineRule="exact"/>
              <w:ind w:left="0" w:right="0"/>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2226" w:type="pct"/>
            <w:noWrap w:val="0"/>
            <w:vAlign w:val="center"/>
          </w:tcPr>
          <w:p>
            <w:pPr>
              <w:keepNext w:val="0"/>
              <w:keepLines w:val="0"/>
              <w:suppressLineNumbers w:val="0"/>
              <w:adjustRightInd w:val="0"/>
              <w:snapToGrid w:val="0"/>
              <w:spacing w:before="0" w:beforeAutospacing="0" w:after="0" w:afterAutospacing="0" w:line="440" w:lineRule="exact"/>
              <w:ind w:left="0" w:right="0"/>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682"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1</w:t>
            </w:r>
          </w:p>
        </w:tc>
        <w:tc>
          <w:tcPr>
            <w:tcW w:w="209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感官要求</w:t>
            </w:r>
          </w:p>
        </w:tc>
        <w:tc>
          <w:tcPr>
            <w:tcW w:w="2226"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4806.7</w:t>
            </w:r>
            <w:r>
              <w:rPr>
                <w:rFonts w:hint="default" w:ascii="Times New Roman" w:hAnsi="Times New Roman" w:cs="Times New Roman"/>
                <w:szCs w:val="21"/>
                <w:lang w:eastAsia="zh-CN"/>
              </w:rPr>
              <w:t>—</w:t>
            </w:r>
            <w:r>
              <w:rPr>
                <w:rFonts w:hint="default" w:ascii="Times New Roman" w:hAnsi="Times New Roman" w:cs="Times New Roman"/>
                <w:szCs w:val="21"/>
              </w:rPr>
              <w:t>2016</w:t>
            </w:r>
          </w:p>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4806.7</w:t>
            </w:r>
            <w:r>
              <w:rPr>
                <w:rFonts w:hint="default" w:ascii="Times New Roman" w:hAnsi="Times New Roman" w:cs="Times New Roman"/>
                <w:szCs w:val="21"/>
                <w:lang w:eastAsia="zh-CN"/>
              </w:rPr>
              <w:t>—</w:t>
            </w:r>
            <w:r>
              <w:rPr>
                <w:rFonts w:hint="default" w:ascii="Times New Roman" w:hAnsi="Times New Roman" w:cs="Times New Roman"/>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682"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2</w:t>
            </w:r>
          </w:p>
        </w:tc>
        <w:tc>
          <w:tcPr>
            <w:tcW w:w="209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总迁移量</w:t>
            </w:r>
          </w:p>
        </w:tc>
        <w:tc>
          <w:tcPr>
            <w:tcW w:w="2226"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31604.8</w:t>
            </w:r>
            <w:r>
              <w:rPr>
                <w:rFonts w:hint="default" w:ascii="Times New Roman" w:hAnsi="Times New Roman" w:cs="Times New Roman"/>
                <w:szCs w:val="21"/>
                <w:lang w:eastAsia="zh-CN"/>
              </w:rPr>
              <w:t>—</w:t>
            </w:r>
            <w:r>
              <w:rPr>
                <w:rFonts w:hint="default" w:ascii="Times New Roman" w:hAnsi="Times New Roman" w:cs="Times New Roman"/>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682"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3</w:t>
            </w:r>
          </w:p>
        </w:tc>
        <w:tc>
          <w:tcPr>
            <w:tcW w:w="209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高锰酸钾消耗量</w:t>
            </w:r>
          </w:p>
        </w:tc>
        <w:tc>
          <w:tcPr>
            <w:tcW w:w="2226"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31604.2</w:t>
            </w:r>
            <w:r>
              <w:rPr>
                <w:rFonts w:hint="default" w:ascii="Times New Roman" w:hAnsi="Times New Roman" w:cs="Times New Roman"/>
                <w:szCs w:val="21"/>
                <w:lang w:eastAsia="zh-CN"/>
              </w:rPr>
              <w:t>—</w:t>
            </w:r>
            <w:r>
              <w:rPr>
                <w:rFonts w:hint="default" w:ascii="Times New Roman" w:hAnsi="Times New Roman" w:cs="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682"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4</w:t>
            </w:r>
          </w:p>
        </w:tc>
        <w:tc>
          <w:tcPr>
            <w:tcW w:w="209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重金属（以Pb计）</w:t>
            </w:r>
          </w:p>
        </w:tc>
        <w:tc>
          <w:tcPr>
            <w:tcW w:w="2226"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31604.9</w:t>
            </w:r>
            <w:r>
              <w:rPr>
                <w:rFonts w:hint="default" w:ascii="Times New Roman" w:hAnsi="Times New Roman" w:cs="Times New Roman"/>
                <w:szCs w:val="21"/>
                <w:lang w:eastAsia="zh-CN"/>
              </w:rPr>
              <w:t>—</w:t>
            </w:r>
            <w:r>
              <w:rPr>
                <w:rFonts w:hint="default" w:ascii="Times New Roman" w:hAnsi="Times New Roman" w:cs="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682"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5</w:t>
            </w:r>
          </w:p>
        </w:tc>
        <w:tc>
          <w:tcPr>
            <w:tcW w:w="209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脱色试验</w:t>
            </w:r>
            <w:r>
              <w:rPr>
                <w:rFonts w:hint="default" w:ascii="Times New Roman" w:hAnsi="Times New Roman" w:cs="Times New Roman"/>
                <w:szCs w:val="21"/>
                <w:lang w:val="pt-BR"/>
              </w:rPr>
              <w:t>（</w:t>
            </w:r>
            <w:r>
              <w:rPr>
                <w:rFonts w:hint="default" w:ascii="Times New Roman" w:hAnsi="Times New Roman" w:cs="Times New Roman"/>
                <w:szCs w:val="21"/>
              </w:rPr>
              <w:t>限添加了着色剂的产品</w:t>
            </w:r>
            <w:r>
              <w:rPr>
                <w:rFonts w:hint="default" w:ascii="Times New Roman" w:hAnsi="Times New Roman" w:cs="Times New Roman"/>
                <w:szCs w:val="21"/>
                <w:lang w:val="pt-BR"/>
              </w:rPr>
              <w:t>）</w:t>
            </w:r>
          </w:p>
        </w:tc>
        <w:tc>
          <w:tcPr>
            <w:tcW w:w="2226"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rPr>
              <w:t>GB 31604.7—2016</w:t>
            </w:r>
          </w:p>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682"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6</w:t>
            </w:r>
          </w:p>
        </w:tc>
        <w:tc>
          <w:tcPr>
            <w:tcW w:w="2091" w:type="pct"/>
            <w:noWrap w:val="0"/>
            <w:vAlign w:val="center"/>
          </w:tcPr>
          <w:p>
            <w:pPr>
              <w:keepNext w:val="0"/>
              <w:keepLines w:val="0"/>
              <w:suppressLineNumbers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特定迁移总量 双酚A</w:t>
            </w:r>
          </w:p>
        </w:tc>
        <w:tc>
          <w:tcPr>
            <w:tcW w:w="2226"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kern w:val="0"/>
                <w:szCs w:val="21"/>
              </w:rPr>
            </w:pPr>
            <w:r>
              <w:rPr>
                <w:rFonts w:hint="default" w:ascii="Times New Roman" w:hAnsi="Times New Roman" w:cs="Times New Roman"/>
                <w:szCs w:val="21"/>
              </w:rPr>
              <w:t>GB 31604.10</w:t>
            </w:r>
            <w:r>
              <w:rPr>
                <w:rFonts w:hint="default" w:ascii="Times New Roman" w:hAnsi="Times New Roman" w:cs="Times New Roman"/>
                <w:szCs w:val="21"/>
                <w:lang w:eastAsia="zh-CN"/>
              </w:rPr>
              <w:t>—</w:t>
            </w:r>
            <w:r>
              <w:rPr>
                <w:rFonts w:hint="default" w:ascii="Times New Roman" w:hAnsi="Times New Roman" w:cs="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682"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szCs w:val="21"/>
                <w:lang w:eastAsia="zh-CN"/>
              </w:rPr>
            </w:pPr>
            <w:r>
              <w:rPr>
                <w:rFonts w:hint="default" w:ascii="Times New Roman" w:hAnsi="Times New Roman" w:cs="Times New Roman"/>
                <w:szCs w:val="21"/>
                <w:lang w:val="en-US" w:eastAsia="zh-CN"/>
              </w:rPr>
              <w:t>7</w:t>
            </w:r>
          </w:p>
        </w:tc>
        <w:tc>
          <w:tcPr>
            <w:tcW w:w="209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芳香族伯胺迁移总量</w:t>
            </w:r>
          </w:p>
        </w:tc>
        <w:tc>
          <w:tcPr>
            <w:tcW w:w="2226"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31604.52—2021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2" w:hRule="atLeast"/>
          <w:jc w:val="center"/>
        </w:trPr>
        <w:tc>
          <w:tcPr>
            <w:tcW w:w="5000" w:type="pct"/>
            <w:gridSpan w:val="3"/>
            <w:noWrap w:val="0"/>
            <w:vAlign w:val="center"/>
          </w:tcPr>
          <w:p>
            <w:pPr>
              <w:keepNext w:val="0"/>
              <w:keepLines w:val="0"/>
              <w:suppressLineNumbers w:val="0"/>
              <w:adjustRightInd w:val="0"/>
              <w:snapToGrid w:val="0"/>
              <w:spacing w:before="0" w:beforeAutospacing="0" w:after="0" w:afterAutospacing="0"/>
              <w:ind w:left="0" w:right="0"/>
              <w:jc w:val="left"/>
              <w:rPr>
                <w:rFonts w:hint="default" w:ascii="Times New Roman" w:hAnsi="Times New Roman" w:cs="Times New Roman"/>
                <w:color w:val="000000"/>
              </w:rPr>
            </w:pPr>
            <w:r>
              <w:rPr>
                <w:rFonts w:hint="default" w:ascii="Times New Roman" w:hAnsi="Times New Roman" w:cs="Times New Roman"/>
                <w:color w:val="000000"/>
              </w:rPr>
              <w:t>注：1.高锰酸钾消耗量不适用于执行标准为GB 4806.7</w:t>
            </w:r>
            <w:r>
              <w:rPr>
                <w:rFonts w:hint="default" w:ascii="Times New Roman" w:hAnsi="Times New Roman" w:cs="Times New Roman"/>
                <w:szCs w:val="21"/>
              </w:rPr>
              <w:t>—</w:t>
            </w:r>
            <w:r>
              <w:rPr>
                <w:rFonts w:hint="default" w:ascii="Times New Roman" w:hAnsi="Times New Roman" w:cs="Times New Roman"/>
                <w:color w:val="000000"/>
              </w:rPr>
              <w:t>2023中的淀粉含量≥40%的淀粉基塑料材料及制品。</w:t>
            </w:r>
          </w:p>
          <w:p>
            <w:pPr>
              <w:keepNext w:val="0"/>
              <w:keepLines w:val="0"/>
              <w:suppressLineNumbers w:val="0"/>
              <w:adjustRightInd w:val="0"/>
              <w:snapToGrid w:val="0"/>
              <w:spacing w:before="0" w:beforeAutospacing="0" w:after="0" w:afterAutospacing="0"/>
              <w:ind w:left="0" w:right="0" w:firstLine="420" w:firstLineChars="200"/>
              <w:jc w:val="left"/>
              <w:rPr>
                <w:rFonts w:hint="default" w:ascii="Times New Roman" w:hAnsi="Times New Roman" w:cs="Times New Roman"/>
                <w:color w:val="000000"/>
              </w:rPr>
            </w:pPr>
            <w:r>
              <w:rPr>
                <w:rFonts w:hint="default" w:ascii="Times New Roman" w:hAnsi="Times New Roman" w:cs="Times New Roman"/>
                <w:color w:val="000000"/>
                <w:szCs w:val="21"/>
              </w:rPr>
              <w:t>2.</w:t>
            </w:r>
            <w:r>
              <w:rPr>
                <w:rFonts w:hint="default" w:ascii="Times New Roman" w:hAnsi="Times New Roman" w:cs="Times New Roman"/>
                <w:color w:val="000000"/>
              </w:rPr>
              <w:t>芳香族伯胺迁移总量适用于执行标准为GB 4806.7</w:t>
            </w:r>
            <w:r>
              <w:rPr>
                <w:rFonts w:hint="default" w:ascii="Times New Roman" w:hAnsi="Times New Roman" w:cs="Times New Roman"/>
                <w:szCs w:val="21"/>
              </w:rPr>
              <w:t>—</w:t>
            </w:r>
            <w:r>
              <w:rPr>
                <w:rFonts w:hint="default" w:ascii="Times New Roman" w:hAnsi="Times New Roman" w:cs="Times New Roman"/>
                <w:color w:val="000000"/>
              </w:rPr>
              <w:t>2023，且含有芳香族异氰酸酯和偶氮类着色剂等可能产生芳香族伯胺类物质的产品。</w:t>
            </w:r>
          </w:p>
          <w:p>
            <w:pPr>
              <w:keepNext w:val="0"/>
              <w:keepLines w:val="0"/>
              <w:suppressLineNumbers w:val="0"/>
              <w:adjustRightInd w:val="0"/>
              <w:snapToGrid w:val="0"/>
              <w:spacing w:before="0" w:beforeAutospacing="0" w:after="0" w:afterAutospacing="0"/>
              <w:ind w:left="0" w:right="0" w:firstLine="420" w:firstLineChars="200"/>
              <w:jc w:val="left"/>
              <w:rPr>
                <w:rFonts w:hint="default" w:ascii="Times New Roman" w:hAnsi="Times New Roman" w:cs="Times New Roman"/>
                <w:szCs w:val="21"/>
              </w:rPr>
            </w:pPr>
            <w:r>
              <w:rPr>
                <w:rFonts w:hint="default" w:ascii="Times New Roman" w:hAnsi="Times New Roman" w:cs="Times New Roman"/>
                <w:color w:val="000000"/>
              </w:rPr>
              <w:t>3.</w:t>
            </w:r>
            <w:r>
              <w:rPr>
                <w:rFonts w:hint="default" w:ascii="Times New Roman" w:hAnsi="Times New Roman" w:cs="Times New Roman"/>
              </w:rPr>
              <w:t xml:space="preserve"> </w:t>
            </w:r>
            <w:r>
              <w:rPr>
                <w:rFonts w:hint="default" w:ascii="Times New Roman" w:hAnsi="Times New Roman" w:cs="Times New Roman"/>
                <w:color w:val="000000"/>
              </w:rPr>
              <w:t>脱色试验仅适用于添加了着色剂的产品。</w:t>
            </w:r>
          </w:p>
        </w:tc>
      </w:tr>
    </w:tbl>
    <w:p>
      <w:pPr>
        <w:adjustRightInd w:val="0"/>
        <w:snapToGrid w:val="0"/>
        <w:rPr>
          <w:rFonts w:hint="default" w:ascii="Times New Roman" w:hAnsi="Times New Roman" w:cs="Times New Roman"/>
          <w:color w:val="000000"/>
          <w:szCs w:val="21"/>
        </w:rPr>
      </w:pPr>
    </w:p>
    <w:p>
      <w:pPr>
        <w:adjustRightInd w:val="0"/>
        <w:snapToGrid w:val="0"/>
        <w:jc w:val="center"/>
        <w:rPr>
          <w:rFonts w:hint="default" w:ascii="Times New Roman" w:hAnsi="Times New Roman" w:cs="Times New Roman"/>
          <w:szCs w:val="21"/>
        </w:rPr>
      </w:pPr>
      <w:r>
        <w:rPr>
          <w:rFonts w:hint="default" w:ascii="Times New Roman" w:hAnsi="Times New Roman" w:cs="Times New Roman"/>
          <w:color w:val="000000"/>
          <w:szCs w:val="21"/>
        </w:rPr>
        <w:t>表3 瓶坯、PET食瓶、聚酯（PET）无汽饮料瓶</w:t>
      </w:r>
    </w:p>
    <w:tbl>
      <w:tblPr>
        <w:tblStyle w:val="9"/>
        <w:tblW w:w="46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9"/>
        <w:gridCol w:w="3693"/>
        <w:gridCol w:w="3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667" w:type="pct"/>
            <w:noWrap w:val="0"/>
            <w:vAlign w:val="center"/>
          </w:tcPr>
          <w:p>
            <w:pPr>
              <w:keepNext w:val="0"/>
              <w:keepLines w:val="0"/>
              <w:suppressLineNumbers w:val="0"/>
              <w:adjustRightInd w:val="0"/>
              <w:snapToGrid w:val="0"/>
              <w:spacing w:before="0" w:beforeAutospacing="0" w:after="0" w:afterAutospacing="0" w:line="440" w:lineRule="exact"/>
              <w:ind w:left="0" w:right="0"/>
              <w:jc w:val="center"/>
              <w:rPr>
                <w:rFonts w:hint="default" w:ascii="Times New Roman" w:hAnsi="Times New Roman" w:cs="Times New Roman"/>
                <w:szCs w:val="21"/>
              </w:rPr>
            </w:pPr>
            <w:r>
              <w:rPr>
                <w:rFonts w:hint="default" w:ascii="Times New Roman" w:hAnsi="Times New Roman" w:cs="Times New Roman"/>
                <w:szCs w:val="21"/>
              </w:rPr>
              <w:t>序号</w:t>
            </w:r>
          </w:p>
        </w:tc>
        <w:tc>
          <w:tcPr>
            <w:tcW w:w="2163" w:type="pct"/>
            <w:noWrap w:val="0"/>
            <w:vAlign w:val="center"/>
          </w:tcPr>
          <w:p>
            <w:pPr>
              <w:keepNext w:val="0"/>
              <w:keepLines w:val="0"/>
              <w:suppressLineNumbers w:val="0"/>
              <w:adjustRightInd w:val="0"/>
              <w:snapToGrid w:val="0"/>
              <w:spacing w:before="0" w:beforeAutospacing="0" w:after="0" w:afterAutospacing="0" w:line="440" w:lineRule="exact"/>
              <w:ind w:left="0" w:right="0"/>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2169" w:type="pct"/>
            <w:noWrap w:val="0"/>
            <w:vAlign w:val="center"/>
          </w:tcPr>
          <w:p>
            <w:pPr>
              <w:keepNext w:val="0"/>
              <w:keepLines w:val="0"/>
              <w:suppressLineNumbers w:val="0"/>
              <w:adjustRightInd w:val="0"/>
              <w:snapToGrid w:val="0"/>
              <w:spacing w:before="0" w:beforeAutospacing="0" w:after="0" w:afterAutospacing="0" w:line="440" w:lineRule="exact"/>
              <w:ind w:left="0" w:right="0"/>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67"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1</w:t>
            </w:r>
          </w:p>
        </w:tc>
        <w:tc>
          <w:tcPr>
            <w:tcW w:w="216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感官要求</w:t>
            </w:r>
          </w:p>
        </w:tc>
        <w:tc>
          <w:tcPr>
            <w:tcW w:w="216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4806.7</w:t>
            </w:r>
            <w:r>
              <w:rPr>
                <w:rFonts w:hint="default" w:ascii="Times New Roman" w:hAnsi="Times New Roman" w:cs="Times New Roman"/>
                <w:szCs w:val="21"/>
                <w:lang w:eastAsia="zh-CN"/>
              </w:rPr>
              <w:t>—</w:t>
            </w:r>
            <w:r>
              <w:rPr>
                <w:rFonts w:hint="default" w:ascii="Times New Roman" w:hAnsi="Times New Roman" w:cs="Times New Roman"/>
                <w:szCs w:val="21"/>
              </w:rPr>
              <w:t>2016</w:t>
            </w:r>
          </w:p>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4806.7</w:t>
            </w:r>
            <w:r>
              <w:rPr>
                <w:rFonts w:hint="default" w:ascii="Times New Roman" w:hAnsi="Times New Roman" w:cs="Times New Roman"/>
                <w:szCs w:val="21"/>
                <w:lang w:eastAsia="zh-CN"/>
              </w:rPr>
              <w:t>—</w:t>
            </w:r>
            <w:r>
              <w:rPr>
                <w:rFonts w:hint="default" w:ascii="Times New Roman" w:hAnsi="Times New Roman" w:cs="Times New Roman"/>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67"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2</w:t>
            </w:r>
          </w:p>
        </w:tc>
        <w:tc>
          <w:tcPr>
            <w:tcW w:w="216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总迁移量</w:t>
            </w:r>
          </w:p>
        </w:tc>
        <w:tc>
          <w:tcPr>
            <w:tcW w:w="216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31604.8</w:t>
            </w:r>
            <w:r>
              <w:rPr>
                <w:rFonts w:hint="default" w:ascii="Times New Roman" w:hAnsi="Times New Roman" w:cs="Times New Roman"/>
                <w:szCs w:val="21"/>
                <w:lang w:eastAsia="zh-CN"/>
              </w:rPr>
              <w:t>—</w:t>
            </w:r>
            <w:r>
              <w:rPr>
                <w:rFonts w:hint="default" w:ascii="Times New Roman" w:hAnsi="Times New Roman" w:cs="Times New Roman"/>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67"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3</w:t>
            </w:r>
          </w:p>
        </w:tc>
        <w:tc>
          <w:tcPr>
            <w:tcW w:w="216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高锰酸钾消耗量</w:t>
            </w:r>
          </w:p>
        </w:tc>
        <w:tc>
          <w:tcPr>
            <w:tcW w:w="216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31604.2</w:t>
            </w:r>
            <w:r>
              <w:rPr>
                <w:rFonts w:hint="default" w:ascii="Times New Roman" w:hAnsi="Times New Roman" w:cs="Times New Roman"/>
                <w:szCs w:val="21"/>
                <w:lang w:eastAsia="zh-CN"/>
              </w:rPr>
              <w:t>—</w:t>
            </w:r>
            <w:r>
              <w:rPr>
                <w:rFonts w:hint="default" w:ascii="Times New Roman" w:hAnsi="Times New Roman" w:cs="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67"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4</w:t>
            </w:r>
          </w:p>
        </w:tc>
        <w:tc>
          <w:tcPr>
            <w:tcW w:w="216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重金属（以Pb计）</w:t>
            </w:r>
          </w:p>
        </w:tc>
        <w:tc>
          <w:tcPr>
            <w:tcW w:w="216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31604.9</w:t>
            </w:r>
            <w:r>
              <w:rPr>
                <w:rFonts w:hint="default" w:ascii="Times New Roman" w:hAnsi="Times New Roman" w:cs="Times New Roman"/>
                <w:szCs w:val="21"/>
                <w:lang w:eastAsia="zh-CN"/>
              </w:rPr>
              <w:t>—</w:t>
            </w:r>
            <w:r>
              <w:rPr>
                <w:rFonts w:hint="default" w:ascii="Times New Roman" w:hAnsi="Times New Roman" w:cs="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667"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5</w:t>
            </w:r>
          </w:p>
        </w:tc>
        <w:tc>
          <w:tcPr>
            <w:tcW w:w="216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脱色试验</w:t>
            </w:r>
            <w:r>
              <w:rPr>
                <w:rFonts w:hint="default" w:ascii="Times New Roman" w:hAnsi="Times New Roman" w:cs="Times New Roman"/>
                <w:szCs w:val="21"/>
                <w:lang w:val="pt-BR"/>
              </w:rPr>
              <w:t>（</w:t>
            </w:r>
            <w:r>
              <w:rPr>
                <w:rFonts w:hint="default" w:ascii="Times New Roman" w:hAnsi="Times New Roman" w:cs="Times New Roman"/>
                <w:szCs w:val="21"/>
              </w:rPr>
              <w:t>限添加了着色剂的产品</w:t>
            </w:r>
            <w:r>
              <w:rPr>
                <w:rFonts w:hint="default" w:ascii="Times New Roman" w:hAnsi="Times New Roman" w:cs="Times New Roman"/>
                <w:szCs w:val="21"/>
                <w:lang w:val="pt-BR"/>
              </w:rPr>
              <w:t>）</w:t>
            </w:r>
          </w:p>
        </w:tc>
        <w:tc>
          <w:tcPr>
            <w:tcW w:w="216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rPr>
              <w:t>GB 31604.7—2016</w:t>
            </w:r>
          </w:p>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667"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7</w:t>
            </w:r>
          </w:p>
        </w:tc>
        <w:tc>
          <w:tcPr>
            <w:tcW w:w="216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特定迁移总量（以对苯二甲酸计）</w:t>
            </w:r>
          </w:p>
        </w:tc>
        <w:tc>
          <w:tcPr>
            <w:tcW w:w="216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31604.21</w:t>
            </w:r>
            <w:r>
              <w:rPr>
                <w:rFonts w:hint="default" w:ascii="Times New Roman" w:hAnsi="Times New Roman" w:cs="Times New Roman"/>
                <w:szCs w:val="21"/>
                <w:lang w:eastAsia="zh-CN"/>
              </w:rPr>
              <w:t>—</w:t>
            </w:r>
            <w:r>
              <w:rPr>
                <w:rFonts w:hint="default" w:ascii="Times New Roman" w:hAnsi="Times New Roman" w:cs="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67"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8</w:t>
            </w:r>
          </w:p>
        </w:tc>
        <w:tc>
          <w:tcPr>
            <w:tcW w:w="216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特定迁移总量（以乙二醇计）</w:t>
            </w:r>
          </w:p>
        </w:tc>
        <w:tc>
          <w:tcPr>
            <w:tcW w:w="216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31604.44</w:t>
            </w:r>
            <w:r>
              <w:rPr>
                <w:rFonts w:hint="default" w:ascii="Times New Roman" w:hAnsi="Times New Roman" w:cs="Times New Roman"/>
                <w:szCs w:val="21"/>
                <w:lang w:eastAsia="zh-CN"/>
              </w:rPr>
              <w:t>—</w:t>
            </w:r>
            <w:r>
              <w:rPr>
                <w:rFonts w:hint="default" w:ascii="Times New Roman" w:hAnsi="Times New Roman" w:cs="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67"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9</w:t>
            </w:r>
          </w:p>
        </w:tc>
        <w:tc>
          <w:tcPr>
            <w:tcW w:w="216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芳香族伯胺迁移总量</w:t>
            </w:r>
          </w:p>
        </w:tc>
        <w:tc>
          <w:tcPr>
            <w:tcW w:w="216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31604.52—2021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5000" w:type="pct"/>
            <w:gridSpan w:val="3"/>
            <w:noWrap w:val="0"/>
            <w:vAlign w:val="center"/>
          </w:tcPr>
          <w:p>
            <w:pPr>
              <w:keepNext w:val="0"/>
              <w:keepLines w:val="0"/>
              <w:suppressLineNumbers w:val="0"/>
              <w:adjustRightInd w:val="0"/>
              <w:snapToGrid w:val="0"/>
              <w:spacing w:before="0" w:beforeAutospacing="0" w:after="0" w:afterAutospacing="0"/>
              <w:ind w:left="0" w:right="0"/>
              <w:jc w:val="left"/>
              <w:rPr>
                <w:rFonts w:hint="default" w:ascii="Times New Roman" w:hAnsi="Times New Roman" w:cs="Times New Roman"/>
                <w:color w:val="000000"/>
              </w:rPr>
            </w:pPr>
            <w:r>
              <w:rPr>
                <w:rFonts w:hint="default" w:ascii="Times New Roman" w:hAnsi="Times New Roman" w:cs="Times New Roman"/>
                <w:color w:val="000000"/>
              </w:rPr>
              <w:t>注：1.高锰酸钾消耗量不适用于执行标准为GB 4806.7</w:t>
            </w:r>
            <w:r>
              <w:rPr>
                <w:rFonts w:hint="default" w:ascii="Times New Roman" w:hAnsi="Times New Roman" w:cs="Times New Roman"/>
                <w:szCs w:val="21"/>
              </w:rPr>
              <w:t>—</w:t>
            </w:r>
            <w:r>
              <w:rPr>
                <w:rFonts w:hint="default" w:ascii="Times New Roman" w:hAnsi="Times New Roman" w:cs="Times New Roman"/>
                <w:color w:val="000000"/>
              </w:rPr>
              <w:t>2023中的淀粉含量≥40%的淀粉基塑料材料及制品。</w:t>
            </w:r>
          </w:p>
          <w:p>
            <w:pPr>
              <w:keepNext w:val="0"/>
              <w:keepLines w:val="0"/>
              <w:suppressLineNumbers w:val="0"/>
              <w:adjustRightInd w:val="0"/>
              <w:snapToGrid w:val="0"/>
              <w:spacing w:before="0" w:beforeAutospacing="0" w:after="0" w:afterAutospacing="0"/>
              <w:ind w:left="0" w:right="0" w:firstLine="420" w:firstLineChars="200"/>
              <w:jc w:val="left"/>
              <w:rPr>
                <w:rFonts w:hint="default" w:ascii="Times New Roman" w:hAnsi="Times New Roman" w:cs="Times New Roman"/>
                <w:color w:val="000000"/>
              </w:rPr>
            </w:pPr>
            <w:r>
              <w:rPr>
                <w:rFonts w:hint="default" w:ascii="Times New Roman" w:hAnsi="Times New Roman" w:cs="Times New Roman"/>
                <w:color w:val="000000"/>
                <w:szCs w:val="21"/>
              </w:rPr>
              <w:t>2.</w:t>
            </w:r>
            <w:r>
              <w:rPr>
                <w:rFonts w:hint="default" w:ascii="Times New Roman" w:hAnsi="Times New Roman" w:cs="Times New Roman"/>
                <w:color w:val="000000"/>
              </w:rPr>
              <w:t>芳香族伯胺迁移总量适用于执行标准为GB 4806.7</w:t>
            </w:r>
            <w:r>
              <w:rPr>
                <w:rFonts w:hint="default" w:ascii="Times New Roman" w:hAnsi="Times New Roman" w:cs="Times New Roman"/>
                <w:szCs w:val="21"/>
              </w:rPr>
              <w:t>—</w:t>
            </w:r>
            <w:r>
              <w:rPr>
                <w:rFonts w:hint="default" w:ascii="Times New Roman" w:hAnsi="Times New Roman" w:cs="Times New Roman"/>
                <w:color w:val="000000"/>
              </w:rPr>
              <w:t>2023，且含有芳香族异氰酸酯和偶氮类着色剂等可能产生芳香族伯胺类物质的产品。</w:t>
            </w:r>
          </w:p>
          <w:p>
            <w:pPr>
              <w:keepNext w:val="0"/>
              <w:keepLines w:val="0"/>
              <w:suppressLineNumbers w:val="0"/>
              <w:adjustRightInd w:val="0"/>
              <w:snapToGrid w:val="0"/>
              <w:spacing w:before="0" w:beforeAutospacing="0" w:after="0" w:afterAutospacing="0"/>
              <w:ind w:left="0" w:right="0" w:firstLine="420" w:firstLineChars="200"/>
              <w:jc w:val="left"/>
              <w:rPr>
                <w:rFonts w:hint="default" w:ascii="Times New Roman" w:hAnsi="Times New Roman" w:cs="Times New Roman"/>
                <w:szCs w:val="21"/>
              </w:rPr>
            </w:pPr>
            <w:r>
              <w:rPr>
                <w:rFonts w:hint="default" w:ascii="Times New Roman" w:hAnsi="Times New Roman" w:cs="Times New Roman"/>
                <w:color w:val="000000"/>
              </w:rPr>
              <w:t>3.</w:t>
            </w:r>
            <w:r>
              <w:rPr>
                <w:rFonts w:hint="default" w:ascii="Times New Roman" w:hAnsi="Times New Roman" w:cs="Times New Roman"/>
              </w:rPr>
              <w:t xml:space="preserve"> </w:t>
            </w:r>
            <w:r>
              <w:rPr>
                <w:rFonts w:hint="default" w:ascii="Times New Roman" w:hAnsi="Times New Roman" w:cs="Times New Roman"/>
                <w:color w:val="000000"/>
              </w:rPr>
              <w:t>脱色试验仅适用于添加了着色剂的产品。</w:t>
            </w:r>
          </w:p>
        </w:tc>
      </w:tr>
    </w:tbl>
    <w:p>
      <w:pPr>
        <w:adjustRightInd w:val="0"/>
        <w:snapToGrid w:val="0"/>
        <w:jc w:val="center"/>
        <w:rPr>
          <w:rFonts w:hint="default" w:ascii="Times New Roman" w:hAnsi="Times New Roman" w:cs="Times New Roman"/>
          <w:szCs w:val="21"/>
        </w:rPr>
      </w:pPr>
    </w:p>
    <w:p>
      <w:pPr>
        <w:adjustRightInd w:val="0"/>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 xml:space="preserve">                       表4 食品接触用塑料制品检验项目</w:t>
      </w:r>
    </w:p>
    <w:tbl>
      <w:tblPr>
        <w:tblStyle w:val="9"/>
        <w:tblW w:w="467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7"/>
        <w:gridCol w:w="3745"/>
        <w:gridCol w:w="3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blHeader/>
          <w:jc w:val="center"/>
        </w:trPr>
        <w:tc>
          <w:tcPr>
            <w:tcW w:w="651" w:type="pct"/>
            <w:noWrap w:val="0"/>
            <w:vAlign w:val="center"/>
          </w:tcPr>
          <w:p>
            <w:pPr>
              <w:keepNext w:val="0"/>
              <w:keepLines w:val="0"/>
              <w:suppressLineNumbers w:val="0"/>
              <w:snapToGrid w:val="0"/>
              <w:spacing w:before="0" w:beforeAutospacing="0" w:after="0" w:afterAutospacing="0" w:line="440" w:lineRule="exact"/>
              <w:ind w:left="0" w:right="0"/>
              <w:jc w:val="center"/>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2183" w:type="pct"/>
            <w:noWrap w:val="0"/>
            <w:vAlign w:val="center"/>
          </w:tcPr>
          <w:p>
            <w:pPr>
              <w:keepNext w:val="0"/>
              <w:keepLines w:val="0"/>
              <w:suppressLineNumbers w:val="0"/>
              <w:snapToGrid w:val="0"/>
              <w:spacing w:before="0" w:beforeAutospacing="0" w:after="0" w:afterAutospacing="0" w:line="440" w:lineRule="exact"/>
              <w:ind w:left="0" w:right="0"/>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2165" w:type="pct"/>
            <w:noWrap w:val="0"/>
            <w:vAlign w:val="center"/>
          </w:tcPr>
          <w:p>
            <w:pPr>
              <w:keepNext w:val="0"/>
              <w:keepLines w:val="0"/>
              <w:suppressLineNumbers w:val="0"/>
              <w:snapToGrid w:val="0"/>
              <w:spacing w:before="0" w:beforeAutospacing="0" w:after="0" w:afterAutospacing="0" w:line="440" w:lineRule="exact"/>
              <w:ind w:left="0" w:right="0"/>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exact"/>
          <w:jc w:val="center"/>
        </w:trPr>
        <w:tc>
          <w:tcPr>
            <w:tcW w:w="65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1</w:t>
            </w:r>
          </w:p>
        </w:tc>
        <w:tc>
          <w:tcPr>
            <w:tcW w:w="218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感官要求</w:t>
            </w:r>
          </w:p>
        </w:tc>
        <w:tc>
          <w:tcPr>
            <w:tcW w:w="2165"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4806.7</w:t>
            </w:r>
            <w:r>
              <w:rPr>
                <w:rFonts w:hint="default" w:ascii="Times New Roman" w:hAnsi="Times New Roman" w:cs="Times New Roman"/>
                <w:szCs w:val="21"/>
                <w:lang w:eastAsia="zh-CN"/>
              </w:rPr>
              <w:t>—</w:t>
            </w:r>
            <w:r>
              <w:rPr>
                <w:rFonts w:hint="default" w:ascii="Times New Roman" w:hAnsi="Times New Roman" w:cs="Times New Roman"/>
                <w:szCs w:val="21"/>
              </w:rPr>
              <w:t>2016</w:t>
            </w:r>
          </w:p>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4806.7</w:t>
            </w:r>
            <w:r>
              <w:rPr>
                <w:rFonts w:hint="default" w:ascii="Times New Roman" w:hAnsi="Times New Roman" w:cs="Times New Roman"/>
                <w:szCs w:val="21"/>
                <w:lang w:eastAsia="zh-CN"/>
              </w:rPr>
              <w:t>—</w:t>
            </w:r>
            <w:r>
              <w:rPr>
                <w:rFonts w:hint="default" w:ascii="Times New Roman" w:hAnsi="Times New Roman" w:cs="Times New Roman"/>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exact"/>
          <w:jc w:val="center"/>
        </w:trPr>
        <w:tc>
          <w:tcPr>
            <w:tcW w:w="65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2</w:t>
            </w:r>
          </w:p>
        </w:tc>
        <w:tc>
          <w:tcPr>
            <w:tcW w:w="218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总迁移量</w:t>
            </w:r>
          </w:p>
        </w:tc>
        <w:tc>
          <w:tcPr>
            <w:tcW w:w="2165"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31604.8</w:t>
            </w:r>
            <w:r>
              <w:rPr>
                <w:rFonts w:hint="default" w:ascii="Times New Roman" w:hAnsi="Times New Roman" w:cs="Times New Roman"/>
                <w:szCs w:val="21"/>
                <w:lang w:eastAsia="zh-CN"/>
              </w:rPr>
              <w:t>—</w:t>
            </w:r>
            <w:r>
              <w:rPr>
                <w:rFonts w:hint="default" w:ascii="Times New Roman" w:hAnsi="Times New Roman" w:cs="Times New Roman"/>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exact"/>
          <w:jc w:val="center"/>
        </w:trPr>
        <w:tc>
          <w:tcPr>
            <w:tcW w:w="65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3</w:t>
            </w:r>
          </w:p>
        </w:tc>
        <w:tc>
          <w:tcPr>
            <w:tcW w:w="218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高锰酸钾消耗量</w:t>
            </w:r>
          </w:p>
        </w:tc>
        <w:tc>
          <w:tcPr>
            <w:tcW w:w="2165"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31604.2</w:t>
            </w:r>
            <w:r>
              <w:rPr>
                <w:rFonts w:hint="default" w:ascii="Times New Roman" w:hAnsi="Times New Roman" w:cs="Times New Roman"/>
                <w:szCs w:val="21"/>
                <w:lang w:eastAsia="zh-CN"/>
              </w:rPr>
              <w:t>—</w:t>
            </w:r>
            <w:r>
              <w:rPr>
                <w:rFonts w:hint="default" w:ascii="Times New Roman" w:hAnsi="Times New Roman" w:cs="Times New Roman"/>
                <w:szCs w:val="21"/>
              </w:rPr>
              <w:t xml:space="preserve">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exact"/>
          <w:jc w:val="center"/>
        </w:trPr>
        <w:tc>
          <w:tcPr>
            <w:tcW w:w="65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4</w:t>
            </w:r>
          </w:p>
        </w:tc>
        <w:tc>
          <w:tcPr>
            <w:tcW w:w="218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重金属（以Pb计）</w:t>
            </w:r>
          </w:p>
        </w:tc>
        <w:tc>
          <w:tcPr>
            <w:tcW w:w="2165"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31604.9</w:t>
            </w:r>
            <w:r>
              <w:rPr>
                <w:rFonts w:hint="default" w:ascii="Times New Roman" w:hAnsi="Times New Roman" w:cs="Times New Roman"/>
                <w:szCs w:val="21"/>
                <w:lang w:eastAsia="zh-CN"/>
              </w:rPr>
              <w:t>—</w:t>
            </w:r>
            <w:r>
              <w:rPr>
                <w:rFonts w:hint="default" w:ascii="Times New Roman" w:hAnsi="Times New Roman" w:cs="Times New Roman"/>
                <w:szCs w:val="21"/>
              </w:rPr>
              <w:t xml:space="preserve">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exact"/>
          <w:jc w:val="center"/>
        </w:trPr>
        <w:tc>
          <w:tcPr>
            <w:tcW w:w="65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5</w:t>
            </w:r>
          </w:p>
        </w:tc>
        <w:tc>
          <w:tcPr>
            <w:tcW w:w="218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脱色试验</w:t>
            </w:r>
            <w:r>
              <w:rPr>
                <w:rFonts w:hint="default" w:ascii="Times New Roman" w:hAnsi="Times New Roman" w:cs="Times New Roman"/>
                <w:szCs w:val="21"/>
                <w:lang w:val="pt-BR"/>
              </w:rPr>
              <w:t>（</w:t>
            </w:r>
            <w:r>
              <w:rPr>
                <w:rFonts w:hint="default" w:ascii="Times New Roman" w:hAnsi="Times New Roman" w:cs="Times New Roman"/>
                <w:szCs w:val="21"/>
              </w:rPr>
              <w:t>限添加了着色剂的产品</w:t>
            </w:r>
            <w:r>
              <w:rPr>
                <w:rFonts w:hint="default" w:ascii="Times New Roman" w:hAnsi="Times New Roman" w:cs="Times New Roman"/>
                <w:szCs w:val="21"/>
                <w:lang w:val="pt-BR"/>
              </w:rPr>
              <w:t>）</w:t>
            </w:r>
          </w:p>
        </w:tc>
        <w:tc>
          <w:tcPr>
            <w:tcW w:w="2165"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rPr>
              <w:t>GB 31604.7—2016</w:t>
            </w:r>
          </w:p>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exact"/>
          <w:jc w:val="center"/>
        </w:trPr>
        <w:tc>
          <w:tcPr>
            <w:tcW w:w="65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szCs w:val="21"/>
                <w:lang w:eastAsia="zh-CN"/>
              </w:rPr>
            </w:pPr>
            <w:r>
              <w:rPr>
                <w:rFonts w:hint="default" w:ascii="Times New Roman" w:hAnsi="Times New Roman" w:cs="Times New Roman"/>
                <w:szCs w:val="21"/>
                <w:lang w:val="en-US" w:eastAsia="zh-CN"/>
              </w:rPr>
              <w:t>6</w:t>
            </w:r>
          </w:p>
        </w:tc>
        <w:tc>
          <w:tcPr>
            <w:tcW w:w="218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特定迁移总量（以己内酰胺计）（限PA材质）</w:t>
            </w:r>
          </w:p>
        </w:tc>
        <w:tc>
          <w:tcPr>
            <w:tcW w:w="2165"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 xml:space="preserve">GB 31604.19—2016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exact"/>
          <w:jc w:val="center"/>
        </w:trPr>
        <w:tc>
          <w:tcPr>
            <w:tcW w:w="65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szCs w:val="21"/>
                <w:lang w:eastAsia="zh-CN"/>
              </w:rPr>
            </w:pPr>
            <w:r>
              <w:rPr>
                <w:rFonts w:hint="default" w:ascii="Times New Roman" w:hAnsi="Times New Roman" w:cs="Times New Roman"/>
                <w:szCs w:val="21"/>
                <w:lang w:val="en-US" w:eastAsia="zh-CN"/>
              </w:rPr>
              <w:t>7</w:t>
            </w:r>
          </w:p>
        </w:tc>
        <w:tc>
          <w:tcPr>
            <w:tcW w:w="218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氯乙烯特定迁移量（限PVC材质）</w:t>
            </w:r>
          </w:p>
        </w:tc>
        <w:tc>
          <w:tcPr>
            <w:tcW w:w="2165"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 xml:space="preserve">GB 31604.31—2016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exact"/>
          <w:jc w:val="center"/>
        </w:trPr>
        <w:tc>
          <w:tcPr>
            <w:tcW w:w="65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szCs w:val="21"/>
                <w:lang w:eastAsia="zh-CN"/>
              </w:rPr>
            </w:pPr>
            <w:r>
              <w:rPr>
                <w:rFonts w:hint="default" w:ascii="Times New Roman" w:hAnsi="Times New Roman" w:cs="Times New Roman"/>
                <w:szCs w:val="21"/>
                <w:lang w:val="en-US" w:eastAsia="zh-CN"/>
              </w:rPr>
              <w:t>8</w:t>
            </w:r>
          </w:p>
        </w:tc>
        <w:tc>
          <w:tcPr>
            <w:tcW w:w="218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特定迁移总量（以对苯二甲酸计）（限PET材质）</w:t>
            </w:r>
          </w:p>
        </w:tc>
        <w:tc>
          <w:tcPr>
            <w:tcW w:w="2165"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31604.21</w:t>
            </w:r>
            <w:r>
              <w:rPr>
                <w:rFonts w:hint="default" w:ascii="Times New Roman" w:hAnsi="Times New Roman" w:cs="Times New Roman"/>
                <w:szCs w:val="21"/>
                <w:lang w:eastAsia="zh-CN"/>
              </w:rPr>
              <w:t>—</w:t>
            </w:r>
            <w:r>
              <w:rPr>
                <w:rFonts w:hint="default" w:ascii="Times New Roman" w:hAnsi="Times New Roman" w:cs="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exact"/>
          <w:jc w:val="center"/>
        </w:trPr>
        <w:tc>
          <w:tcPr>
            <w:tcW w:w="65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szCs w:val="21"/>
                <w:lang w:eastAsia="zh-CN"/>
              </w:rPr>
            </w:pPr>
            <w:r>
              <w:rPr>
                <w:rFonts w:hint="default" w:ascii="Times New Roman" w:hAnsi="Times New Roman" w:cs="Times New Roman"/>
                <w:szCs w:val="21"/>
                <w:lang w:val="en-US" w:eastAsia="zh-CN"/>
              </w:rPr>
              <w:t>9</w:t>
            </w:r>
          </w:p>
        </w:tc>
        <w:tc>
          <w:tcPr>
            <w:tcW w:w="218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特定迁移总量（以乙二醇计）（限PET材质）</w:t>
            </w:r>
          </w:p>
        </w:tc>
        <w:tc>
          <w:tcPr>
            <w:tcW w:w="2165"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31604.44</w:t>
            </w:r>
            <w:r>
              <w:rPr>
                <w:rFonts w:hint="default" w:ascii="Times New Roman" w:hAnsi="Times New Roman" w:cs="Times New Roman"/>
                <w:szCs w:val="21"/>
                <w:lang w:eastAsia="zh-CN"/>
              </w:rPr>
              <w:t>—</w:t>
            </w:r>
            <w:r>
              <w:rPr>
                <w:rFonts w:hint="default" w:ascii="Times New Roman" w:hAnsi="Times New Roman" w:cs="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exact"/>
          <w:jc w:val="center"/>
        </w:trPr>
        <w:tc>
          <w:tcPr>
            <w:tcW w:w="65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szCs w:val="21"/>
                <w:lang w:eastAsia="zh-CN"/>
              </w:rPr>
            </w:pPr>
            <w:r>
              <w:rPr>
                <w:rFonts w:hint="default" w:ascii="Times New Roman" w:hAnsi="Times New Roman" w:cs="Times New Roman"/>
                <w:szCs w:val="21"/>
              </w:rPr>
              <w:t>1</w:t>
            </w:r>
            <w:r>
              <w:rPr>
                <w:rFonts w:hint="default" w:ascii="Times New Roman" w:hAnsi="Times New Roman" w:cs="Times New Roman"/>
                <w:szCs w:val="21"/>
                <w:lang w:val="en-US" w:eastAsia="zh-CN"/>
              </w:rPr>
              <w:t>0</w:t>
            </w:r>
          </w:p>
        </w:tc>
        <w:tc>
          <w:tcPr>
            <w:tcW w:w="218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1,3</w:t>
            </w:r>
            <w:r>
              <w:rPr>
                <w:rFonts w:hint="default" w:ascii="Times New Roman" w:hAnsi="Times New Roman" w:cs="Times New Roman"/>
                <w:szCs w:val="21"/>
                <w:lang w:eastAsia="zh-CN"/>
              </w:rPr>
              <w:t>—</w:t>
            </w:r>
            <w:r>
              <w:rPr>
                <w:rFonts w:hint="default" w:ascii="Times New Roman" w:hAnsi="Times New Roman" w:cs="Times New Roman"/>
                <w:szCs w:val="21"/>
              </w:rPr>
              <w:t>丁二烯特定迁移量（限有丁二烯单体的聚合物）</w:t>
            </w:r>
          </w:p>
        </w:tc>
        <w:tc>
          <w:tcPr>
            <w:tcW w:w="2165"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31604.12</w:t>
            </w:r>
            <w:r>
              <w:rPr>
                <w:rFonts w:hint="default" w:ascii="Times New Roman" w:hAnsi="Times New Roman" w:cs="Times New Roman"/>
                <w:szCs w:val="21"/>
                <w:lang w:eastAsia="zh-CN"/>
              </w:rPr>
              <w:t>—</w:t>
            </w:r>
            <w:r>
              <w:rPr>
                <w:rFonts w:hint="default" w:ascii="Times New Roman" w:hAnsi="Times New Roman" w:cs="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exact"/>
          <w:jc w:val="center"/>
        </w:trPr>
        <w:tc>
          <w:tcPr>
            <w:tcW w:w="65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szCs w:val="21"/>
                <w:lang w:eastAsia="zh-CN"/>
              </w:rPr>
            </w:pPr>
            <w:r>
              <w:rPr>
                <w:rFonts w:hint="default" w:ascii="Times New Roman" w:hAnsi="Times New Roman" w:cs="Times New Roman"/>
                <w:szCs w:val="21"/>
              </w:rPr>
              <w:t>1</w:t>
            </w:r>
            <w:r>
              <w:rPr>
                <w:rFonts w:hint="default" w:ascii="Times New Roman" w:hAnsi="Times New Roman" w:cs="Times New Roman"/>
                <w:szCs w:val="21"/>
                <w:lang w:val="en-US" w:eastAsia="zh-CN"/>
              </w:rPr>
              <w:t>1</w:t>
            </w:r>
          </w:p>
        </w:tc>
        <w:tc>
          <w:tcPr>
            <w:tcW w:w="218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苯乙烯和乙苯残留量（限PS材质)</w:t>
            </w:r>
          </w:p>
        </w:tc>
        <w:tc>
          <w:tcPr>
            <w:tcW w:w="2165"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31604.16</w:t>
            </w:r>
            <w:r>
              <w:rPr>
                <w:rFonts w:hint="default" w:ascii="Times New Roman" w:hAnsi="Times New Roman" w:cs="Times New Roman"/>
                <w:szCs w:val="21"/>
                <w:lang w:eastAsia="zh-CN"/>
              </w:rPr>
              <w:t>—</w:t>
            </w:r>
            <w:r>
              <w:rPr>
                <w:rFonts w:hint="default" w:ascii="Times New Roman" w:hAnsi="Times New Roman" w:cs="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exact"/>
          <w:jc w:val="center"/>
        </w:trPr>
        <w:tc>
          <w:tcPr>
            <w:tcW w:w="65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szCs w:val="21"/>
                <w:lang w:eastAsia="zh-CN"/>
              </w:rPr>
            </w:pPr>
            <w:r>
              <w:rPr>
                <w:rFonts w:hint="default" w:ascii="Times New Roman" w:hAnsi="Times New Roman" w:cs="Times New Roman"/>
                <w:szCs w:val="21"/>
              </w:rPr>
              <w:t>1</w:t>
            </w:r>
            <w:r>
              <w:rPr>
                <w:rFonts w:hint="default" w:ascii="Times New Roman" w:hAnsi="Times New Roman" w:cs="Times New Roman"/>
                <w:szCs w:val="21"/>
                <w:lang w:val="en-US" w:eastAsia="zh-CN"/>
              </w:rPr>
              <w:t>2</w:t>
            </w:r>
          </w:p>
        </w:tc>
        <w:tc>
          <w:tcPr>
            <w:tcW w:w="218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邻苯类增塑剂特定迁移量（限PVC材质）</w:t>
            </w:r>
          </w:p>
        </w:tc>
        <w:tc>
          <w:tcPr>
            <w:tcW w:w="2165"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31604.30</w:t>
            </w:r>
            <w:r>
              <w:rPr>
                <w:rFonts w:hint="default" w:ascii="Times New Roman" w:hAnsi="Times New Roman" w:cs="Times New Roman"/>
                <w:szCs w:val="21"/>
                <w:lang w:eastAsia="zh-CN"/>
              </w:rPr>
              <w:t>—</w:t>
            </w:r>
            <w:r>
              <w:rPr>
                <w:rFonts w:hint="default" w:ascii="Times New Roman" w:hAnsi="Times New Roman" w:cs="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exact"/>
          <w:jc w:val="center"/>
        </w:trPr>
        <w:tc>
          <w:tcPr>
            <w:tcW w:w="65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szCs w:val="21"/>
                <w:lang w:eastAsia="zh-CN"/>
              </w:rPr>
            </w:pPr>
            <w:r>
              <w:rPr>
                <w:rFonts w:hint="default" w:ascii="Times New Roman" w:hAnsi="Times New Roman" w:cs="Times New Roman"/>
                <w:szCs w:val="21"/>
              </w:rPr>
              <w:t>1</w:t>
            </w:r>
            <w:r>
              <w:rPr>
                <w:rFonts w:hint="default" w:ascii="Times New Roman" w:hAnsi="Times New Roman" w:cs="Times New Roman"/>
                <w:szCs w:val="21"/>
                <w:lang w:val="en-US" w:eastAsia="zh-CN"/>
              </w:rPr>
              <w:t>3</w:t>
            </w:r>
          </w:p>
        </w:tc>
        <w:tc>
          <w:tcPr>
            <w:tcW w:w="218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芳香族伯胺迁移总量</w:t>
            </w:r>
          </w:p>
        </w:tc>
        <w:tc>
          <w:tcPr>
            <w:tcW w:w="2165"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31604.52—2021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exact"/>
          <w:jc w:val="center"/>
        </w:trPr>
        <w:tc>
          <w:tcPr>
            <w:tcW w:w="5000" w:type="pct"/>
            <w:gridSpan w:val="3"/>
            <w:noWrap w:val="0"/>
            <w:vAlign w:val="center"/>
          </w:tcPr>
          <w:p>
            <w:pPr>
              <w:keepNext w:val="0"/>
              <w:keepLines w:val="0"/>
              <w:suppressLineNumbers w:val="0"/>
              <w:adjustRightInd w:val="0"/>
              <w:snapToGrid w:val="0"/>
              <w:spacing w:before="0" w:beforeAutospacing="0" w:after="0" w:afterAutospacing="0"/>
              <w:ind w:left="0" w:right="0"/>
              <w:jc w:val="left"/>
              <w:rPr>
                <w:rFonts w:hint="default" w:ascii="Times New Roman" w:hAnsi="Times New Roman" w:cs="Times New Roman"/>
                <w:color w:val="000000"/>
              </w:rPr>
            </w:pPr>
            <w:r>
              <w:rPr>
                <w:rFonts w:hint="default" w:ascii="Times New Roman" w:hAnsi="Times New Roman" w:cs="Times New Roman"/>
                <w:color w:val="000000"/>
              </w:rPr>
              <w:t>注：1.高锰酸钾消耗量不适用于执行标准为GB 4806.7</w:t>
            </w:r>
            <w:r>
              <w:rPr>
                <w:rFonts w:hint="default" w:ascii="Times New Roman" w:hAnsi="Times New Roman" w:cs="Times New Roman"/>
                <w:szCs w:val="21"/>
              </w:rPr>
              <w:t>—</w:t>
            </w:r>
            <w:r>
              <w:rPr>
                <w:rFonts w:hint="default" w:ascii="Times New Roman" w:hAnsi="Times New Roman" w:cs="Times New Roman"/>
                <w:color w:val="000000"/>
              </w:rPr>
              <w:t>2023中的淀粉含量≥40%的淀粉基塑料材料及制品。</w:t>
            </w:r>
          </w:p>
          <w:p>
            <w:pPr>
              <w:keepNext w:val="0"/>
              <w:keepLines w:val="0"/>
              <w:suppressLineNumbers w:val="0"/>
              <w:adjustRightInd w:val="0"/>
              <w:snapToGrid w:val="0"/>
              <w:spacing w:before="0" w:beforeAutospacing="0" w:after="0" w:afterAutospacing="0"/>
              <w:ind w:left="0" w:right="0" w:firstLine="420" w:firstLineChars="200"/>
              <w:jc w:val="left"/>
              <w:rPr>
                <w:rFonts w:hint="default" w:ascii="Times New Roman" w:hAnsi="Times New Roman" w:cs="Times New Roman"/>
                <w:color w:val="000000"/>
              </w:rPr>
            </w:pPr>
            <w:r>
              <w:rPr>
                <w:rFonts w:hint="default" w:ascii="Times New Roman" w:hAnsi="Times New Roman" w:cs="Times New Roman"/>
                <w:color w:val="000000"/>
                <w:szCs w:val="21"/>
              </w:rPr>
              <w:t>2.</w:t>
            </w:r>
            <w:r>
              <w:rPr>
                <w:rFonts w:hint="default" w:ascii="Times New Roman" w:hAnsi="Times New Roman" w:cs="Times New Roman"/>
                <w:color w:val="000000"/>
              </w:rPr>
              <w:t>芳香族伯胺迁移总量适用于执行标准为GB 4806.7</w:t>
            </w:r>
            <w:r>
              <w:rPr>
                <w:rFonts w:hint="default" w:ascii="Times New Roman" w:hAnsi="Times New Roman" w:cs="Times New Roman"/>
                <w:szCs w:val="21"/>
              </w:rPr>
              <w:t>—</w:t>
            </w:r>
            <w:r>
              <w:rPr>
                <w:rFonts w:hint="default" w:ascii="Times New Roman" w:hAnsi="Times New Roman" w:cs="Times New Roman"/>
                <w:color w:val="000000"/>
              </w:rPr>
              <w:t>2023，且含有芳香族异氰酸酯和偶氮类着色剂等可能产生芳香族伯胺类物质的产品。</w:t>
            </w:r>
          </w:p>
          <w:p>
            <w:pPr>
              <w:keepNext w:val="0"/>
              <w:keepLines w:val="0"/>
              <w:suppressLineNumbers w:val="0"/>
              <w:adjustRightInd w:val="0"/>
              <w:snapToGrid w:val="0"/>
              <w:spacing w:before="0" w:beforeAutospacing="0" w:after="0" w:afterAutospacing="0"/>
              <w:ind w:left="0" w:right="0" w:firstLine="420" w:firstLineChars="200"/>
              <w:jc w:val="both"/>
              <w:rPr>
                <w:rFonts w:hint="default" w:ascii="Times New Roman" w:hAnsi="Times New Roman" w:cs="Times New Roman"/>
                <w:szCs w:val="21"/>
              </w:rPr>
            </w:pPr>
            <w:r>
              <w:rPr>
                <w:rFonts w:hint="default" w:ascii="Times New Roman" w:hAnsi="Times New Roman" w:cs="Times New Roman"/>
                <w:color w:val="000000"/>
              </w:rPr>
              <w:t>3.</w:t>
            </w:r>
            <w:r>
              <w:rPr>
                <w:rFonts w:hint="default" w:ascii="Times New Roman" w:hAnsi="Times New Roman" w:cs="Times New Roman"/>
              </w:rPr>
              <w:t xml:space="preserve"> </w:t>
            </w:r>
            <w:r>
              <w:rPr>
                <w:rFonts w:hint="default" w:ascii="Times New Roman" w:hAnsi="Times New Roman" w:cs="Times New Roman"/>
                <w:color w:val="000000"/>
              </w:rPr>
              <w:t>脱色试验仅适用于添加了着色剂的产品。</w:t>
            </w:r>
          </w:p>
        </w:tc>
      </w:tr>
    </w:tbl>
    <w:p>
      <w:pPr>
        <w:adjustRightInd w:val="0"/>
        <w:snapToGrid w:val="0"/>
        <w:rPr>
          <w:rFonts w:hint="default" w:ascii="Times New Roman" w:hAnsi="Times New Roman" w:cs="Times New Roman"/>
          <w:szCs w:val="21"/>
        </w:rPr>
      </w:pP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 xml:space="preserve">表5   </w:t>
      </w:r>
      <w:r>
        <w:rPr>
          <w:rFonts w:hint="default" w:ascii="Times New Roman" w:hAnsi="Times New Roman" w:cs="Times New Roman"/>
          <w:kern w:val="0"/>
          <w:szCs w:val="21"/>
        </w:rPr>
        <w:t>食品包装用聚氯乙烯硬片、膜</w:t>
      </w:r>
    </w:p>
    <w:tbl>
      <w:tblPr>
        <w:tblStyle w:val="9"/>
        <w:tblW w:w="46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7"/>
        <w:gridCol w:w="3620"/>
        <w:gridCol w:w="3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blHeader/>
          <w:jc w:val="center"/>
        </w:trPr>
        <w:tc>
          <w:tcPr>
            <w:tcW w:w="857" w:type="pct"/>
            <w:noWrap w:val="0"/>
            <w:vAlign w:val="center"/>
          </w:tcPr>
          <w:p>
            <w:pPr>
              <w:keepNext w:val="0"/>
              <w:keepLines w:val="0"/>
              <w:suppressLineNumbers w:val="0"/>
              <w:snapToGrid w:val="0"/>
              <w:spacing w:before="0" w:beforeAutospacing="0" w:after="0" w:afterAutospacing="0" w:line="440" w:lineRule="exact"/>
              <w:ind w:left="0" w:right="0"/>
              <w:jc w:val="center"/>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2100" w:type="pct"/>
            <w:noWrap w:val="0"/>
            <w:vAlign w:val="center"/>
          </w:tcPr>
          <w:p>
            <w:pPr>
              <w:keepNext w:val="0"/>
              <w:keepLines w:val="0"/>
              <w:suppressLineNumbers w:val="0"/>
              <w:snapToGrid w:val="0"/>
              <w:spacing w:before="0" w:beforeAutospacing="0" w:after="0" w:afterAutospacing="0" w:line="440" w:lineRule="exact"/>
              <w:ind w:left="0" w:right="0"/>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2041" w:type="pct"/>
            <w:noWrap w:val="0"/>
            <w:vAlign w:val="center"/>
          </w:tcPr>
          <w:p>
            <w:pPr>
              <w:keepNext w:val="0"/>
              <w:keepLines w:val="0"/>
              <w:suppressLineNumbers w:val="0"/>
              <w:snapToGrid w:val="0"/>
              <w:spacing w:before="0" w:beforeAutospacing="0" w:after="0" w:afterAutospacing="0" w:line="440" w:lineRule="exact"/>
              <w:ind w:left="0" w:right="0"/>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exact"/>
          <w:jc w:val="center"/>
        </w:trPr>
        <w:tc>
          <w:tcPr>
            <w:tcW w:w="857"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1</w:t>
            </w:r>
          </w:p>
        </w:tc>
        <w:tc>
          <w:tcPr>
            <w:tcW w:w="2100"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感官要求</w:t>
            </w:r>
          </w:p>
        </w:tc>
        <w:tc>
          <w:tcPr>
            <w:tcW w:w="204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4806.7</w:t>
            </w:r>
            <w:r>
              <w:rPr>
                <w:rFonts w:hint="default" w:ascii="Times New Roman" w:hAnsi="Times New Roman" w:cs="Times New Roman"/>
                <w:szCs w:val="21"/>
                <w:lang w:eastAsia="zh-CN"/>
              </w:rPr>
              <w:t>—</w:t>
            </w:r>
            <w:r>
              <w:rPr>
                <w:rFonts w:hint="default" w:ascii="Times New Roman" w:hAnsi="Times New Roman" w:cs="Times New Roman"/>
                <w:szCs w:val="21"/>
              </w:rPr>
              <w:t>2016</w:t>
            </w:r>
          </w:p>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4806.7</w:t>
            </w:r>
            <w:r>
              <w:rPr>
                <w:rFonts w:hint="default" w:ascii="Times New Roman" w:hAnsi="Times New Roman" w:cs="Times New Roman"/>
                <w:szCs w:val="21"/>
                <w:lang w:eastAsia="zh-CN"/>
              </w:rPr>
              <w:t>—</w:t>
            </w:r>
            <w:r>
              <w:rPr>
                <w:rFonts w:hint="default" w:ascii="Times New Roman" w:hAnsi="Times New Roman" w:cs="Times New Roman"/>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exact"/>
          <w:jc w:val="center"/>
        </w:trPr>
        <w:tc>
          <w:tcPr>
            <w:tcW w:w="857"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2</w:t>
            </w:r>
          </w:p>
        </w:tc>
        <w:tc>
          <w:tcPr>
            <w:tcW w:w="2100"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总迁移量</w:t>
            </w:r>
          </w:p>
        </w:tc>
        <w:tc>
          <w:tcPr>
            <w:tcW w:w="204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31604.8</w:t>
            </w:r>
            <w:r>
              <w:rPr>
                <w:rFonts w:hint="default" w:ascii="Times New Roman" w:hAnsi="Times New Roman" w:cs="Times New Roman"/>
                <w:szCs w:val="21"/>
                <w:lang w:eastAsia="zh-CN"/>
              </w:rPr>
              <w:t>—</w:t>
            </w:r>
            <w:r>
              <w:rPr>
                <w:rFonts w:hint="default" w:ascii="Times New Roman" w:hAnsi="Times New Roman" w:cs="Times New Roman"/>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exact"/>
          <w:jc w:val="center"/>
        </w:trPr>
        <w:tc>
          <w:tcPr>
            <w:tcW w:w="857"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3</w:t>
            </w:r>
          </w:p>
        </w:tc>
        <w:tc>
          <w:tcPr>
            <w:tcW w:w="2100"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高锰酸钾消耗量</w:t>
            </w:r>
          </w:p>
        </w:tc>
        <w:tc>
          <w:tcPr>
            <w:tcW w:w="204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31604.2</w:t>
            </w:r>
            <w:r>
              <w:rPr>
                <w:rFonts w:hint="default" w:ascii="Times New Roman" w:hAnsi="Times New Roman" w:cs="Times New Roman"/>
                <w:szCs w:val="21"/>
                <w:lang w:eastAsia="zh-CN"/>
              </w:rPr>
              <w:t>—</w:t>
            </w:r>
            <w:r>
              <w:rPr>
                <w:rFonts w:hint="default" w:ascii="Times New Roman" w:hAnsi="Times New Roman" w:cs="Times New Roman"/>
                <w:szCs w:val="21"/>
              </w:rPr>
              <w:t xml:space="preserve">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exact"/>
          <w:jc w:val="center"/>
        </w:trPr>
        <w:tc>
          <w:tcPr>
            <w:tcW w:w="857"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4</w:t>
            </w:r>
          </w:p>
        </w:tc>
        <w:tc>
          <w:tcPr>
            <w:tcW w:w="2100"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重金属（以Pb计）</w:t>
            </w:r>
          </w:p>
        </w:tc>
        <w:tc>
          <w:tcPr>
            <w:tcW w:w="204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31604.9</w:t>
            </w:r>
            <w:r>
              <w:rPr>
                <w:rFonts w:hint="default" w:ascii="Times New Roman" w:hAnsi="Times New Roman" w:cs="Times New Roman"/>
                <w:szCs w:val="21"/>
                <w:lang w:eastAsia="zh-CN"/>
              </w:rPr>
              <w:t>—</w:t>
            </w:r>
            <w:r>
              <w:rPr>
                <w:rFonts w:hint="default" w:ascii="Times New Roman" w:hAnsi="Times New Roman" w:cs="Times New Roman"/>
                <w:szCs w:val="21"/>
              </w:rPr>
              <w:t xml:space="preserve">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exact"/>
          <w:jc w:val="center"/>
        </w:trPr>
        <w:tc>
          <w:tcPr>
            <w:tcW w:w="857"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5</w:t>
            </w:r>
          </w:p>
        </w:tc>
        <w:tc>
          <w:tcPr>
            <w:tcW w:w="2100"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脱色试验</w:t>
            </w:r>
            <w:r>
              <w:rPr>
                <w:rFonts w:hint="default" w:ascii="Times New Roman" w:hAnsi="Times New Roman" w:cs="Times New Roman"/>
                <w:szCs w:val="21"/>
                <w:lang w:val="pt-BR"/>
              </w:rPr>
              <w:t>（</w:t>
            </w:r>
            <w:r>
              <w:rPr>
                <w:rFonts w:hint="default" w:ascii="Times New Roman" w:hAnsi="Times New Roman" w:cs="Times New Roman"/>
                <w:szCs w:val="21"/>
              </w:rPr>
              <w:t>限添加了着色剂的产品</w:t>
            </w:r>
            <w:r>
              <w:rPr>
                <w:rFonts w:hint="default" w:ascii="Times New Roman" w:hAnsi="Times New Roman" w:cs="Times New Roman"/>
                <w:szCs w:val="21"/>
                <w:lang w:val="pt-BR"/>
              </w:rPr>
              <w:t>）</w:t>
            </w:r>
          </w:p>
        </w:tc>
        <w:tc>
          <w:tcPr>
            <w:tcW w:w="204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rPr>
              <w:t>GB 31604.7—2016</w:t>
            </w:r>
          </w:p>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exact"/>
          <w:jc w:val="center"/>
        </w:trPr>
        <w:tc>
          <w:tcPr>
            <w:tcW w:w="857"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6</w:t>
            </w:r>
          </w:p>
        </w:tc>
        <w:tc>
          <w:tcPr>
            <w:tcW w:w="2100"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氯乙烯特定迁移量（限PVC材质）</w:t>
            </w:r>
          </w:p>
        </w:tc>
        <w:tc>
          <w:tcPr>
            <w:tcW w:w="204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 xml:space="preserve">GB 31604.31—2016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exact"/>
          <w:jc w:val="center"/>
        </w:trPr>
        <w:tc>
          <w:tcPr>
            <w:tcW w:w="857"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7</w:t>
            </w:r>
          </w:p>
        </w:tc>
        <w:tc>
          <w:tcPr>
            <w:tcW w:w="2100"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邻苯类增塑剂特定迁移量（限PVC材质）</w:t>
            </w:r>
          </w:p>
        </w:tc>
        <w:tc>
          <w:tcPr>
            <w:tcW w:w="204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31604.30</w:t>
            </w:r>
            <w:r>
              <w:rPr>
                <w:rFonts w:hint="default" w:ascii="Times New Roman" w:hAnsi="Times New Roman" w:cs="Times New Roman"/>
                <w:szCs w:val="21"/>
                <w:lang w:eastAsia="zh-CN"/>
              </w:rPr>
              <w:t>—</w:t>
            </w:r>
            <w:r>
              <w:rPr>
                <w:rFonts w:hint="default" w:ascii="Times New Roman" w:hAnsi="Times New Roman" w:cs="Times New Roman"/>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exact"/>
          <w:jc w:val="center"/>
        </w:trPr>
        <w:tc>
          <w:tcPr>
            <w:tcW w:w="857"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8</w:t>
            </w:r>
          </w:p>
        </w:tc>
        <w:tc>
          <w:tcPr>
            <w:tcW w:w="2100"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芳香族伯胺迁移总量</w:t>
            </w:r>
          </w:p>
        </w:tc>
        <w:tc>
          <w:tcPr>
            <w:tcW w:w="204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rPr>
            </w:pPr>
            <w:r>
              <w:rPr>
                <w:rFonts w:hint="default" w:ascii="Times New Roman" w:hAnsi="Times New Roman" w:cs="Times New Roman"/>
                <w:szCs w:val="21"/>
              </w:rPr>
              <w:t>GB 31604.52—2021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1" w:hRule="exact"/>
          <w:jc w:val="center"/>
        </w:trPr>
        <w:tc>
          <w:tcPr>
            <w:tcW w:w="5000" w:type="pct"/>
            <w:gridSpan w:val="3"/>
            <w:noWrap w:val="0"/>
            <w:vAlign w:val="center"/>
          </w:tcPr>
          <w:p>
            <w:pPr>
              <w:keepNext w:val="0"/>
              <w:keepLines w:val="0"/>
              <w:suppressLineNumbers w:val="0"/>
              <w:adjustRightInd w:val="0"/>
              <w:snapToGrid w:val="0"/>
              <w:spacing w:before="0" w:beforeAutospacing="0" w:after="0" w:afterAutospacing="0"/>
              <w:ind w:left="0" w:right="0"/>
              <w:jc w:val="left"/>
              <w:rPr>
                <w:rFonts w:hint="default" w:ascii="Times New Roman" w:hAnsi="Times New Roman" w:cs="Times New Roman"/>
                <w:color w:val="000000"/>
              </w:rPr>
            </w:pPr>
            <w:r>
              <w:rPr>
                <w:rFonts w:hint="default" w:ascii="Times New Roman" w:hAnsi="Times New Roman" w:cs="Times New Roman"/>
                <w:color w:val="000000"/>
              </w:rPr>
              <w:t>注：1.高锰酸钾消耗量不适用于执行标准为GB 4806.7</w:t>
            </w:r>
            <w:r>
              <w:rPr>
                <w:rFonts w:hint="default" w:ascii="Times New Roman" w:hAnsi="Times New Roman" w:cs="Times New Roman"/>
                <w:szCs w:val="21"/>
              </w:rPr>
              <w:t>—</w:t>
            </w:r>
            <w:r>
              <w:rPr>
                <w:rFonts w:hint="default" w:ascii="Times New Roman" w:hAnsi="Times New Roman" w:cs="Times New Roman"/>
                <w:color w:val="000000"/>
              </w:rPr>
              <w:t>2023中的淀粉含量≥40%的淀粉基塑料材料及制品。</w:t>
            </w:r>
          </w:p>
          <w:p>
            <w:pPr>
              <w:keepNext w:val="0"/>
              <w:keepLines w:val="0"/>
              <w:suppressLineNumbers w:val="0"/>
              <w:adjustRightInd w:val="0"/>
              <w:snapToGrid w:val="0"/>
              <w:spacing w:before="0" w:beforeAutospacing="0" w:after="0" w:afterAutospacing="0"/>
              <w:ind w:left="0" w:right="0" w:firstLine="420" w:firstLineChars="200"/>
              <w:jc w:val="left"/>
              <w:rPr>
                <w:rFonts w:hint="default" w:ascii="Times New Roman" w:hAnsi="Times New Roman" w:cs="Times New Roman"/>
                <w:color w:val="000000"/>
              </w:rPr>
            </w:pPr>
            <w:r>
              <w:rPr>
                <w:rFonts w:hint="default" w:ascii="Times New Roman" w:hAnsi="Times New Roman" w:cs="Times New Roman"/>
                <w:color w:val="000000"/>
                <w:szCs w:val="21"/>
              </w:rPr>
              <w:t>2.</w:t>
            </w:r>
            <w:r>
              <w:rPr>
                <w:rFonts w:hint="default" w:ascii="Times New Roman" w:hAnsi="Times New Roman" w:cs="Times New Roman"/>
                <w:color w:val="000000"/>
              </w:rPr>
              <w:t>芳香族伯胺迁移总量适用于执行标准为GB 4806.7</w:t>
            </w:r>
            <w:r>
              <w:rPr>
                <w:rFonts w:hint="default" w:ascii="Times New Roman" w:hAnsi="Times New Roman" w:cs="Times New Roman"/>
                <w:szCs w:val="21"/>
              </w:rPr>
              <w:t>—</w:t>
            </w:r>
            <w:r>
              <w:rPr>
                <w:rFonts w:hint="default" w:ascii="Times New Roman" w:hAnsi="Times New Roman" w:cs="Times New Roman"/>
                <w:color w:val="000000"/>
              </w:rPr>
              <w:t>2023，且含有芳香族异氰酸酯和偶氮类着色剂等可能产生芳香族伯胺类物质的产品。</w:t>
            </w:r>
          </w:p>
          <w:p>
            <w:pPr>
              <w:keepNext w:val="0"/>
              <w:keepLines w:val="0"/>
              <w:suppressLineNumbers w:val="0"/>
              <w:adjustRightInd w:val="0"/>
              <w:snapToGrid w:val="0"/>
              <w:spacing w:before="0" w:beforeAutospacing="0" w:after="0" w:afterAutospacing="0"/>
              <w:ind w:left="0" w:right="0" w:firstLine="420" w:firstLineChars="200"/>
              <w:jc w:val="both"/>
              <w:rPr>
                <w:rFonts w:hint="default" w:ascii="Times New Roman" w:hAnsi="Times New Roman" w:cs="Times New Roman"/>
                <w:szCs w:val="21"/>
              </w:rPr>
            </w:pPr>
            <w:r>
              <w:rPr>
                <w:rFonts w:hint="default" w:ascii="Times New Roman" w:hAnsi="Times New Roman" w:cs="Times New Roman"/>
                <w:color w:val="000000"/>
              </w:rPr>
              <w:t>3.</w:t>
            </w:r>
            <w:r>
              <w:rPr>
                <w:rFonts w:hint="default" w:ascii="Times New Roman" w:hAnsi="Times New Roman" w:cs="Times New Roman"/>
              </w:rPr>
              <w:t xml:space="preserve"> </w:t>
            </w:r>
            <w:r>
              <w:rPr>
                <w:rFonts w:hint="default" w:ascii="Times New Roman" w:hAnsi="Times New Roman" w:cs="Times New Roman"/>
                <w:color w:val="000000"/>
              </w:rPr>
              <w:t>脱色试验仅适用于添加了着色剂的产品。</w:t>
            </w:r>
          </w:p>
        </w:tc>
      </w:tr>
    </w:tbl>
    <w:p>
      <w:pPr>
        <w:adjustRightInd w:val="0"/>
        <w:snapToGrid w:val="0"/>
        <w:jc w:val="center"/>
        <w:rPr>
          <w:rFonts w:hint="default" w:ascii="Times New Roman" w:hAnsi="Times New Roman" w:cs="Times New Roman"/>
          <w:szCs w:val="21"/>
        </w:rPr>
      </w:pPr>
    </w:p>
    <w:p>
      <w:pPr>
        <w:adjustRightInd w:val="0"/>
        <w:snapToGrid w:val="0"/>
        <w:spacing w:line="440" w:lineRule="exact"/>
        <w:ind w:firstLine="420" w:firstLineChars="200"/>
        <w:rPr>
          <w:rFonts w:hint="default" w:ascii="Times New Roman" w:hAnsi="Times New Roman" w:cs="Times New Roman"/>
          <w:color w:val="000000"/>
          <w:szCs w:val="21"/>
        </w:rPr>
      </w:pPr>
      <w:bookmarkStart w:id="0" w:name="_Hlk40347690"/>
      <w:r>
        <w:rPr>
          <w:rFonts w:hint="default" w:ascii="Times New Roman" w:hAnsi="Times New Roman" w:cs="Times New Roman"/>
          <w:color w:val="000000"/>
          <w:szCs w:val="21"/>
        </w:rPr>
        <w:t>执行企业标准、团体标准、地方标准的产品，检验项目参照上述内容执行。</w:t>
      </w:r>
    </w:p>
    <w:bookmarkEnd w:id="0"/>
    <w:p>
      <w:pPr>
        <w:snapToGrid w:val="0"/>
        <w:spacing w:line="440" w:lineRule="exact"/>
        <w:ind w:firstLine="359"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hint="default" w:ascii="Times New Roman" w:hAnsi="Times New Roman" w:eastAsia="黑体" w:cs="Times New Roman"/>
          <w:szCs w:val="21"/>
        </w:rPr>
      </w:pPr>
    </w:p>
    <w:p>
      <w:pPr>
        <w:adjustRightInd w:val="0"/>
        <w:snapToGrid w:val="0"/>
        <w:spacing w:line="440" w:lineRule="exact"/>
        <w:outlineLvl w:val="1"/>
        <w:rPr>
          <w:rFonts w:hint="default" w:ascii="Times New Roman" w:hAnsi="Times New Roman" w:eastAsia="黑体" w:cs="Times New Roman"/>
          <w:szCs w:val="21"/>
        </w:rPr>
      </w:pPr>
      <w:r>
        <w:rPr>
          <w:rFonts w:hint="default" w:ascii="Times New Roman" w:hAnsi="Times New Roman" w:eastAsia="黑体" w:cs="Times New Roman"/>
          <w:szCs w:val="21"/>
        </w:rPr>
        <w:t>3 判定规则</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 4806.7</w:t>
      </w:r>
      <w:r>
        <w:rPr>
          <w:rFonts w:hint="default" w:ascii="Times New Roman" w:hAnsi="Times New Roman" w:cs="Times New Roman"/>
          <w:szCs w:val="21"/>
          <w:lang w:eastAsia="zh-CN"/>
        </w:rPr>
        <w:t>—</w:t>
      </w:r>
      <w:r>
        <w:rPr>
          <w:rFonts w:hint="default" w:ascii="Times New Roman" w:hAnsi="Times New Roman" w:cs="Times New Roman"/>
          <w:szCs w:val="21"/>
        </w:rPr>
        <w:t>20</w:t>
      </w:r>
      <w:r>
        <w:rPr>
          <w:rFonts w:hint="default" w:ascii="Times New Roman" w:hAnsi="Times New Roman" w:cs="Times New Roman"/>
          <w:szCs w:val="21"/>
          <w:lang w:val="en-US" w:eastAsia="zh-CN"/>
        </w:rPr>
        <w:t>16</w:t>
      </w:r>
      <w:r>
        <w:rPr>
          <w:rFonts w:hint="default" w:ascii="Times New Roman" w:hAnsi="Times New Roman" w:cs="Times New Roman"/>
          <w:szCs w:val="21"/>
        </w:rPr>
        <w:t>食品安全国家标准 食品接触用塑料材料及制品</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 4806.7</w:t>
      </w:r>
      <w:r>
        <w:rPr>
          <w:rFonts w:hint="default" w:ascii="Times New Roman" w:hAnsi="Times New Roman" w:cs="Times New Roman"/>
          <w:szCs w:val="21"/>
          <w:lang w:eastAsia="zh-CN"/>
        </w:rPr>
        <w:t>—</w:t>
      </w:r>
      <w:r>
        <w:rPr>
          <w:rFonts w:hint="default" w:ascii="Times New Roman" w:hAnsi="Times New Roman" w:cs="Times New Roman"/>
          <w:szCs w:val="21"/>
        </w:rPr>
        <w:t>2023食品安全国家标准 食品接触用塑料材料及制品</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BB/T</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0060</w:t>
      </w:r>
      <w:r>
        <w:rPr>
          <w:rFonts w:hint="default" w:ascii="Times New Roman" w:hAnsi="Times New Roman" w:cs="Times New Roman"/>
          <w:szCs w:val="21"/>
          <w:lang w:eastAsia="zh-CN"/>
        </w:rPr>
        <w:t>—</w:t>
      </w:r>
      <w:r>
        <w:rPr>
          <w:rFonts w:hint="default" w:ascii="Times New Roman" w:hAnsi="Times New Roman" w:cs="Times New Roman"/>
          <w:szCs w:val="21"/>
        </w:rPr>
        <w:t>2012包装容器 聚对苯二甲酸乙二醇酯（PET）瓶坯</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17876</w:t>
      </w:r>
      <w:r>
        <w:rPr>
          <w:rFonts w:hint="default" w:ascii="Times New Roman" w:hAnsi="Times New Roman" w:cs="Times New Roman"/>
          <w:szCs w:val="21"/>
          <w:lang w:eastAsia="zh-CN"/>
        </w:rPr>
        <w:t>—</w:t>
      </w:r>
      <w:r>
        <w:rPr>
          <w:rFonts w:hint="default" w:ascii="Times New Roman" w:hAnsi="Times New Roman" w:cs="Times New Roman"/>
          <w:szCs w:val="21"/>
        </w:rPr>
        <w:t>2010 包装容器 塑料防盗瓶盖</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15267</w:t>
      </w:r>
      <w:r>
        <w:rPr>
          <w:rFonts w:hint="default" w:ascii="Times New Roman" w:hAnsi="Times New Roman" w:cs="Times New Roman"/>
          <w:szCs w:val="21"/>
          <w:lang w:eastAsia="zh-CN"/>
        </w:rPr>
        <w:t>—</w:t>
      </w:r>
      <w:r>
        <w:rPr>
          <w:rFonts w:hint="default" w:ascii="Times New Roman" w:hAnsi="Times New Roman" w:cs="Times New Roman"/>
          <w:szCs w:val="21"/>
        </w:rPr>
        <w:t>1994食品包装用聚氯乙烯硬片、膜</w:t>
      </w:r>
    </w:p>
    <w:p>
      <w:pPr>
        <w:adjustRightInd w:val="0"/>
        <w:snapToGrid w:val="0"/>
        <w:spacing w:line="440" w:lineRule="exact"/>
        <w:ind w:firstLine="420" w:firstLineChars="200"/>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GB/T 41000—2021 聚碳酸酯（PC）饮用水罐质量通则</w:t>
      </w:r>
    </w:p>
    <w:p>
      <w:pPr>
        <w:adjustRightInd w:val="0"/>
        <w:snapToGrid w:val="0"/>
        <w:spacing w:line="440" w:lineRule="exact"/>
        <w:ind w:firstLine="420" w:firstLineChars="200"/>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GB/T 41167—2021 聚对苯二甲酸乙二醇酯（PET）饮品瓶通用技术要求</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现行有效的企业标准、团体标准、地方标准及产品明示质量要求</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spacing w:line="440" w:lineRule="exact"/>
        <w:rPr>
          <w:rFonts w:hint="default" w:ascii="Times New Roman" w:hAnsi="Times New Roman" w:eastAsia="黑体" w:cs="Times New Roman"/>
          <w:color w:val="000000"/>
          <w:szCs w:val="21"/>
        </w:rPr>
      </w:pPr>
    </w:p>
    <w:p>
      <w:pPr>
        <w:spacing w:line="440" w:lineRule="exact"/>
        <w:rPr>
          <w:rFonts w:hint="default" w:ascii="Times New Roman" w:hAnsi="Times New Roman" w:eastAsia="黑体" w:cs="Times New Roman"/>
          <w:color w:val="000000"/>
          <w:szCs w:val="21"/>
        </w:rPr>
      </w:pPr>
      <w:bookmarkStart w:id="1" w:name="_GoBack"/>
      <w:bookmarkEnd w:id="1"/>
      <w:r>
        <w:rPr>
          <w:rFonts w:hint="default" w:ascii="Times New Roman" w:hAnsi="Times New Roman" w:eastAsia="黑体" w:cs="Times New Roman"/>
          <w:color w:val="000000"/>
          <w:szCs w:val="21"/>
        </w:rPr>
        <w:t>4 附则</w:t>
      </w:r>
    </w:p>
    <w:p>
      <w:pPr>
        <w:keepNext w:val="0"/>
        <w:keepLines w:val="0"/>
        <w:widowControl w:val="0"/>
        <w:suppressLineNumbers w:val="0"/>
        <w:snapToGrid w:val="0"/>
        <w:spacing w:before="0" w:beforeAutospacing="0" w:after="0" w:afterAutospacing="0" w:line="440" w:lineRule="exact"/>
        <w:ind w:left="0" w:right="0" w:firstLine="420" w:firstLineChars="200"/>
        <w:jc w:val="both"/>
        <w:rPr>
          <w:rFonts w:hint="default" w:ascii="Times New Roman" w:hAnsi="Times New Roman" w:cs="Times New Roman"/>
          <w:color w:val="000000"/>
          <w:szCs w:val="21"/>
          <w:lang w:val="en-US"/>
        </w:rPr>
      </w:pPr>
      <w:r>
        <w:rPr>
          <w:rFonts w:hint="default" w:ascii="Times New Roman" w:hAnsi="Times New Roman" w:eastAsia="宋体" w:cs="Times New Roman"/>
          <w:color w:val="000000"/>
          <w:kern w:val="2"/>
          <w:sz w:val="21"/>
          <w:szCs w:val="21"/>
          <w:lang w:val="en-US" w:eastAsia="zh-CN" w:bidi="ar"/>
        </w:rPr>
        <w:t>本细则代替《贵州省市场监管局关于发布</w:t>
      </w:r>
      <w:r>
        <w:rPr>
          <w:rFonts w:hint="default" w:ascii="Times New Roman" w:hAnsi="Times New Roman" w:eastAsia="宋体" w:cs="Times New Roman"/>
          <w:color w:val="000000"/>
          <w:kern w:val="2"/>
          <w:sz w:val="21"/>
          <w:szCs w:val="21"/>
          <w:lang w:val="en-US" w:eastAsia="zh-CN" w:bidi="ar"/>
        </w:rPr>
        <w:t>2024年版车用柴油等</w:t>
      </w:r>
      <w:r>
        <w:rPr>
          <w:rFonts w:hint="default" w:ascii="Times New Roman" w:hAnsi="Times New Roman" w:eastAsia="宋体" w:cs="Times New Roman"/>
          <w:color w:val="000000"/>
          <w:kern w:val="2"/>
          <w:sz w:val="21"/>
          <w:szCs w:val="21"/>
          <w:lang w:val="en-US" w:eastAsia="zh-CN" w:bidi="ar"/>
        </w:rPr>
        <w:t>110种产品贵州省产品质量监督抽查实施细则的公告》中的《贵州省食品接触用塑料容器、工具产品质量监督抽查实施细则（</w:t>
      </w:r>
      <w:r>
        <w:rPr>
          <w:rFonts w:hint="default" w:ascii="Times New Roman" w:hAnsi="Times New Roman" w:eastAsia="宋体" w:cs="Times New Roman"/>
          <w:color w:val="000000"/>
          <w:kern w:val="2"/>
          <w:sz w:val="21"/>
          <w:szCs w:val="21"/>
          <w:lang w:val="en-US" w:eastAsia="zh-CN" w:bidi="ar"/>
        </w:rPr>
        <w:t>2024版）》。</w:t>
      </w:r>
    </w:p>
    <w:p>
      <w:pPr>
        <w:snapToGrid w:val="0"/>
        <w:spacing w:line="440" w:lineRule="exact"/>
        <w:ind w:firstLine="417" w:firstLineChars="199"/>
        <w:rPr>
          <w:rFonts w:hint="default" w:ascii="Times New Roman" w:hAnsi="Times New Roman" w:cs="Times New Roman"/>
          <w:color w:val="000000"/>
          <w:szCs w:val="21"/>
        </w:rPr>
      </w:pPr>
    </w:p>
    <w:p>
      <w:pPr>
        <w:snapToGrid w:val="0"/>
        <w:spacing w:line="440" w:lineRule="exact"/>
        <w:rPr>
          <w:rFonts w:hint="default" w:ascii="Times New Roman" w:hAnsi="Times New Roman" w:cs="Times New Roman"/>
          <w:color w:val="000000"/>
          <w:szCs w:val="21"/>
        </w:rPr>
      </w:pPr>
    </w:p>
    <w:sectPr>
      <w:headerReference r:id="rId3" w:type="default"/>
      <w:footerReference r:id="rId4" w:type="default"/>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5</w:t>
    </w:r>
    <w:r>
      <w:rPr>
        <w:sz w:val="21"/>
        <w:szCs w:val="21"/>
        <w:lang w:val="zh-CN"/>
      </w:rP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F45"/>
    <w:rsid w:val="000223BA"/>
    <w:rsid w:val="00026930"/>
    <w:rsid w:val="000429C6"/>
    <w:rsid w:val="00047A9D"/>
    <w:rsid w:val="0005357F"/>
    <w:rsid w:val="00060161"/>
    <w:rsid w:val="0006329C"/>
    <w:rsid w:val="0009706A"/>
    <w:rsid w:val="000C1222"/>
    <w:rsid w:val="000E0E26"/>
    <w:rsid w:val="00111BFA"/>
    <w:rsid w:val="001244A8"/>
    <w:rsid w:val="00126B4B"/>
    <w:rsid w:val="0013492D"/>
    <w:rsid w:val="001458BF"/>
    <w:rsid w:val="00186925"/>
    <w:rsid w:val="001A540C"/>
    <w:rsid w:val="001C16E8"/>
    <w:rsid w:val="001C17C6"/>
    <w:rsid w:val="001D3949"/>
    <w:rsid w:val="001E1669"/>
    <w:rsid w:val="001E1A9D"/>
    <w:rsid w:val="00202846"/>
    <w:rsid w:val="002140E2"/>
    <w:rsid w:val="002368DB"/>
    <w:rsid w:val="002546FF"/>
    <w:rsid w:val="00262E0C"/>
    <w:rsid w:val="00263965"/>
    <w:rsid w:val="00264C87"/>
    <w:rsid w:val="0029348F"/>
    <w:rsid w:val="002961CD"/>
    <w:rsid w:val="002A7133"/>
    <w:rsid w:val="002C2DE3"/>
    <w:rsid w:val="002C3754"/>
    <w:rsid w:val="002E2CD9"/>
    <w:rsid w:val="002E5EED"/>
    <w:rsid w:val="0033027F"/>
    <w:rsid w:val="00336C89"/>
    <w:rsid w:val="00371D49"/>
    <w:rsid w:val="0037397A"/>
    <w:rsid w:val="003A1860"/>
    <w:rsid w:val="003D5388"/>
    <w:rsid w:val="003F7705"/>
    <w:rsid w:val="004064D4"/>
    <w:rsid w:val="00435D97"/>
    <w:rsid w:val="004630F9"/>
    <w:rsid w:val="0048431A"/>
    <w:rsid w:val="004B63D4"/>
    <w:rsid w:val="004D4CD2"/>
    <w:rsid w:val="004E1DAA"/>
    <w:rsid w:val="004E7F45"/>
    <w:rsid w:val="0051209D"/>
    <w:rsid w:val="00515006"/>
    <w:rsid w:val="00532F8D"/>
    <w:rsid w:val="0054077C"/>
    <w:rsid w:val="00571A64"/>
    <w:rsid w:val="005A736C"/>
    <w:rsid w:val="005B4861"/>
    <w:rsid w:val="005E6927"/>
    <w:rsid w:val="00612817"/>
    <w:rsid w:val="006219F8"/>
    <w:rsid w:val="00646A2D"/>
    <w:rsid w:val="00686F7E"/>
    <w:rsid w:val="0068760D"/>
    <w:rsid w:val="00696B51"/>
    <w:rsid w:val="006A36C5"/>
    <w:rsid w:val="006C56E0"/>
    <w:rsid w:val="006D36FD"/>
    <w:rsid w:val="00730874"/>
    <w:rsid w:val="0073765E"/>
    <w:rsid w:val="007819B3"/>
    <w:rsid w:val="00790716"/>
    <w:rsid w:val="007A4F3E"/>
    <w:rsid w:val="007A7686"/>
    <w:rsid w:val="007C48A6"/>
    <w:rsid w:val="00817719"/>
    <w:rsid w:val="0082334C"/>
    <w:rsid w:val="00853661"/>
    <w:rsid w:val="0088588D"/>
    <w:rsid w:val="008C2AA1"/>
    <w:rsid w:val="008C56B1"/>
    <w:rsid w:val="008F0A39"/>
    <w:rsid w:val="00902C4C"/>
    <w:rsid w:val="0091647C"/>
    <w:rsid w:val="00953A9B"/>
    <w:rsid w:val="009D29EA"/>
    <w:rsid w:val="009F2191"/>
    <w:rsid w:val="00A3585C"/>
    <w:rsid w:val="00A54E7A"/>
    <w:rsid w:val="00A61B8F"/>
    <w:rsid w:val="00A77C14"/>
    <w:rsid w:val="00A870ED"/>
    <w:rsid w:val="00A93B7D"/>
    <w:rsid w:val="00A95981"/>
    <w:rsid w:val="00AA31EF"/>
    <w:rsid w:val="00AB38E0"/>
    <w:rsid w:val="00AB4371"/>
    <w:rsid w:val="00AE0D56"/>
    <w:rsid w:val="00AE39A1"/>
    <w:rsid w:val="00AE405C"/>
    <w:rsid w:val="00B24BD0"/>
    <w:rsid w:val="00B44E4C"/>
    <w:rsid w:val="00B456C4"/>
    <w:rsid w:val="00B467A9"/>
    <w:rsid w:val="00B55566"/>
    <w:rsid w:val="00B61C35"/>
    <w:rsid w:val="00B64768"/>
    <w:rsid w:val="00B66A50"/>
    <w:rsid w:val="00B748D1"/>
    <w:rsid w:val="00B83344"/>
    <w:rsid w:val="00B942CB"/>
    <w:rsid w:val="00BA47C3"/>
    <w:rsid w:val="00BA4D5F"/>
    <w:rsid w:val="00BC7A4C"/>
    <w:rsid w:val="00BD7E26"/>
    <w:rsid w:val="00C25CB5"/>
    <w:rsid w:val="00C4745B"/>
    <w:rsid w:val="00C721EC"/>
    <w:rsid w:val="00CC157E"/>
    <w:rsid w:val="00CE702D"/>
    <w:rsid w:val="00D11614"/>
    <w:rsid w:val="00D449C5"/>
    <w:rsid w:val="00D541C8"/>
    <w:rsid w:val="00D92B63"/>
    <w:rsid w:val="00D94CD8"/>
    <w:rsid w:val="00DA52B0"/>
    <w:rsid w:val="00DD5C9E"/>
    <w:rsid w:val="00DF4DCE"/>
    <w:rsid w:val="00E22A88"/>
    <w:rsid w:val="00E94059"/>
    <w:rsid w:val="00EB1B49"/>
    <w:rsid w:val="00EB3B67"/>
    <w:rsid w:val="00EE1F87"/>
    <w:rsid w:val="00EE5043"/>
    <w:rsid w:val="00EF25F0"/>
    <w:rsid w:val="00F301F8"/>
    <w:rsid w:val="00F45797"/>
    <w:rsid w:val="00F61F2C"/>
    <w:rsid w:val="00F76949"/>
    <w:rsid w:val="00F85554"/>
    <w:rsid w:val="00F94DCB"/>
    <w:rsid w:val="00FB5782"/>
    <w:rsid w:val="00FC2526"/>
    <w:rsid w:val="00FE5DE4"/>
    <w:rsid w:val="00FF20E9"/>
    <w:rsid w:val="01184357"/>
    <w:rsid w:val="01A131C3"/>
    <w:rsid w:val="01FB18B7"/>
    <w:rsid w:val="024B3ED5"/>
    <w:rsid w:val="032C2CC0"/>
    <w:rsid w:val="050161E5"/>
    <w:rsid w:val="05545442"/>
    <w:rsid w:val="056915AB"/>
    <w:rsid w:val="057B705B"/>
    <w:rsid w:val="07555753"/>
    <w:rsid w:val="09837BF5"/>
    <w:rsid w:val="0D5E33E4"/>
    <w:rsid w:val="0EE52393"/>
    <w:rsid w:val="101739F6"/>
    <w:rsid w:val="10E96DCA"/>
    <w:rsid w:val="11A97B1A"/>
    <w:rsid w:val="12EE04EB"/>
    <w:rsid w:val="142E2B41"/>
    <w:rsid w:val="146050F4"/>
    <w:rsid w:val="15097FDB"/>
    <w:rsid w:val="150E1C7B"/>
    <w:rsid w:val="15861A43"/>
    <w:rsid w:val="15F1076B"/>
    <w:rsid w:val="17B822C4"/>
    <w:rsid w:val="181C089E"/>
    <w:rsid w:val="188E1215"/>
    <w:rsid w:val="18B11774"/>
    <w:rsid w:val="1A9221AF"/>
    <w:rsid w:val="1BDD60C2"/>
    <w:rsid w:val="1C0559C8"/>
    <w:rsid w:val="1DCA3D55"/>
    <w:rsid w:val="1E3265FA"/>
    <w:rsid w:val="1FE932D4"/>
    <w:rsid w:val="1FF041AE"/>
    <w:rsid w:val="1FFE717E"/>
    <w:rsid w:val="20055C73"/>
    <w:rsid w:val="20076CF3"/>
    <w:rsid w:val="201C0001"/>
    <w:rsid w:val="20A372F0"/>
    <w:rsid w:val="213E16CC"/>
    <w:rsid w:val="216F55CD"/>
    <w:rsid w:val="21F07040"/>
    <w:rsid w:val="21F91F85"/>
    <w:rsid w:val="22902033"/>
    <w:rsid w:val="22F14622"/>
    <w:rsid w:val="232B2612"/>
    <w:rsid w:val="23997488"/>
    <w:rsid w:val="24744770"/>
    <w:rsid w:val="248D2E59"/>
    <w:rsid w:val="249267E9"/>
    <w:rsid w:val="24FD1D8D"/>
    <w:rsid w:val="27B619BA"/>
    <w:rsid w:val="2A29653A"/>
    <w:rsid w:val="2A77438F"/>
    <w:rsid w:val="2A9653EA"/>
    <w:rsid w:val="2B3505C9"/>
    <w:rsid w:val="2B7251A1"/>
    <w:rsid w:val="2C513B81"/>
    <w:rsid w:val="2D0F3610"/>
    <w:rsid w:val="2DAF6AA4"/>
    <w:rsid w:val="2E447434"/>
    <w:rsid w:val="2F7470F0"/>
    <w:rsid w:val="308630DB"/>
    <w:rsid w:val="310877D6"/>
    <w:rsid w:val="31996818"/>
    <w:rsid w:val="322F25BC"/>
    <w:rsid w:val="3282567F"/>
    <w:rsid w:val="337C71E2"/>
    <w:rsid w:val="33ED6206"/>
    <w:rsid w:val="34335D23"/>
    <w:rsid w:val="345E6417"/>
    <w:rsid w:val="348A3282"/>
    <w:rsid w:val="35D82F96"/>
    <w:rsid w:val="373778B4"/>
    <w:rsid w:val="379D2C7F"/>
    <w:rsid w:val="37A458DA"/>
    <w:rsid w:val="384E752E"/>
    <w:rsid w:val="39135CA7"/>
    <w:rsid w:val="394C6EB2"/>
    <w:rsid w:val="39F24F0D"/>
    <w:rsid w:val="3AE96DA9"/>
    <w:rsid w:val="3BFA02F7"/>
    <w:rsid w:val="3CC309AB"/>
    <w:rsid w:val="3CEE6887"/>
    <w:rsid w:val="3E697EF8"/>
    <w:rsid w:val="3E780D76"/>
    <w:rsid w:val="40F85902"/>
    <w:rsid w:val="41630D72"/>
    <w:rsid w:val="42AA28AA"/>
    <w:rsid w:val="43F37E46"/>
    <w:rsid w:val="44123AED"/>
    <w:rsid w:val="45000F8C"/>
    <w:rsid w:val="46841DDC"/>
    <w:rsid w:val="47DD19DA"/>
    <w:rsid w:val="48CD242C"/>
    <w:rsid w:val="496B0759"/>
    <w:rsid w:val="4A6B0188"/>
    <w:rsid w:val="4ABB1D38"/>
    <w:rsid w:val="4C1D7892"/>
    <w:rsid w:val="4D5E548A"/>
    <w:rsid w:val="4D8F6A66"/>
    <w:rsid w:val="4DDF5C24"/>
    <w:rsid w:val="4EF318AC"/>
    <w:rsid w:val="50225853"/>
    <w:rsid w:val="509727E6"/>
    <w:rsid w:val="50D864D3"/>
    <w:rsid w:val="513F2C99"/>
    <w:rsid w:val="516E4782"/>
    <w:rsid w:val="52F952BE"/>
    <w:rsid w:val="53243C8C"/>
    <w:rsid w:val="53AF4999"/>
    <w:rsid w:val="55675746"/>
    <w:rsid w:val="556E394C"/>
    <w:rsid w:val="55797C08"/>
    <w:rsid w:val="59F561A9"/>
    <w:rsid w:val="5CA046FB"/>
    <w:rsid w:val="5DAE5A52"/>
    <w:rsid w:val="5E0D0BDF"/>
    <w:rsid w:val="5F253730"/>
    <w:rsid w:val="601F0EAE"/>
    <w:rsid w:val="602E7188"/>
    <w:rsid w:val="617B4C32"/>
    <w:rsid w:val="620675AB"/>
    <w:rsid w:val="622B13D1"/>
    <w:rsid w:val="62AC7955"/>
    <w:rsid w:val="650E0CE2"/>
    <w:rsid w:val="65CD15D6"/>
    <w:rsid w:val="672F3380"/>
    <w:rsid w:val="67DBB36F"/>
    <w:rsid w:val="68F93880"/>
    <w:rsid w:val="6951565F"/>
    <w:rsid w:val="69552DD1"/>
    <w:rsid w:val="6B113469"/>
    <w:rsid w:val="6D303931"/>
    <w:rsid w:val="6E083216"/>
    <w:rsid w:val="6E8A7348"/>
    <w:rsid w:val="6E9256FE"/>
    <w:rsid w:val="6EA70D04"/>
    <w:rsid w:val="6EAB2E1E"/>
    <w:rsid w:val="6EC5277F"/>
    <w:rsid w:val="6F2B5042"/>
    <w:rsid w:val="6F800BBD"/>
    <w:rsid w:val="70D867D7"/>
    <w:rsid w:val="711A28E5"/>
    <w:rsid w:val="71482881"/>
    <w:rsid w:val="71D2493E"/>
    <w:rsid w:val="71DB227A"/>
    <w:rsid w:val="723122EE"/>
    <w:rsid w:val="728E539F"/>
    <w:rsid w:val="730C2F2A"/>
    <w:rsid w:val="739B5F35"/>
    <w:rsid w:val="750D40AB"/>
    <w:rsid w:val="753D30AC"/>
    <w:rsid w:val="75FC38B9"/>
    <w:rsid w:val="760F31C9"/>
    <w:rsid w:val="77854E73"/>
    <w:rsid w:val="797E31CB"/>
    <w:rsid w:val="7A9A1A11"/>
    <w:rsid w:val="7B14665D"/>
    <w:rsid w:val="7BB578CB"/>
    <w:rsid w:val="7C3D28A5"/>
    <w:rsid w:val="7C4F2923"/>
    <w:rsid w:val="7C5B0643"/>
    <w:rsid w:val="7D8904A2"/>
    <w:rsid w:val="7E071097"/>
    <w:rsid w:val="7E463F5C"/>
    <w:rsid w:val="7E611631"/>
    <w:rsid w:val="7E6B05F1"/>
    <w:rsid w:val="7F66699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2"/>
      <w:lang w:val="en-US" w:eastAsia="zh-CN" w:bidi="ar-SA"/>
    </w:rPr>
  </w:style>
  <w:style w:type="character" w:default="1" w:styleId="11">
    <w:name w:val="Default Paragraph Font"/>
    <w:semiHidden/>
    <w:qFormat/>
    <w:uiPriority w:val="0"/>
  </w:style>
  <w:style w:type="table" w:default="1" w:styleId="9">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2">
    <w:name w:val="annotation text"/>
    <w:basedOn w:val="1"/>
    <w:link w:val="13"/>
    <w:qFormat/>
    <w:uiPriority w:val="99"/>
    <w:pPr>
      <w:jc w:val="left"/>
    </w:pPr>
  </w:style>
  <w:style w:type="paragraph" w:styleId="3">
    <w:name w:val="Body Text Indent"/>
    <w:basedOn w:val="1"/>
    <w:qFormat/>
    <w:uiPriority w:val="0"/>
    <w:pPr>
      <w:ind w:firstLine="600" w:firstLineChars="200"/>
    </w:pPr>
    <w:rPr>
      <w:rFonts w:ascii="Times New Roman" w:hAnsi="Times New Roman" w:eastAsia="仿宋_GB2312"/>
      <w:sz w:val="30"/>
      <w:szCs w:val="24"/>
    </w:rPr>
  </w:style>
  <w:style w:type="paragraph" w:styleId="4">
    <w:name w:val="Plain Text"/>
    <w:basedOn w:val="1"/>
    <w:link w:val="14"/>
    <w:qFormat/>
    <w:uiPriority w:val="0"/>
    <w:rPr>
      <w:rFonts w:ascii="宋体" w:hAnsi="Courier New"/>
      <w:szCs w:val="21"/>
    </w:rPr>
  </w:style>
  <w:style w:type="paragraph" w:styleId="5">
    <w:name w:val="Balloon Text"/>
    <w:basedOn w:val="1"/>
    <w:link w:val="15"/>
    <w:qFormat/>
    <w:uiPriority w:val="0"/>
    <w:rPr>
      <w:sz w:val="18"/>
      <w:szCs w:val="18"/>
    </w:rPr>
  </w:style>
  <w:style w:type="paragraph" w:styleId="6">
    <w:name w:val="footer"/>
    <w:basedOn w:val="1"/>
    <w:link w:val="16"/>
    <w:qFormat/>
    <w:uiPriority w:val="99"/>
    <w:pPr>
      <w:tabs>
        <w:tab w:val="center" w:pos="4153"/>
        <w:tab w:val="right" w:pos="8306"/>
      </w:tabs>
      <w:snapToGrid w:val="0"/>
      <w:jc w:val="left"/>
    </w:pPr>
    <w:rPr>
      <w:sz w:val="18"/>
      <w:szCs w:val="18"/>
    </w:rPr>
  </w:style>
  <w:style w:type="paragraph" w:styleId="7">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18"/>
    <w:qFormat/>
    <w:uiPriority w:val="0"/>
    <w:rPr>
      <w:b/>
      <w:bCs/>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qFormat/>
    <w:uiPriority w:val="0"/>
    <w:rPr>
      <w:sz w:val="21"/>
      <w:szCs w:val="21"/>
    </w:rPr>
  </w:style>
  <w:style w:type="character" w:customStyle="1" w:styleId="13">
    <w:name w:val="批注文字 Char"/>
    <w:link w:val="2"/>
    <w:qFormat/>
    <w:uiPriority w:val="99"/>
    <w:rPr>
      <w:kern w:val="2"/>
      <w:sz w:val="21"/>
      <w:szCs w:val="22"/>
    </w:rPr>
  </w:style>
  <w:style w:type="character" w:customStyle="1" w:styleId="14">
    <w:name w:val="纯文本 Char"/>
    <w:link w:val="4"/>
    <w:qFormat/>
    <w:uiPriority w:val="0"/>
    <w:rPr>
      <w:rFonts w:ascii="宋体" w:hAnsi="Courier New" w:cs="Courier New"/>
      <w:kern w:val="2"/>
      <w:sz w:val="21"/>
      <w:szCs w:val="21"/>
    </w:rPr>
  </w:style>
  <w:style w:type="character" w:customStyle="1" w:styleId="15">
    <w:name w:val="批注框文本 Char"/>
    <w:link w:val="5"/>
    <w:qFormat/>
    <w:uiPriority w:val="0"/>
    <w:rPr>
      <w:kern w:val="2"/>
      <w:sz w:val="18"/>
      <w:szCs w:val="18"/>
    </w:rPr>
  </w:style>
  <w:style w:type="character" w:customStyle="1" w:styleId="16">
    <w:name w:val="页脚 字符"/>
    <w:basedOn w:val="11"/>
    <w:link w:val="6"/>
    <w:qFormat/>
    <w:uiPriority w:val="0"/>
    <w:rPr>
      <w:kern w:val="2"/>
      <w:sz w:val="18"/>
      <w:szCs w:val="18"/>
    </w:rPr>
  </w:style>
  <w:style w:type="character" w:customStyle="1" w:styleId="17">
    <w:name w:val="页眉 字符"/>
    <w:basedOn w:val="11"/>
    <w:link w:val="7"/>
    <w:qFormat/>
    <w:uiPriority w:val="0"/>
    <w:rPr>
      <w:kern w:val="2"/>
      <w:sz w:val="18"/>
      <w:szCs w:val="18"/>
    </w:rPr>
  </w:style>
  <w:style w:type="character" w:customStyle="1" w:styleId="18">
    <w:name w:val="批注主题 Char"/>
    <w:basedOn w:val="13"/>
    <w:link w:val="8"/>
    <w:qFormat/>
    <w:uiPriority w:val="0"/>
  </w:style>
  <w:style w:type="character" w:customStyle="1" w:styleId="19">
    <w:name w:val="fontstyle01"/>
    <w:qFormat/>
    <w:uiPriority w:val="0"/>
    <w:rPr>
      <w:rFonts w:ascii="黑体" w:hAnsi="宋体" w:eastAsia="黑体" w:cs="黑体"/>
      <w:color w:val="000000"/>
      <w:sz w:val="32"/>
      <w:szCs w:val="32"/>
    </w:rPr>
  </w:style>
  <w:style w:type="paragraph" w:customStyle="1" w:styleId="20">
    <w:name w:val="Default"/>
    <w:qFormat/>
    <w:uiPriority w:val="0"/>
    <w:pPr>
      <w:widowControl w:val="0"/>
      <w:autoSpaceDE w:val="0"/>
      <w:autoSpaceDN w:val="0"/>
      <w:adjustRightInd w:val="0"/>
    </w:pPr>
    <w:rPr>
      <w:rFonts w:ascii="仿宋" w:hAnsi="Calibri" w:eastAsia="仿宋" w:cs="仿宋"/>
      <w:color w:val="000000"/>
      <w:sz w:val="24"/>
      <w:szCs w:val="24"/>
      <w:lang w:val="en-US" w:eastAsia="zh-CN" w:bidi="ar-SA"/>
    </w:rPr>
  </w:style>
  <w:style w:type="paragraph" w:customStyle="1" w:styleId="21">
    <w:name w:val="列出段落1"/>
    <w:basedOn w:val="1"/>
    <w:qFormat/>
    <w:uiPriority w:val="34"/>
    <w:pPr>
      <w:ind w:firstLine="420" w:firstLineChars="200"/>
    </w:pPr>
  </w:style>
  <w:style w:type="paragraph" w:styleId="2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5</Pages>
  <Words>1197</Words>
  <Characters>1760</Characters>
  <Lines>24</Lines>
  <Paragraphs>6</Paragraphs>
  <TotalTime>0</TotalTime>
  <ScaleCrop>false</ScaleCrop>
  <LinksUpToDate>false</LinksUpToDate>
  <CharactersWithSpaces>1876</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2019-12-27T03:53:00Z</dcterms:created>
  <dc:creator>wee</dc:creator>
  <cp:lastModifiedBy>ysgz</cp:lastModifiedBy>
  <cp:lastPrinted>2020-07-16T09:31:00Z</cp:lastPrinted>
  <dcterms:modified xsi:type="dcterms:W3CDTF">2025-04-14T09:57:52Z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6FAB1C5B18144ABCB4C67A176AB328C9_13</vt:lpwstr>
  </property>
  <property fmtid="{D5CDD505-2E9C-101B-9397-08002B2CF9AE}" pid="4" name="KSOTemplateDocerSaveRecord">
    <vt:lpwstr>eyJoZGlkIjoiNDNiOGM3Y2MyOGFlZjJlMWRhOWY0MTgxYjJkNGQ1NzciLCJ1c2VySWQiOiI0NTA5MTk5NTIifQ==</vt:lpwstr>
  </property>
</Properties>
</file>