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w:t>
      </w:r>
      <w:r>
        <w:rPr>
          <w:rFonts w:ascii="Times New Roman" w:hAnsi="Times New Roman" w:eastAsia="方正小标宋简体" w:cs="方正仿宋简体"/>
          <w:color w:val="000000"/>
          <w:sz w:val="32"/>
          <w:szCs w:val="32"/>
        </w:rPr>
        <w:t>混凝土和钢筋混凝土排水管产品质量监督抽查实施细则</w:t>
      </w:r>
    </w:p>
    <w:p>
      <w:pPr>
        <w:adjustRightInd w:val="0"/>
        <w:snapToGrid w:val="0"/>
        <w:spacing w:line="594" w:lineRule="exact"/>
        <w:jc w:val="center"/>
        <w:rPr>
          <w:rFonts w:ascii="Times New Roman" w:hAnsi="Times New Roman" w:eastAsia="黑体" w:cs="Times New Roman"/>
          <w:color w:val="000000"/>
        </w:rPr>
      </w:pPr>
      <w:r>
        <w:rPr>
          <w:rFonts w:hint="eastAsia" w:ascii="Times New Roman" w:hAnsi="Times New Roman" w:eastAsia="方正小标宋简体" w:cs="方正仿宋简体"/>
          <w:color w:val="000000"/>
          <w:sz w:val="32"/>
          <w:szCs w:val="32"/>
        </w:rPr>
        <w:t xml:space="preserve"> </w:t>
      </w: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5</w:t>
      </w:r>
      <w:r>
        <w:rPr>
          <w:rFonts w:hint="eastAsia" w:ascii="楷体_GB2312" w:hAnsi="楷体_GB2312" w:eastAsia="楷体_GB2312" w:cs="楷体_GB2312"/>
          <w:color w:val="000000"/>
          <w:sz w:val="32"/>
          <w:szCs w:val="32"/>
        </w:rPr>
        <w:t>年版）</w:t>
      </w: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1 抽样方法</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以随机抽样的方式在被抽样生产者、销售者的待销产品中抽取。</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随机数一般可使用随机数表等方法产生。</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每批次产品抽取样品20根，其中10根作为检验样品，10根作为备用样品。</w:t>
      </w:r>
    </w:p>
    <w:p>
      <w:pPr>
        <w:snapToGrid w:val="0"/>
        <w:spacing w:line="440" w:lineRule="exact"/>
        <w:ind w:firstLine="420" w:firstLineChars="200"/>
        <w:rPr>
          <w:rFonts w:ascii="Times New Roman" w:hAnsi="Times New Roman" w:eastAsia="黑体" w:cs="Times New Roman"/>
          <w:color w:val="000000"/>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2 检验依据</w:t>
      </w:r>
    </w:p>
    <w:p>
      <w:pPr>
        <w:snapToGrid w:val="0"/>
        <w:spacing w:line="440" w:lineRule="exact"/>
        <w:ind w:firstLine="420" w:firstLineChars="200"/>
        <w:rPr>
          <w:rFonts w:ascii="Times New Roman" w:hAnsi="Times New Roman" w:eastAsia="黑体" w:cs="Times New Roman"/>
          <w:color w:val="000000"/>
        </w:rPr>
      </w:pP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rPr>
            </w:pPr>
            <w:r>
              <w:rPr>
                <w:rFonts w:ascii="Times New Roman" w:hAnsi="Times New Roman" w:cs="Times New Roman"/>
                <w:color w:val="000000"/>
              </w:rPr>
              <w:t>1</w:t>
            </w:r>
          </w:p>
        </w:tc>
        <w:tc>
          <w:tcPr>
            <w:tcW w:w="478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color w:val="000000"/>
              </w:rPr>
            </w:pPr>
            <w:r>
              <w:rPr>
                <w:rFonts w:ascii="Times New Roman" w:hAnsi="Times New Roman" w:cs="Times New Roman"/>
                <w:color w:val="000000"/>
              </w:rPr>
              <w:t>外压荷载</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GB/T 16752-2017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rPr>
            </w:pPr>
            <w:r>
              <w:rPr>
                <w:rFonts w:ascii="Times New Roman" w:hAnsi="Times New Roman" w:cs="Times New Roman"/>
                <w:color w:val="000000"/>
              </w:rPr>
              <w:t>2</w:t>
            </w:r>
          </w:p>
        </w:tc>
        <w:tc>
          <w:tcPr>
            <w:tcW w:w="4781" w:type="dxa"/>
            <w:tcBorders>
              <w:top w:val="single" w:color="auto" w:sz="4" w:space="0"/>
              <w:left w:val="nil"/>
              <w:right w:val="single" w:color="auto" w:sz="4" w:space="0"/>
            </w:tcBorders>
            <w:vAlign w:val="center"/>
          </w:tcPr>
          <w:p>
            <w:pPr>
              <w:widowControl/>
              <w:jc w:val="center"/>
              <w:rPr>
                <w:rFonts w:ascii="Times New Roman" w:hAnsi="Times New Roman" w:cs="Times New Roman"/>
                <w:color w:val="000000"/>
              </w:rPr>
            </w:pPr>
            <w:r>
              <w:rPr>
                <w:rFonts w:ascii="Times New Roman" w:hAnsi="Times New Roman" w:cs="Times New Roman"/>
                <w:color w:val="000000"/>
              </w:rPr>
              <w:t>外表面裂缝</w:t>
            </w: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Times New Roman" w:cs="Times New Roman"/>
                <w:color w:val="000000"/>
              </w:rPr>
            </w:pPr>
            <w:r>
              <w:rPr>
                <w:rFonts w:ascii="Times New Roman" w:hAnsi="Times New Roman" w:cs="Times New Roman"/>
                <w:color w:val="000000"/>
              </w:rPr>
              <w:t>3</w:t>
            </w:r>
          </w:p>
        </w:tc>
        <w:tc>
          <w:tcPr>
            <w:tcW w:w="4781" w:type="dxa"/>
            <w:tcBorders>
              <w:top w:val="single" w:color="auto" w:sz="4" w:space="0"/>
              <w:left w:val="nil"/>
              <w:right w:val="single" w:color="auto" w:sz="4" w:space="0"/>
            </w:tcBorders>
            <w:vAlign w:val="center"/>
          </w:tcPr>
          <w:p>
            <w:pPr>
              <w:widowControl/>
              <w:jc w:val="center"/>
              <w:rPr>
                <w:rFonts w:hint="eastAsia" w:ascii="Times New Roman" w:hAnsi="Times New Roman" w:cs="Times New Roman"/>
                <w:color w:val="000000"/>
              </w:rPr>
            </w:pPr>
            <w:r>
              <w:rPr>
                <w:rFonts w:ascii="Times New Roman" w:hAnsi="Times New Roman" w:cs="Times New Roman"/>
                <w:color w:val="000000"/>
              </w:rPr>
              <w:t>露筋</w:t>
            </w: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rPr>
            </w:pPr>
            <w:r>
              <w:rPr>
                <w:rFonts w:ascii="Times New Roman" w:hAnsi="Times New Roman" w:cs="Times New Roman"/>
                <w:color w:val="000000"/>
              </w:rPr>
              <w:t>4</w:t>
            </w:r>
          </w:p>
        </w:tc>
        <w:tc>
          <w:tcPr>
            <w:tcW w:w="4781"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color w:val="000000"/>
              </w:rPr>
            </w:pPr>
            <w:r>
              <w:rPr>
                <w:rFonts w:ascii="Times New Roman" w:hAnsi="Times New Roman" w:cs="Times New Roman"/>
                <w:color w:val="000000"/>
              </w:rPr>
              <w:t>保护层厚度</w:t>
            </w: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bl>
    <w:p>
      <w:pPr>
        <w:adjustRightInd w:val="0"/>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执行企业标准、团体标准、地方标准的产品，检验项目参照上述内容执行。</w:t>
      </w:r>
    </w:p>
    <w:p>
      <w:pPr>
        <w:snapToGrid w:val="0"/>
        <w:spacing w:line="440" w:lineRule="exact"/>
        <w:ind w:firstLine="420" w:firstLineChars="200"/>
        <w:rPr>
          <w:color w:val="000000"/>
        </w:rPr>
      </w:pPr>
      <w:r>
        <w:rPr>
          <w:color w:val="000000"/>
        </w:rPr>
        <w:t>凡是注日期的文件，其随后所有的修改单（不包括勘误的内容）或修订版不适用于本细则。凡是不注日期的文件，其最新版本适用于本细则。</w:t>
      </w:r>
    </w:p>
    <w:p>
      <w:pPr>
        <w:rPr>
          <w:rFonts w:ascii="Times New Roman" w:hAnsi="Times New Roman" w:eastAsia="黑体" w:cs="Times New Roman"/>
          <w:color w:val="000000"/>
        </w:rPr>
      </w:pPr>
    </w:p>
    <w:p>
      <w:pPr>
        <w:spacing w:line="440" w:lineRule="exact"/>
        <w:rPr>
          <w:rFonts w:ascii="Times New Roman" w:hAnsi="Times New Roman" w:eastAsia="黑体" w:cs="Times New Roman"/>
          <w:color w:val="000000"/>
        </w:rPr>
      </w:pPr>
      <w:r>
        <w:rPr>
          <w:rFonts w:ascii="Times New Roman" w:hAnsi="Times New Roman" w:eastAsia="黑体" w:cs="Times New Roman"/>
          <w:color w:val="000000"/>
        </w:rPr>
        <w:t>3 判定规则</w:t>
      </w:r>
    </w:p>
    <w:p>
      <w:pPr>
        <w:snapToGrid w:val="0"/>
        <w:spacing w:line="440" w:lineRule="exact"/>
        <w:rPr>
          <w:rFonts w:ascii="Times New Roman" w:hAnsi="Times New Roman" w:cs="Times New Roman"/>
          <w:color w:val="000000"/>
        </w:rPr>
      </w:pPr>
      <w:r>
        <w:rPr>
          <w:rFonts w:ascii="Times New Roman" w:hAnsi="Times New Roman" w:cs="Times New Roman"/>
          <w:color w:val="000000"/>
        </w:rPr>
        <w:t>3.1依据标准</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GB/T 11836-20</w:t>
      </w:r>
      <w:r>
        <w:rPr>
          <w:rFonts w:hint="eastAsia" w:ascii="Times New Roman" w:hAnsi="Times New Roman" w:cs="Times New Roman"/>
          <w:color w:val="000000"/>
          <w:lang w:val="en-US" w:eastAsia="zh-CN"/>
        </w:rPr>
        <w:t>23</w:t>
      </w:r>
      <w:r>
        <w:rPr>
          <w:rFonts w:ascii="Times New Roman" w:hAnsi="Times New Roman" w:cs="Times New Roman"/>
          <w:color w:val="000000"/>
        </w:rPr>
        <w:t xml:space="preserve"> 混凝土和钢筋混凝土排水管</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现行有效的企业标准、团体标准、地方标准及产品明示质量要求</w:t>
      </w:r>
    </w:p>
    <w:p>
      <w:pPr>
        <w:snapToGrid w:val="0"/>
        <w:spacing w:line="440" w:lineRule="exact"/>
        <w:rPr>
          <w:rFonts w:ascii="Times New Roman" w:hAnsi="Times New Roman" w:cs="Times New Roman"/>
          <w:color w:val="000000"/>
        </w:rPr>
      </w:pPr>
      <w:r>
        <w:rPr>
          <w:rFonts w:ascii="Times New Roman" w:hAnsi="Times New Roman" w:cs="Times New Roman"/>
          <w:color w:val="000000"/>
        </w:rPr>
        <w:t>3.2判定原则</w:t>
      </w:r>
      <w:bookmarkStart w:id="0" w:name="_GoBack"/>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经检验，检验项目全部合格，</w:t>
      </w:r>
      <w:r>
        <w:rPr>
          <w:rFonts w:hint="eastAsia"/>
          <w:color w:val="000000"/>
          <w:szCs w:val="21"/>
        </w:rPr>
        <w:t>判定为被抽查产品所检项目未发现不合格</w:t>
      </w:r>
      <w:r>
        <w:rPr>
          <w:rFonts w:ascii="Times New Roman" w:hAnsi="Times New Roman" w:cs="Times New Roman"/>
          <w:color w:val="000000"/>
        </w:rPr>
        <w:t>；检验项目中任一项或一项以上不合格，判定为被抽查产品不合格。</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若被检产品明示的质量要求高于本细则中检验项目依据的标准要求时，应按被检产品明示的质量要求判定。</w:t>
      </w:r>
    </w:p>
    <w:bookmarkEnd w:id="0"/>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若被检产品明示的质量要求缺少本细则中检验项目依据的推荐性标准要求时，该项目不参与判定。</w:t>
      </w:r>
    </w:p>
    <w:p>
      <w:pPr>
        <w:spacing w:line="440" w:lineRule="exact"/>
        <w:rPr>
          <w:rFonts w:ascii="Times New Roman" w:hAnsi="Times New Roman" w:cs="Times New Roman"/>
        </w:rPr>
      </w:pPr>
    </w:p>
    <w:p>
      <w:pPr>
        <w:snapToGrid w:val="0"/>
        <w:spacing w:line="440" w:lineRule="exact"/>
        <w:rPr>
          <w:color w:val="000000"/>
        </w:rPr>
      </w:pPr>
      <w:r>
        <w:rPr>
          <w:rFonts w:hint="eastAsia" w:ascii="黑体" w:hAnsi="黑体" w:eastAsia="黑体" w:cs="黑体"/>
          <w:color w:val="000000"/>
        </w:rPr>
        <w:t>4 附则</w:t>
      </w:r>
    </w:p>
    <w:p>
      <w:pPr>
        <w:spacing w:line="440" w:lineRule="exact"/>
        <w:ind w:firstLine="420" w:firstLineChars="200"/>
        <w:rPr>
          <w:rFonts w:hint="default" w:ascii="Times New Roman" w:hAnsi="Times New Roman" w:cs="Times New Roman"/>
        </w:rPr>
      </w:pPr>
      <w:r>
        <w:rPr>
          <w:rFonts w:hint="eastAsia"/>
          <w:color w:val="000000"/>
        </w:rPr>
        <w:t>本细则代</w:t>
      </w:r>
      <w:r>
        <w:rPr>
          <w:rFonts w:hint="default" w:ascii="Times New Roman" w:hAnsi="Times New Roman" w:cs="Times New Roman"/>
          <w:color w:val="000000"/>
        </w:rPr>
        <w:t>替《贵州省市场监管局关于发布2024年版车用柴油等110种产品贵州省产品质量监督抽查实施细则的公告》</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中的《贵州省混凝土和钢筋混凝土排水管产品质量监督抽查实施细则（202</w:t>
      </w:r>
      <w:r>
        <w:rPr>
          <w:rFonts w:hint="default" w:ascii="Times New Roman" w:hAnsi="Times New Roman" w:cs="Times New Roman"/>
          <w:color w:val="000000"/>
          <w:lang w:val="en-US" w:eastAsia="zh-CN"/>
        </w:rPr>
        <w:t>4</w:t>
      </w:r>
      <w:r>
        <w:rPr>
          <w:rFonts w:hint="default" w:ascii="Times New Roman" w:hAnsi="Times New Roman" w:cs="Times New Roman"/>
          <w:color w:val="000000"/>
        </w:rPr>
        <w:t>年版）》。</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zql5uc8AAAAFAQAADwAAAAAAAAABACAAAAA4AAAAZHJzL2Rvd25y&#10;ZXYueG1sUEsBAhQAFAAAAAgAh07iQN0FtRS4AQAAVwMAAA4AAAAAAAAAAQAgAAAANAEAAGRycy9l&#10;Mm9Eb2MueG1sUEsFBgAAAAAGAAYAWQEAAF4FAAAAAA==&#10;">
              <v:fill on="f" focussize="0,0"/>
              <v:stroke on="f"/>
              <v:imagedata o:title=""/>
              <o:lock v:ext="edit" aspectratio="f"/>
              <v:textbox inset="0mm,0mm,0mm,0mm" style="mso-fit-shape-to-text:t;">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00E92697"/>
    <w:rsid w:val="00003146"/>
    <w:rsid w:val="00016AA6"/>
    <w:rsid w:val="00022BDC"/>
    <w:rsid w:val="00027B4B"/>
    <w:rsid w:val="000310AE"/>
    <w:rsid w:val="00040D0E"/>
    <w:rsid w:val="000578D6"/>
    <w:rsid w:val="00064603"/>
    <w:rsid w:val="000719BF"/>
    <w:rsid w:val="00081867"/>
    <w:rsid w:val="000920F0"/>
    <w:rsid w:val="000D644D"/>
    <w:rsid w:val="000D6DB2"/>
    <w:rsid w:val="000E3D64"/>
    <w:rsid w:val="000F2AB2"/>
    <w:rsid w:val="000F5072"/>
    <w:rsid w:val="00114D61"/>
    <w:rsid w:val="00166B17"/>
    <w:rsid w:val="00183BF6"/>
    <w:rsid w:val="001B0AE9"/>
    <w:rsid w:val="001B0BFE"/>
    <w:rsid w:val="001B270D"/>
    <w:rsid w:val="001C1A5B"/>
    <w:rsid w:val="001C6390"/>
    <w:rsid w:val="001D0D9E"/>
    <w:rsid w:val="001E513B"/>
    <w:rsid w:val="0020108F"/>
    <w:rsid w:val="00205067"/>
    <w:rsid w:val="00205151"/>
    <w:rsid w:val="00216BAD"/>
    <w:rsid w:val="0021768E"/>
    <w:rsid w:val="00235140"/>
    <w:rsid w:val="00251BAB"/>
    <w:rsid w:val="00253FAD"/>
    <w:rsid w:val="00257AD2"/>
    <w:rsid w:val="0027768C"/>
    <w:rsid w:val="0028456F"/>
    <w:rsid w:val="00294E88"/>
    <w:rsid w:val="002A51CA"/>
    <w:rsid w:val="002B5415"/>
    <w:rsid w:val="002D13E6"/>
    <w:rsid w:val="002D613A"/>
    <w:rsid w:val="002F292F"/>
    <w:rsid w:val="0033070A"/>
    <w:rsid w:val="00336CBC"/>
    <w:rsid w:val="00340CC3"/>
    <w:rsid w:val="00365AF0"/>
    <w:rsid w:val="00375ECD"/>
    <w:rsid w:val="00382C71"/>
    <w:rsid w:val="0038712E"/>
    <w:rsid w:val="003B3421"/>
    <w:rsid w:val="003B3BD7"/>
    <w:rsid w:val="003B7C0E"/>
    <w:rsid w:val="003C6120"/>
    <w:rsid w:val="003D7D0E"/>
    <w:rsid w:val="00400285"/>
    <w:rsid w:val="004003DB"/>
    <w:rsid w:val="00400A62"/>
    <w:rsid w:val="00403439"/>
    <w:rsid w:val="00405FBA"/>
    <w:rsid w:val="00421E56"/>
    <w:rsid w:val="004237E8"/>
    <w:rsid w:val="004376C6"/>
    <w:rsid w:val="00464540"/>
    <w:rsid w:val="00467E5D"/>
    <w:rsid w:val="00480A1F"/>
    <w:rsid w:val="004846BD"/>
    <w:rsid w:val="0048569E"/>
    <w:rsid w:val="00495203"/>
    <w:rsid w:val="00495E07"/>
    <w:rsid w:val="00496D09"/>
    <w:rsid w:val="004B1F8E"/>
    <w:rsid w:val="0050252F"/>
    <w:rsid w:val="005046C0"/>
    <w:rsid w:val="005400B7"/>
    <w:rsid w:val="00545791"/>
    <w:rsid w:val="0056604E"/>
    <w:rsid w:val="00581C38"/>
    <w:rsid w:val="005830BD"/>
    <w:rsid w:val="00595744"/>
    <w:rsid w:val="005A54A6"/>
    <w:rsid w:val="005A7BD6"/>
    <w:rsid w:val="005B5D49"/>
    <w:rsid w:val="005C7824"/>
    <w:rsid w:val="005D217D"/>
    <w:rsid w:val="005F63E4"/>
    <w:rsid w:val="006000B7"/>
    <w:rsid w:val="0060728F"/>
    <w:rsid w:val="006610A5"/>
    <w:rsid w:val="00681D10"/>
    <w:rsid w:val="00683F2D"/>
    <w:rsid w:val="006B676A"/>
    <w:rsid w:val="006D12B8"/>
    <w:rsid w:val="006E22D6"/>
    <w:rsid w:val="006E27D6"/>
    <w:rsid w:val="006E3882"/>
    <w:rsid w:val="00700041"/>
    <w:rsid w:val="00704CDE"/>
    <w:rsid w:val="00706214"/>
    <w:rsid w:val="0072222E"/>
    <w:rsid w:val="007225A6"/>
    <w:rsid w:val="00746B7D"/>
    <w:rsid w:val="00750264"/>
    <w:rsid w:val="007740F2"/>
    <w:rsid w:val="00776F6D"/>
    <w:rsid w:val="007818D2"/>
    <w:rsid w:val="00783ED0"/>
    <w:rsid w:val="00785E12"/>
    <w:rsid w:val="00787C0A"/>
    <w:rsid w:val="00795782"/>
    <w:rsid w:val="00796274"/>
    <w:rsid w:val="007C7023"/>
    <w:rsid w:val="007D256B"/>
    <w:rsid w:val="007E66DD"/>
    <w:rsid w:val="007E70EA"/>
    <w:rsid w:val="007F5C00"/>
    <w:rsid w:val="00823DC3"/>
    <w:rsid w:val="0083277C"/>
    <w:rsid w:val="00835534"/>
    <w:rsid w:val="008506A8"/>
    <w:rsid w:val="00851DD1"/>
    <w:rsid w:val="00874FB8"/>
    <w:rsid w:val="008A7A47"/>
    <w:rsid w:val="008B06D9"/>
    <w:rsid w:val="008B6046"/>
    <w:rsid w:val="008B6C3C"/>
    <w:rsid w:val="008B73D8"/>
    <w:rsid w:val="008B7437"/>
    <w:rsid w:val="008D76E7"/>
    <w:rsid w:val="008D7E10"/>
    <w:rsid w:val="008E68C4"/>
    <w:rsid w:val="008E77EB"/>
    <w:rsid w:val="008F06C7"/>
    <w:rsid w:val="008F4B94"/>
    <w:rsid w:val="008F563B"/>
    <w:rsid w:val="008F5D04"/>
    <w:rsid w:val="0093322A"/>
    <w:rsid w:val="009376D9"/>
    <w:rsid w:val="009567E7"/>
    <w:rsid w:val="00957BA6"/>
    <w:rsid w:val="009611DB"/>
    <w:rsid w:val="00991EDC"/>
    <w:rsid w:val="00996AD0"/>
    <w:rsid w:val="009A1EC3"/>
    <w:rsid w:val="009B45A4"/>
    <w:rsid w:val="009C43AD"/>
    <w:rsid w:val="009C63E3"/>
    <w:rsid w:val="009E76E7"/>
    <w:rsid w:val="009F0905"/>
    <w:rsid w:val="00A06B2C"/>
    <w:rsid w:val="00A15690"/>
    <w:rsid w:val="00A21DED"/>
    <w:rsid w:val="00A4256C"/>
    <w:rsid w:val="00A47F84"/>
    <w:rsid w:val="00A51077"/>
    <w:rsid w:val="00A73259"/>
    <w:rsid w:val="00A83F0B"/>
    <w:rsid w:val="00A878B7"/>
    <w:rsid w:val="00AA167D"/>
    <w:rsid w:val="00AA2DEE"/>
    <w:rsid w:val="00AA3D59"/>
    <w:rsid w:val="00AB4459"/>
    <w:rsid w:val="00AC098C"/>
    <w:rsid w:val="00AC3C24"/>
    <w:rsid w:val="00AC3CB1"/>
    <w:rsid w:val="00AC58D4"/>
    <w:rsid w:val="00AC667C"/>
    <w:rsid w:val="00AD644C"/>
    <w:rsid w:val="00AE0E1A"/>
    <w:rsid w:val="00B00721"/>
    <w:rsid w:val="00B456C2"/>
    <w:rsid w:val="00B5093C"/>
    <w:rsid w:val="00B54B0A"/>
    <w:rsid w:val="00B603A5"/>
    <w:rsid w:val="00B664BD"/>
    <w:rsid w:val="00B7576F"/>
    <w:rsid w:val="00B867E4"/>
    <w:rsid w:val="00B9109E"/>
    <w:rsid w:val="00B920D6"/>
    <w:rsid w:val="00B97CBD"/>
    <w:rsid w:val="00BA568D"/>
    <w:rsid w:val="00BB5863"/>
    <w:rsid w:val="00BD301E"/>
    <w:rsid w:val="00BD6198"/>
    <w:rsid w:val="00BF2BC7"/>
    <w:rsid w:val="00C044EA"/>
    <w:rsid w:val="00C06368"/>
    <w:rsid w:val="00C45A3A"/>
    <w:rsid w:val="00C606DF"/>
    <w:rsid w:val="00C85F95"/>
    <w:rsid w:val="00CB0C56"/>
    <w:rsid w:val="00CC6253"/>
    <w:rsid w:val="00CE1057"/>
    <w:rsid w:val="00D07254"/>
    <w:rsid w:val="00D1213B"/>
    <w:rsid w:val="00D46DC6"/>
    <w:rsid w:val="00D64489"/>
    <w:rsid w:val="00D67FA9"/>
    <w:rsid w:val="00D806F3"/>
    <w:rsid w:val="00D84488"/>
    <w:rsid w:val="00DA4D54"/>
    <w:rsid w:val="00DA63B3"/>
    <w:rsid w:val="00DB76EF"/>
    <w:rsid w:val="00DC65EF"/>
    <w:rsid w:val="00DE6EC8"/>
    <w:rsid w:val="00DF130F"/>
    <w:rsid w:val="00DF3607"/>
    <w:rsid w:val="00E018BC"/>
    <w:rsid w:val="00E03AA2"/>
    <w:rsid w:val="00E04813"/>
    <w:rsid w:val="00E211E6"/>
    <w:rsid w:val="00E22841"/>
    <w:rsid w:val="00E24FE4"/>
    <w:rsid w:val="00E279A2"/>
    <w:rsid w:val="00E40042"/>
    <w:rsid w:val="00E44775"/>
    <w:rsid w:val="00E450EF"/>
    <w:rsid w:val="00E54D11"/>
    <w:rsid w:val="00E64DF7"/>
    <w:rsid w:val="00E6790C"/>
    <w:rsid w:val="00E92697"/>
    <w:rsid w:val="00EA0E50"/>
    <w:rsid w:val="00EA165B"/>
    <w:rsid w:val="00EA2F59"/>
    <w:rsid w:val="00EA5A6A"/>
    <w:rsid w:val="00EC6773"/>
    <w:rsid w:val="00EE1473"/>
    <w:rsid w:val="00EE466B"/>
    <w:rsid w:val="00EE4FBF"/>
    <w:rsid w:val="00EE5BCE"/>
    <w:rsid w:val="00EF2653"/>
    <w:rsid w:val="00EF535A"/>
    <w:rsid w:val="00F16A10"/>
    <w:rsid w:val="00F2235D"/>
    <w:rsid w:val="00F24482"/>
    <w:rsid w:val="00F31E24"/>
    <w:rsid w:val="00F56DC5"/>
    <w:rsid w:val="00F651DD"/>
    <w:rsid w:val="00FA72D0"/>
    <w:rsid w:val="00FC03A0"/>
    <w:rsid w:val="00FE38CC"/>
    <w:rsid w:val="00FF4643"/>
    <w:rsid w:val="05E922D3"/>
    <w:rsid w:val="0BE835F0"/>
    <w:rsid w:val="14016C62"/>
    <w:rsid w:val="17271A38"/>
    <w:rsid w:val="18EB581E"/>
    <w:rsid w:val="1E683CB4"/>
    <w:rsid w:val="1E6C0D4B"/>
    <w:rsid w:val="21300624"/>
    <w:rsid w:val="29444BAF"/>
    <w:rsid w:val="2F99535C"/>
    <w:rsid w:val="383F1B53"/>
    <w:rsid w:val="3D4F77A2"/>
    <w:rsid w:val="47D90BAE"/>
    <w:rsid w:val="485B206D"/>
    <w:rsid w:val="49387174"/>
    <w:rsid w:val="4D081E98"/>
    <w:rsid w:val="536C4A12"/>
    <w:rsid w:val="56436954"/>
    <w:rsid w:val="5655071B"/>
    <w:rsid w:val="5A9C974B"/>
    <w:rsid w:val="5B1C52A0"/>
    <w:rsid w:val="5DBF47FC"/>
    <w:rsid w:val="601C29C7"/>
    <w:rsid w:val="6874746B"/>
    <w:rsid w:val="6B135315"/>
    <w:rsid w:val="700C499A"/>
    <w:rsid w:val="752B1BDA"/>
    <w:rsid w:val="76935AFF"/>
    <w:rsid w:val="76F86B55"/>
    <w:rsid w:val="7D5913CE"/>
    <w:rsid w:val="9FF767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Calibri"/>
      <w:sz w:val="18"/>
      <w:szCs w:val="18"/>
    </w:rPr>
  </w:style>
  <w:style w:type="character" w:customStyle="1" w:styleId="7">
    <w:name w:val="页脚 Char"/>
    <w:basedOn w:val="5"/>
    <w:link w:val="2"/>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704</Words>
  <Characters>750</Characters>
  <Lines>5</Lines>
  <Paragraphs>1</Paragraphs>
  <TotalTime>2</TotalTime>
  <ScaleCrop>false</ScaleCrop>
  <LinksUpToDate>false</LinksUpToDate>
  <CharactersWithSpaces>758</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2019-12-18T22:11:00Z</dcterms:created>
  <dc:creator>fujing yu</dc:creator>
  <cp:lastModifiedBy>ysgz</cp:lastModifiedBy>
  <dcterms:modified xsi:type="dcterms:W3CDTF">2025-04-11T17:37:03Z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39CF2B447C5645DB81D224FD20616D4B_13</vt:lpwstr>
  </property>
  <property fmtid="{D5CDD505-2E9C-101B-9397-08002B2CF9AE}" pid="4" name="KSOTemplateDocerSaveRecord">
    <vt:lpwstr>eyJoZGlkIjoiYmFhNGU0ZTc4M2RlYmEzMjhkYTljYTFhNDE0M2FkZmIiLCJ1c2VySWQiOiI0MjUxMDQ1MjMifQ==</vt:lpwstr>
  </property>
</Properties>
</file>