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lang w:eastAsia="zh-CN"/>
        </w:rPr>
        <w:t>贵州省装饰石膏板产品质量</w:t>
      </w:r>
      <w:r>
        <w:rPr>
          <w:rFonts w:hint="eastAsia" w:ascii="Times New Roman" w:hAnsi="Times New Roman" w:eastAsia="方正小标宋简体" w:cs="方正仿宋简体"/>
          <w:color w:val="000000"/>
          <w:sz w:val="32"/>
          <w:szCs w:val="32"/>
        </w:rPr>
        <w:t>监督抽查实施细则</w:t>
      </w:r>
    </w:p>
    <w:p>
      <w:pPr>
        <w:pStyle w:val="2"/>
        <w:jc w:val="center"/>
        <w:rPr>
          <w:rFonts w:hint="eastAsia"/>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抽样基数满足抽样数量即可。</w:t>
      </w:r>
    </w:p>
    <w:p>
      <w:pPr>
        <w:adjustRightInd w:val="0"/>
        <w:snapToGrid w:val="0"/>
        <w:spacing w:line="440" w:lineRule="exact"/>
        <w:ind w:firstLine="420" w:firstLineChars="200"/>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装饰石膏板抽取样品数量见表1。</w:t>
      </w:r>
    </w:p>
    <w:p>
      <w:pPr>
        <w:snapToGrid w:val="0"/>
        <w:spacing w:line="440" w:lineRule="exact"/>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eastAsia="zh-CN"/>
        </w:rPr>
        <w:t>表</w:t>
      </w:r>
      <w:r>
        <w:rPr>
          <w:rFonts w:hint="default" w:ascii="Times New Roman" w:hAnsi="Times New Roman" w:cs="Times New Roman"/>
          <w:color w:val="000000"/>
          <w:szCs w:val="21"/>
          <w:lang w:val="en-US" w:eastAsia="zh-CN"/>
        </w:rPr>
        <w:t>1 抽取样品数量</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2"/>
        <w:gridCol w:w="1710"/>
        <w:gridCol w:w="1065"/>
        <w:gridCol w:w="1607"/>
        <w:gridCol w:w="1835"/>
        <w:gridCol w:w="1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2" w:type="dxa"/>
            <w:vAlign w:val="center"/>
          </w:tcPr>
          <w:p>
            <w:pPr>
              <w:pStyle w:val="2"/>
              <w:ind w:left="0" w:leftChars="0" w:firstLine="0" w:firstLineChars="0"/>
              <w:jc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序号</w:t>
            </w:r>
          </w:p>
        </w:tc>
        <w:tc>
          <w:tcPr>
            <w:tcW w:w="2775" w:type="dxa"/>
            <w:gridSpan w:val="2"/>
            <w:vAlign w:val="center"/>
          </w:tcPr>
          <w:p>
            <w:pPr>
              <w:pStyle w:val="2"/>
              <w:ind w:left="0" w:leftChars="0" w:firstLine="0" w:firstLineChars="0"/>
              <w:jc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产品种类</w:t>
            </w:r>
          </w:p>
        </w:tc>
        <w:tc>
          <w:tcPr>
            <w:tcW w:w="1607" w:type="dxa"/>
            <w:vAlign w:val="center"/>
          </w:tcPr>
          <w:p>
            <w:pPr>
              <w:pStyle w:val="2"/>
              <w:ind w:left="0" w:leftChars="0" w:firstLine="0" w:firstLineChars="0"/>
              <w:jc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抽样数量（块）</w:t>
            </w:r>
          </w:p>
        </w:tc>
        <w:tc>
          <w:tcPr>
            <w:tcW w:w="1835" w:type="dxa"/>
            <w:vAlign w:val="center"/>
          </w:tcPr>
          <w:p>
            <w:pPr>
              <w:pStyle w:val="2"/>
              <w:ind w:left="0" w:leftChars="0" w:firstLine="0" w:firstLineChars="0"/>
              <w:jc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检验样品数量（块）</w:t>
            </w:r>
          </w:p>
        </w:tc>
        <w:tc>
          <w:tcPr>
            <w:tcW w:w="1835" w:type="dxa"/>
            <w:vAlign w:val="center"/>
          </w:tcPr>
          <w:p>
            <w:pPr>
              <w:pStyle w:val="2"/>
              <w:ind w:left="0" w:leftChars="0" w:firstLine="0" w:firstLineChars="0"/>
              <w:jc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备用样品数量（块）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trPr>
        <w:tc>
          <w:tcPr>
            <w:tcW w:w="1122" w:type="dxa"/>
            <w:vMerge w:val="restart"/>
            <w:vAlign w:val="center"/>
          </w:tcPr>
          <w:p>
            <w:pPr>
              <w:pStyle w:val="2"/>
              <w:ind w:left="0" w:leftChars="0" w:firstLine="0" w:firstLineChars="0"/>
              <w:jc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1</w:t>
            </w:r>
          </w:p>
        </w:tc>
        <w:tc>
          <w:tcPr>
            <w:tcW w:w="1710" w:type="dxa"/>
            <w:vMerge w:val="restart"/>
            <w:vAlign w:val="center"/>
          </w:tcPr>
          <w:p>
            <w:pPr>
              <w:pStyle w:val="2"/>
              <w:ind w:left="0" w:leftChars="0" w:firstLine="0" w:firstLineChars="0"/>
              <w:jc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装饰石膏板</w:t>
            </w:r>
          </w:p>
        </w:tc>
        <w:tc>
          <w:tcPr>
            <w:tcW w:w="1065" w:type="dxa"/>
            <w:vAlign w:val="center"/>
          </w:tcPr>
          <w:p>
            <w:pPr>
              <w:pStyle w:val="2"/>
              <w:ind w:left="0" w:leftChars="0" w:firstLine="0" w:firstLineChars="0"/>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普通版</w:t>
            </w:r>
          </w:p>
        </w:tc>
        <w:tc>
          <w:tcPr>
            <w:tcW w:w="1607" w:type="dxa"/>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6</w:t>
            </w:r>
          </w:p>
        </w:tc>
        <w:tc>
          <w:tcPr>
            <w:tcW w:w="1835" w:type="dxa"/>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w:t>
            </w:r>
          </w:p>
        </w:tc>
        <w:tc>
          <w:tcPr>
            <w:tcW w:w="1835" w:type="dxa"/>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trPr>
        <w:tc>
          <w:tcPr>
            <w:tcW w:w="1122" w:type="dxa"/>
            <w:vMerge w:val="continue"/>
            <w:vAlign w:val="center"/>
          </w:tcPr>
          <w:p>
            <w:pPr>
              <w:pStyle w:val="2"/>
              <w:ind w:left="0" w:leftChars="0" w:firstLine="0" w:firstLineChars="0"/>
              <w:jc w:val="center"/>
              <w:rPr>
                <w:rFonts w:hint="default" w:ascii="Times New Roman" w:hAnsi="Times New Roman" w:cs="Times New Roman"/>
                <w:vertAlign w:val="baseline"/>
                <w:lang w:val="en-US" w:eastAsia="zh-CN"/>
              </w:rPr>
            </w:pPr>
          </w:p>
        </w:tc>
        <w:tc>
          <w:tcPr>
            <w:tcW w:w="1710" w:type="dxa"/>
            <w:vMerge w:val="continue"/>
            <w:vAlign w:val="center"/>
          </w:tcPr>
          <w:p>
            <w:pPr>
              <w:pStyle w:val="2"/>
              <w:ind w:left="0" w:leftChars="0" w:firstLine="0" w:firstLineChars="0"/>
              <w:jc w:val="center"/>
              <w:rPr>
                <w:rFonts w:hint="default" w:ascii="Times New Roman" w:hAnsi="Times New Roman" w:cs="Times New Roman"/>
                <w:vertAlign w:val="baseline"/>
                <w:lang w:val="en-US" w:eastAsia="zh-CN"/>
              </w:rPr>
            </w:pPr>
          </w:p>
        </w:tc>
        <w:tc>
          <w:tcPr>
            <w:tcW w:w="1065" w:type="dxa"/>
            <w:vAlign w:val="center"/>
          </w:tcPr>
          <w:p>
            <w:pPr>
              <w:pStyle w:val="2"/>
              <w:ind w:left="0" w:leftChars="0" w:firstLine="0" w:firstLineChars="0"/>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防潮板</w:t>
            </w:r>
          </w:p>
        </w:tc>
        <w:tc>
          <w:tcPr>
            <w:tcW w:w="1607" w:type="dxa"/>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18</w:t>
            </w:r>
          </w:p>
        </w:tc>
        <w:tc>
          <w:tcPr>
            <w:tcW w:w="1835" w:type="dxa"/>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9</w:t>
            </w:r>
          </w:p>
        </w:tc>
        <w:tc>
          <w:tcPr>
            <w:tcW w:w="1835" w:type="dxa"/>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2" w:hRule="atLeast"/>
        </w:trPr>
        <w:tc>
          <w:tcPr>
            <w:tcW w:w="1122" w:type="dxa"/>
            <w:vMerge w:val="restart"/>
            <w:vAlign w:val="center"/>
          </w:tcPr>
          <w:p>
            <w:pPr>
              <w:pStyle w:val="2"/>
              <w:ind w:left="0" w:leftChars="0" w:firstLine="0" w:firstLineChars="0"/>
              <w:jc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2</w:t>
            </w:r>
          </w:p>
        </w:tc>
        <w:tc>
          <w:tcPr>
            <w:tcW w:w="1710" w:type="dxa"/>
            <w:vMerge w:val="restart"/>
            <w:vAlign w:val="center"/>
          </w:tcPr>
          <w:p>
            <w:pPr>
              <w:pStyle w:val="2"/>
              <w:ind w:left="0" w:leftChars="0" w:firstLine="0" w:firstLineChars="0"/>
              <w:jc w:val="cente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装饰纸面石膏板</w:t>
            </w:r>
          </w:p>
        </w:tc>
        <w:tc>
          <w:tcPr>
            <w:tcW w:w="1065" w:type="dxa"/>
            <w:vAlign w:val="center"/>
          </w:tcPr>
          <w:p>
            <w:pPr>
              <w:pStyle w:val="2"/>
              <w:ind w:left="0" w:leftChars="0" w:firstLine="0" w:firstLineChars="0"/>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普通版</w:t>
            </w:r>
          </w:p>
        </w:tc>
        <w:tc>
          <w:tcPr>
            <w:tcW w:w="1607" w:type="dxa"/>
            <w:vAlign w:val="center"/>
          </w:tcPr>
          <w:p>
            <w:pPr>
              <w:pStyle w:val="2"/>
              <w:ind w:left="0" w:leftChars="0" w:firstLine="0" w:firstLineChars="0"/>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eastAsia="宋体" w:cs="Times New Roman"/>
                <w:lang w:val="en-US" w:eastAsia="zh-CN"/>
              </w:rPr>
              <w:t>6</w:t>
            </w:r>
          </w:p>
        </w:tc>
        <w:tc>
          <w:tcPr>
            <w:tcW w:w="1835" w:type="dxa"/>
            <w:vAlign w:val="center"/>
          </w:tcPr>
          <w:p>
            <w:pPr>
              <w:pStyle w:val="2"/>
              <w:ind w:left="0" w:leftChars="0" w:firstLine="0" w:firstLineChars="0"/>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eastAsia="宋体" w:cs="Times New Roman"/>
                <w:lang w:val="en-US" w:eastAsia="zh-CN"/>
              </w:rPr>
              <w:t>3</w:t>
            </w:r>
          </w:p>
        </w:tc>
        <w:tc>
          <w:tcPr>
            <w:tcW w:w="1835" w:type="dxa"/>
            <w:vAlign w:val="center"/>
          </w:tcPr>
          <w:p>
            <w:pPr>
              <w:pStyle w:val="2"/>
              <w:ind w:left="0" w:leftChars="0" w:firstLine="0" w:firstLineChars="0"/>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eastAsia="宋体" w:cs="Times New Roman"/>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2" w:hRule="atLeast"/>
        </w:trPr>
        <w:tc>
          <w:tcPr>
            <w:tcW w:w="1122" w:type="dxa"/>
            <w:vMerge w:val="continue"/>
            <w:vAlign w:val="center"/>
          </w:tcPr>
          <w:p>
            <w:pPr>
              <w:pStyle w:val="2"/>
              <w:ind w:left="0" w:leftChars="0" w:firstLine="0" w:firstLineChars="0"/>
              <w:jc w:val="center"/>
              <w:rPr>
                <w:rFonts w:hint="default" w:ascii="Times New Roman" w:hAnsi="Times New Roman" w:cs="Times New Roman"/>
                <w:vertAlign w:val="baseline"/>
                <w:lang w:val="en-US" w:eastAsia="zh-CN"/>
              </w:rPr>
            </w:pPr>
          </w:p>
        </w:tc>
        <w:tc>
          <w:tcPr>
            <w:tcW w:w="1710" w:type="dxa"/>
            <w:vMerge w:val="continue"/>
            <w:vAlign w:val="center"/>
          </w:tcPr>
          <w:p>
            <w:pPr>
              <w:pStyle w:val="2"/>
              <w:ind w:left="0" w:leftChars="0" w:firstLine="0" w:firstLineChars="0"/>
              <w:jc w:val="center"/>
              <w:rPr>
                <w:rFonts w:hint="default" w:ascii="Times New Roman" w:hAnsi="Times New Roman" w:cs="Times New Roman"/>
                <w:vertAlign w:val="baseline"/>
                <w:lang w:val="en-US" w:eastAsia="zh-CN"/>
              </w:rPr>
            </w:pPr>
          </w:p>
        </w:tc>
        <w:tc>
          <w:tcPr>
            <w:tcW w:w="1065" w:type="dxa"/>
            <w:vAlign w:val="center"/>
          </w:tcPr>
          <w:p>
            <w:pPr>
              <w:pStyle w:val="2"/>
              <w:ind w:left="0" w:leftChars="0" w:firstLine="0" w:firstLineChars="0"/>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防潮板</w:t>
            </w:r>
          </w:p>
        </w:tc>
        <w:tc>
          <w:tcPr>
            <w:tcW w:w="1607" w:type="dxa"/>
            <w:shd w:val="clear" w:color="auto" w:fill="auto"/>
            <w:vAlign w:val="center"/>
          </w:tcPr>
          <w:p>
            <w:pPr>
              <w:pStyle w:val="2"/>
              <w:ind w:left="0" w:leftChars="0" w:firstLine="0" w:firstLineChars="0"/>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eastAsia="宋体" w:cs="Times New Roman"/>
                <w:kern w:val="2"/>
                <w:sz w:val="21"/>
                <w:szCs w:val="24"/>
                <w:lang w:val="en-US" w:eastAsia="zh-CN" w:bidi="ar-SA"/>
              </w:rPr>
              <w:t>12</w:t>
            </w:r>
          </w:p>
        </w:tc>
        <w:tc>
          <w:tcPr>
            <w:tcW w:w="1835" w:type="dxa"/>
            <w:shd w:val="clear" w:color="auto" w:fill="auto"/>
            <w:vAlign w:val="center"/>
          </w:tcPr>
          <w:p>
            <w:pPr>
              <w:pStyle w:val="2"/>
              <w:ind w:left="0" w:leftChars="0" w:firstLine="0" w:firstLineChars="0"/>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eastAsia="宋体" w:cs="Times New Roman"/>
                <w:kern w:val="2"/>
                <w:sz w:val="21"/>
                <w:szCs w:val="24"/>
                <w:lang w:val="en-US" w:eastAsia="zh-CN" w:bidi="ar-SA"/>
              </w:rPr>
              <w:t>6</w:t>
            </w:r>
          </w:p>
        </w:tc>
        <w:tc>
          <w:tcPr>
            <w:tcW w:w="1835" w:type="dxa"/>
            <w:shd w:val="clear" w:color="auto" w:fill="auto"/>
            <w:vAlign w:val="center"/>
          </w:tcPr>
          <w:p>
            <w:pPr>
              <w:pStyle w:val="2"/>
              <w:ind w:left="0" w:leftChars="0" w:firstLine="0" w:firstLineChars="0"/>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eastAsia="宋体" w:cs="Times New Roman"/>
                <w:kern w:val="2"/>
                <w:sz w:val="21"/>
                <w:szCs w:val="24"/>
                <w:lang w:val="en-US" w:eastAsia="zh-CN" w:bidi="ar-SA"/>
              </w:rPr>
              <w:t>6</w:t>
            </w:r>
          </w:p>
        </w:tc>
      </w:tr>
    </w:tbl>
    <w:p>
      <w:pPr>
        <w:pStyle w:val="2"/>
        <w:rPr>
          <w:rFonts w:hint="default" w:ascii="Times New Roman" w:hAnsi="Times New Roman" w:cs="Times New Roman"/>
          <w:lang w:val="en-US"/>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napToGrid w:val="0"/>
        <w:spacing w:line="440" w:lineRule="exact"/>
        <w:jc w:val="center"/>
        <w:rPr>
          <w:rFonts w:hint="default" w:ascii="Times New Roman" w:hAnsi="Times New Roman" w:cs="Times New Roman"/>
        </w:rPr>
      </w:pPr>
      <w:r>
        <w:rPr>
          <w:rFonts w:hint="default" w:ascii="Times New Roman" w:hAnsi="Times New Roman" w:cs="Times New Roman"/>
          <w:color w:val="000000"/>
          <w:szCs w:val="21"/>
        </w:rPr>
        <w:t>表</w:t>
      </w:r>
      <w:r>
        <w:rPr>
          <w:rFonts w:hint="default" w:ascii="Times New Roman" w:hAnsi="Times New Roman" w:cs="Times New Roman"/>
          <w:color w:val="000000"/>
          <w:szCs w:val="21"/>
          <w:lang w:val="en-US" w:eastAsia="zh-CN"/>
        </w:rPr>
        <w:t>2 装饰石膏板</w:t>
      </w:r>
    </w:p>
    <w:tbl>
      <w:tblPr>
        <w:tblStyle w:val="4"/>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5186"/>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1111" w:type="dxa"/>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bookmarkStart w:id="1" w:name="_GoBack"/>
            <w:r>
              <w:rPr>
                <w:rFonts w:hint="default" w:ascii="Times New Roman" w:hAnsi="Times New Roman" w:eastAsia="宋体" w:cs="Times New Roman"/>
                <w:szCs w:val="21"/>
                <w:lang w:val="en-US" w:eastAsia="zh-CN"/>
              </w:rPr>
              <w:t>序号</w:t>
            </w:r>
          </w:p>
        </w:tc>
        <w:tc>
          <w:tcPr>
            <w:tcW w:w="5186" w:type="dxa"/>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检验项目</w:t>
            </w:r>
          </w:p>
        </w:tc>
        <w:tc>
          <w:tcPr>
            <w:tcW w:w="2761" w:type="dxa"/>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1111"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1</w:t>
            </w:r>
          </w:p>
        </w:tc>
        <w:tc>
          <w:tcPr>
            <w:tcW w:w="51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含水率</w:t>
            </w:r>
          </w:p>
        </w:tc>
        <w:tc>
          <w:tcPr>
            <w:tcW w:w="2761" w:type="dxa"/>
            <w:noWrap w:val="0"/>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1111"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2</w:t>
            </w:r>
          </w:p>
        </w:tc>
        <w:tc>
          <w:tcPr>
            <w:tcW w:w="51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单位面积质量</w:t>
            </w:r>
          </w:p>
        </w:tc>
        <w:tc>
          <w:tcPr>
            <w:tcW w:w="2761" w:type="dxa"/>
            <w:noWrap w:val="0"/>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1111"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3</w:t>
            </w:r>
          </w:p>
        </w:tc>
        <w:tc>
          <w:tcPr>
            <w:tcW w:w="51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断裂荷载</w:t>
            </w:r>
          </w:p>
        </w:tc>
        <w:tc>
          <w:tcPr>
            <w:tcW w:w="2761" w:type="dxa"/>
            <w:noWrap w:val="0"/>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1111"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4</w:t>
            </w:r>
          </w:p>
        </w:tc>
        <w:tc>
          <w:tcPr>
            <w:tcW w:w="51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吸水率*</w:t>
            </w:r>
          </w:p>
        </w:tc>
        <w:tc>
          <w:tcPr>
            <w:tcW w:w="27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lang w:val="en-US" w:eastAsia="zh-CN"/>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1111"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bookmarkStart w:id="0" w:name="_Hlk28257335"/>
            <w:r>
              <w:rPr>
                <w:rFonts w:hint="default" w:ascii="Times New Roman" w:hAnsi="Times New Roman" w:eastAsia="宋体" w:cs="Times New Roman"/>
                <w:bCs/>
                <w:kern w:val="2"/>
                <w:sz w:val="21"/>
                <w:szCs w:val="21"/>
                <w:lang w:val="en-US" w:eastAsia="zh-CN"/>
              </w:rPr>
              <w:t>5</w:t>
            </w:r>
          </w:p>
        </w:tc>
        <w:tc>
          <w:tcPr>
            <w:tcW w:w="51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受潮挠度*</w:t>
            </w:r>
          </w:p>
        </w:tc>
        <w:tc>
          <w:tcPr>
            <w:tcW w:w="27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lang w:val="en-US" w:eastAsia="zh-CN"/>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1111"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6</w:t>
            </w:r>
          </w:p>
        </w:tc>
        <w:tc>
          <w:tcPr>
            <w:tcW w:w="51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放射性</w:t>
            </w:r>
          </w:p>
        </w:tc>
        <w:tc>
          <w:tcPr>
            <w:tcW w:w="276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3" w:hRule="atLeast"/>
          <w:jc w:val="center"/>
        </w:trPr>
        <w:tc>
          <w:tcPr>
            <w:tcW w:w="9058"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 xml:space="preserve"> *仅适用于防潮板。</w:t>
            </w:r>
          </w:p>
        </w:tc>
      </w:tr>
      <w:bookmarkEnd w:id="1"/>
    </w:tbl>
    <w:p>
      <w:pPr>
        <w:keepNext w:val="0"/>
        <w:keepLines w:val="0"/>
        <w:pageBreakBefore w:val="0"/>
        <w:widowControl w:val="0"/>
        <w:kinsoku/>
        <w:wordWrap/>
        <w:overflowPunct/>
        <w:topLinePunct w:val="0"/>
        <w:autoSpaceDE/>
        <w:autoSpaceDN/>
        <w:bidi w:val="0"/>
        <w:adjustRightInd w:val="0"/>
        <w:snapToGrid w:val="0"/>
        <w:spacing w:before="157" w:beforeLines="50" w:line="440" w:lineRule="exact"/>
        <w:ind w:firstLine="420" w:firstLineChars="200"/>
        <w:jc w:val="center"/>
        <w:textAlignment w:val="auto"/>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lang w:eastAsia="zh-CN"/>
        </w:rPr>
        <w:t>表</w:t>
      </w:r>
      <w:r>
        <w:rPr>
          <w:rFonts w:hint="default" w:ascii="Times New Roman" w:hAnsi="Times New Roman" w:cs="Times New Roman"/>
          <w:color w:val="000000"/>
          <w:szCs w:val="21"/>
          <w:lang w:val="en-US" w:eastAsia="zh-CN"/>
        </w:rPr>
        <w:t>3 装饰纸面石膏板</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5251"/>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1125" w:type="dxa"/>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序号</w:t>
            </w:r>
          </w:p>
        </w:tc>
        <w:tc>
          <w:tcPr>
            <w:tcW w:w="5251" w:type="dxa"/>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检验项目</w:t>
            </w:r>
          </w:p>
        </w:tc>
        <w:tc>
          <w:tcPr>
            <w:tcW w:w="2796" w:type="dxa"/>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1</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含水率</w:t>
            </w:r>
          </w:p>
        </w:tc>
        <w:tc>
          <w:tcPr>
            <w:tcW w:w="2796" w:type="dxa"/>
            <w:noWrap w:val="0"/>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997-2006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2</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单位面积质量</w:t>
            </w:r>
          </w:p>
        </w:tc>
        <w:tc>
          <w:tcPr>
            <w:tcW w:w="2796" w:type="dxa"/>
            <w:noWrap w:val="0"/>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997-2006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3</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断裂荷载</w:t>
            </w:r>
          </w:p>
        </w:tc>
        <w:tc>
          <w:tcPr>
            <w:tcW w:w="2796" w:type="dxa"/>
            <w:noWrap w:val="0"/>
            <w:vAlign w:val="center"/>
          </w:tcPr>
          <w:p>
            <w:pPr>
              <w:pStyle w:val="2"/>
              <w:ind w:left="0" w:leftChars="0" w:firstLine="0" w:firstLineChars="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997-2006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4</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受潮挠度*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lang w:val="en-US" w:eastAsia="zh-CN"/>
              </w:rPr>
              <w:t>JC/T 997-2006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5</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护面纸与石膏芯粘结</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6</w:t>
            </w:r>
          </w:p>
        </w:tc>
        <w:tc>
          <w:tcPr>
            <w:tcW w:w="5251"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Cs w:val="21"/>
                <w:lang w:val="en-US" w:eastAsia="zh-CN"/>
              </w:rPr>
              <w:t>放射性</w:t>
            </w:r>
          </w:p>
        </w:tc>
        <w:tc>
          <w:tcPr>
            <w:tcW w:w="2796"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Cs w:val="21"/>
                <w:lang w:val="en-US" w:eastAsia="zh-CN"/>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9172"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 xml:space="preserve"> *仅适用于防潮板。</w:t>
            </w:r>
          </w:p>
        </w:tc>
      </w:tr>
    </w:tbl>
    <w:p>
      <w:pPr>
        <w:keepNext w:val="0"/>
        <w:keepLines w:val="0"/>
        <w:pageBreakBefore w:val="0"/>
        <w:widowControl w:val="0"/>
        <w:kinsoku/>
        <w:wordWrap/>
        <w:overflowPunct/>
        <w:topLinePunct w:val="0"/>
        <w:autoSpaceDE/>
        <w:autoSpaceDN/>
        <w:bidi w:val="0"/>
        <w:adjustRightInd w:val="0"/>
        <w:snapToGrid w:val="0"/>
        <w:spacing w:before="157" w:beforeLines="50"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rFonts w:hint="default" w:ascii="Times New Roman" w:hAnsi="Times New Roman"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adjustRightInd w:val="0"/>
        <w:snapToGrid w:val="0"/>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lang w:val="en-US" w:eastAsia="zh-CN"/>
        </w:rPr>
        <w:t>JC/T 799-2016</w:t>
      </w:r>
      <w:r>
        <w:rPr>
          <w:rFonts w:hint="default" w:ascii="Times New Roman" w:hAnsi="Times New Roman" w:eastAsia="宋体" w:cs="Times New Roman"/>
          <w:color w:val="000000"/>
          <w:szCs w:val="21"/>
          <w:lang w:val="en-US" w:eastAsia="zh-CN"/>
        </w:rPr>
        <w:t xml:space="preserve"> 装饰石膏板</w:t>
      </w:r>
    </w:p>
    <w:p>
      <w:pPr>
        <w:pStyle w:val="2"/>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JC/T 997-2006 装饰纸面石膏板</w:t>
      </w:r>
    </w:p>
    <w:p>
      <w:pPr>
        <w:pStyle w:val="2"/>
        <w:adjustRightInd w:val="0"/>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lang w:val="en-US" w:eastAsia="zh-CN"/>
        </w:rPr>
        <w:t>GB 6566-2010 建筑材料放射性核素限量</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现行有效的企业标准、团体标准、地方标准及产品明示质量要求</w:t>
      </w:r>
    </w:p>
    <w:p>
      <w:pPr>
        <w:adjustRightInd w:val="0"/>
        <w:snapToGrid w:val="0"/>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p>
    <w:p>
      <w:pPr>
        <w:spacing w:line="440" w:lineRule="exact"/>
        <w:rPr>
          <w:rFonts w:hint="default" w:ascii="Times New Roman" w:hAnsi="Times New Roman" w:eastAsia="黑体" w:cs="Times New Roman"/>
          <w:color w:val="000000"/>
          <w:sz w:val="21"/>
          <w:szCs w:val="21"/>
          <w:lang w:eastAsia="zh-CN"/>
        </w:rPr>
      </w:pPr>
      <w:r>
        <w:rPr>
          <w:rFonts w:hint="default" w:ascii="Times New Roman" w:hAnsi="Times New Roman" w:eastAsia="黑体" w:cs="Times New Roman"/>
          <w:color w:val="000000"/>
          <w:sz w:val="21"/>
          <w:szCs w:val="21"/>
          <w:lang w:eastAsia="zh-CN"/>
        </w:rPr>
        <w:t>4 附则</w:t>
      </w:r>
    </w:p>
    <w:p>
      <w:pPr>
        <w:ind w:firstLine="420" w:firstLineChars="200"/>
      </w:pPr>
      <w:r>
        <w:rPr>
          <w:rFonts w:hint="default" w:ascii="Times New Roman" w:hAnsi="Times New Roman" w:cs="Times New Roman"/>
          <w:color w:val="000000"/>
          <w:szCs w:val="21"/>
        </w:rPr>
        <w:t>本细则代替《贵州省市场监管局关于发布2024年版防爆灯具等142种产品贵州省产品质量监督抽查实施细则的公告》</w:t>
      </w:r>
      <w:r>
        <w:rPr>
          <w:rFonts w:hint="default" w:ascii="Times New Roman" w:hAnsi="Times New Roman" w:cs="Times New Roman"/>
          <w:color w:val="000000"/>
        </w:rPr>
        <w:t>中的</w:t>
      </w:r>
      <w:r>
        <w:rPr>
          <w:rFonts w:hint="default" w:ascii="Times New Roman" w:hAnsi="Times New Roman" w:cs="Times New Roman"/>
          <w:color w:val="000000"/>
          <w:szCs w:val="21"/>
        </w:rPr>
        <w:t>《贵州省</w:t>
      </w:r>
      <w:r>
        <w:rPr>
          <w:rFonts w:hint="default" w:ascii="Times New Roman" w:hAnsi="Times New Roman" w:cs="Times New Roman"/>
          <w:color w:val="000000"/>
          <w:szCs w:val="21"/>
          <w:lang w:val="en-US" w:eastAsia="zh-CN"/>
        </w:rPr>
        <w:t>装饰</w:t>
      </w:r>
      <w:r>
        <w:rPr>
          <w:rFonts w:hint="default" w:ascii="Times New Roman" w:hAnsi="Times New Roman" w:cs="Times New Roman"/>
          <w:color w:val="000000"/>
          <w:szCs w:val="21"/>
        </w:rPr>
        <w:t>石膏板产品质量监督抽查实施细则（202</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年版）</w:t>
      </w:r>
      <w:r>
        <w:rPr>
          <w:rFonts w:hint="default" w:ascii="Times New Roman" w:hAnsi="Times New Roman" w:cs="Times New Roman"/>
          <w:color w:val="000000"/>
          <w:szCs w:val="21"/>
        </w:rPr>
        <w:t>》。</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iYjM0NjgxMTZlMTI0ZDMzNmI2NDViOGFkMDg4NGMifQ=="/>
  </w:docVars>
  <w:rsids>
    <w:rsidRoot w:val="382C359E"/>
    <w:rsid w:val="01B67F15"/>
    <w:rsid w:val="076A6614"/>
    <w:rsid w:val="0D9452DD"/>
    <w:rsid w:val="0E1277B4"/>
    <w:rsid w:val="0EAE6EA0"/>
    <w:rsid w:val="14882B2B"/>
    <w:rsid w:val="16152C0C"/>
    <w:rsid w:val="17AC665D"/>
    <w:rsid w:val="1B2C527B"/>
    <w:rsid w:val="1C1067D3"/>
    <w:rsid w:val="1CA42439"/>
    <w:rsid w:val="1E89289F"/>
    <w:rsid w:val="1FCB3116"/>
    <w:rsid w:val="20380C83"/>
    <w:rsid w:val="254906EB"/>
    <w:rsid w:val="2E8A4808"/>
    <w:rsid w:val="36F4746E"/>
    <w:rsid w:val="382C359E"/>
    <w:rsid w:val="3E3E45AC"/>
    <w:rsid w:val="402227A9"/>
    <w:rsid w:val="45B8130C"/>
    <w:rsid w:val="56843502"/>
    <w:rsid w:val="56EC7EF9"/>
    <w:rsid w:val="572F6305"/>
    <w:rsid w:val="5A5E30DB"/>
    <w:rsid w:val="5F1C08BD"/>
    <w:rsid w:val="60A11414"/>
    <w:rsid w:val="634569C9"/>
    <w:rsid w:val="6511735A"/>
    <w:rsid w:val="69B95923"/>
    <w:rsid w:val="6AD45B64"/>
    <w:rsid w:val="6CA36463"/>
    <w:rsid w:val="6D610462"/>
    <w:rsid w:val="6EDE355B"/>
    <w:rsid w:val="6FE7796B"/>
    <w:rsid w:val="73AD5A30"/>
    <w:rsid w:val="74E406A0"/>
    <w:rsid w:val="77964288"/>
    <w:rsid w:val="7A0D4FD6"/>
    <w:rsid w:val="A36C6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3">
    <w:name w:val="Plain Text"/>
    <w:basedOn w:val="1"/>
    <w:qFormat/>
    <w:uiPriority w:val="99"/>
    <w:rPr>
      <w:rFonts w:ascii="宋体" w:hAnsi="Courier New"/>
      <w:kern w:val="0"/>
      <w:sz w:val="20"/>
      <w:szCs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Paragraph"/>
    <w:basedOn w:val="1"/>
    <w:qFormat/>
    <w:uiPriority w:val="1"/>
    <w:rPr>
      <w:rFonts w:ascii="宋体" w:hAnsi="宋体" w:eastAsia="宋体" w:cs="宋体"/>
      <w:lang w:val="zh-CN" w:eastAsia="zh-CN" w:bidi="zh-CN"/>
    </w:rPr>
  </w:style>
  <w:style w:type="paragraph" w:customStyle="1" w:styleId="8">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9">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922</Words>
  <Characters>1095</Characters>
  <Lines>0</Lines>
  <Paragraphs>0</Paragraphs>
  <TotalTime>1</TotalTime>
  <ScaleCrop>false</ScaleCrop>
  <LinksUpToDate>false</LinksUpToDate>
  <CharactersWithSpaces>1122</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2020-06-03T07:40:00Z</dcterms:created>
  <dc:creator>青鸟</dc:creator>
  <cp:lastModifiedBy>ysgz</cp:lastModifiedBy>
  <dcterms:modified xsi:type="dcterms:W3CDTF">2025-04-14T09:29:52Z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0ECBA3B2B70445339FA336E751E22C9F_13</vt:lpwstr>
  </property>
  <property fmtid="{D5CDD505-2E9C-101B-9397-08002B2CF9AE}" pid="4" name="KSOTemplateDocerSaveRecord">
    <vt:lpwstr>eyJoZGlkIjoiYmFhNGU0ZTc4M2RlYmEzMjhkYTljYTFhNDE0M2FkZmIiLCJ1c2VySWQiOiI0MjUxMDQ1MjMifQ==</vt:lpwstr>
  </property>
</Properties>
</file>