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94" w:lineRule="exact"/>
        <w:jc w:val="center"/>
        <w:rPr>
          <w:rFonts w:ascii="Times New Roman" w:hAnsi="Times New Roman" w:eastAsia="微软雅黑" w:cs="微软雅黑"/>
          <w:color w:val="000000"/>
          <w:sz w:val="32"/>
          <w:szCs w:val="32"/>
        </w:rPr>
      </w:pPr>
      <w:r>
        <w:rPr>
          <w:rFonts w:hint="eastAsia" w:ascii="Times New Roman" w:hAnsi="Times New Roman" w:eastAsia="微软雅黑" w:cs="微软雅黑"/>
          <w:color w:val="000000"/>
          <w:sz w:val="32"/>
          <w:szCs w:val="32"/>
          <w:lang w:val="en-US" w:eastAsia="zh-CN"/>
        </w:rPr>
        <w:t xml:space="preserve">  </w:t>
      </w:r>
      <w:r>
        <w:rPr>
          <w:rFonts w:hint="eastAsia" w:ascii="方正小标宋_GBK" w:hAnsi="方正小标宋_GBK" w:eastAsia="方正小标宋_GBK" w:cs="方正小标宋_GBK"/>
          <w:color w:val="000000"/>
          <w:sz w:val="32"/>
          <w:szCs w:val="32"/>
        </w:rPr>
        <w:t>贵州省</w:t>
      </w:r>
      <w:r>
        <w:rPr>
          <w:rFonts w:hint="eastAsia" w:ascii="方正小标宋_GBK" w:hAnsi="方正小标宋_GBK" w:eastAsia="方正小标宋_GBK" w:cs="方正小标宋_GBK"/>
          <w:color w:val="000000"/>
          <w:sz w:val="32"/>
          <w:szCs w:val="32"/>
          <w:lang w:val="en-US" w:eastAsia="zh-CN"/>
        </w:rPr>
        <w:t>瓷砖胶</w:t>
      </w:r>
      <w:r>
        <w:rPr>
          <w:rFonts w:hint="eastAsia" w:ascii="方正小标宋_GBK" w:hAnsi="方正小标宋_GBK" w:eastAsia="方正小标宋_GBK" w:cs="方正小标宋_GBK"/>
          <w:color w:val="000000"/>
          <w:sz w:val="32"/>
          <w:szCs w:val="32"/>
        </w:rPr>
        <w:t>产品质量监督抽查实施细则</w:t>
      </w:r>
    </w:p>
    <w:p>
      <w:pPr>
        <w:snapToGrid w:val="0"/>
        <w:spacing w:line="440" w:lineRule="exact"/>
        <w:jc w:val="center"/>
        <w:rPr>
          <w:rFonts w:ascii="黑体" w:hAnsi="黑体" w:eastAsia="黑体"/>
          <w:szCs w:val="21"/>
        </w:rPr>
      </w:pPr>
      <w:r>
        <w:rPr>
          <w:rFonts w:hint="eastAsia" w:ascii="楷体_GB2312" w:hAnsi="楷体_GB2312" w:eastAsia="楷体_GB2312" w:cs="楷体_GB2312"/>
          <w:color w:val="000000"/>
          <w:sz w:val="32"/>
          <w:szCs w:val="32"/>
        </w:rPr>
        <w:t>（202</w:t>
      </w:r>
      <w:r>
        <w:rPr>
          <w:rFonts w:hint="eastAsia" w:ascii="楷体_GB2312" w:hAnsi="楷体_GB2312" w:eastAsia="楷体_GB2312" w:cs="楷体_GB2312"/>
          <w:color w:val="000000"/>
          <w:sz w:val="32"/>
          <w:szCs w:val="32"/>
          <w:lang w:val="en-US" w:eastAsia="zh-CN"/>
        </w:rPr>
        <w:t>5</w:t>
      </w:r>
      <w:r>
        <w:rPr>
          <w:rFonts w:hint="eastAsia" w:ascii="楷体_GB2312" w:hAnsi="楷体_GB2312" w:eastAsia="楷体_GB2312" w:cs="楷体_GB2312"/>
          <w:color w:val="000000"/>
          <w:sz w:val="32"/>
          <w:szCs w:val="32"/>
        </w:rPr>
        <w:t>年版）</w:t>
      </w:r>
    </w:p>
    <w:p>
      <w:pPr>
        <w:snapToGrid w:val="0"/>
        <w:spacing w:line="440" w:lineRule="exact"/>
        <w:rPr>
          <w:rFonts w:ascii="黑体" w:hAnsi="黑体" w:eastAsia="黑体"/>
          <w:szCs w:val="21"/>
        </w:rPr>
      </w:pPr>
      <w:r>
        <w:rPr>
          <w:rFonts w:hint="eastAsia" w:ascii="黑体" w:hAnsi="黑体" w:eastAsia="黑体"/>
          <w:szCs w:val="21"/>
        </w:rPr>
        <w:t>1 抽样方法</w:t>
      </w:r>
    </w:p>
    <w:p>
      <w:pPr>
        <w:snapToGrid w:val="0"/>
        <w:spacing w:line="440" w:lineRule="exact"/>
        <w:ind w:firstLine="420" w:firstLineChars="200"/>
        <w:rPr>
          <w:rFonts w:hint="default" w:ascii="Times New Roman" w:hAnsi="Times New Roman" w:cs="Times New Roman"/>
        </w:rPr>
      </w:pPr>
      <w:r>
        <w:rPr>
          <w:rFonts w:hint="default" w:ascii="Times New Roman" w:hAnsi="Times New Roman" w:cs="Times New Roman"/>
          <w:color w:val="000000"/>
          <w:szCs w:val="21"/>
        </w:rPr>
        <w:t>以随机抽样的方式在被抽样生产者、销售者的待销产品中抽取。</w:t>
      </w:r>
    </w:p>
    <w:p>
      <w:pPr>
        <w:snapToGrid w:val="0"/>
        <w:spacing w:line="4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随机数一般可使用</w:t>
      </w:r>
      <w:bookmarkStart w:id="0" w:name="_Hlk28691753"/>
      <w:r>
        <w:rPr>
          <w:rFonts w:hint="default" w:ascii="Times New Roman" w:hAnsi="Times New Roman" w:cs="Times New Roman"/>
          <w:szCs w:val="21"/>
        </w:rPr>
        <w:t>随机数</w:t>
      </w:r>
      <w:bookmarkEnd w:id="0"/>
      <w:r>
        <w:rPr>
          <w:rFonts w:hint="default" w:ascii="Times New Roman" w:hAnsi="Times New Roman" w:cs="Times New Roman"/>
          <w:szCs w:val="21"/>
        </w:rPr>
        <w:t>表等方法产生。</w:t>
      </w:r>
    </w:p>
    <w:p>
      <w:pPr>
        <w:snapToGrid w:val="0"/>
        <w:spacing w:line="440" w:lineRule="exact"/>
        <w:ind w:firstLine="420" w:firstLineChars="200"/>
        <w:rPr>
          <w:rFonts w:hint="default" w:ascii="Times New Roman" w:hAnsi="Times New Roman" w:cs="Times New Roman"/>
        </w:rPr>
      </w:pPr>
      <w:r>
        <w:rPr>
          <w:rFonts w:hint="default" w:ascii="Times New Roman" w:hAnsi="Times New Roman" w:cs="Times New Roman"/>
          <w:szCs w:val="21"/>
        </w:rPr>
        <w:t>抽取2份样品，</w:t>
      </w:r>
      <w:r>
        <w:rPr>
          <w:rFonts w:hint="default" w:ascii="Times New Roman" w:hAnsi="Times New Roman" w:cs="Times New Roman"/>
        </w:rPr>
        <w:t>每份不少于3kg，</w:t>
      </w:r>
      <w:r>
        <w:rPr>
          <w:rFonts w:hint="default" w:ascii="Times New Roman" w:hAnsi="Times New Roman" w:cs="Times New Roman"/>
          <w:szCs w:val="21"/>
        </w:rPr>
        <w:t>一份为检验样品，一份为备用样品。</w:t>
      </w:r>
      <w:r>
        <w:rPr>
          <w:rFonts w:hint="default" w:ascii="Times New Roman" w:hAnsi="Times New Roman" w:cs="Times New Roman"/>
        </w:rPr>
        <w:t>应尽量整包装抽取，避免分装。</w:t>
      </w:r>
    </w:p>
    <w:p>
      <w:pPr>
        <w:adjustRightInd w:val="0"/>
        <w:snapToGrid w:val="0"/>
        <w:spacing w:line="440" w:lineRule="exact"/>
        <w:ind w:firstLine="421" w:firstLineChars="200"/>
        <w:rPr>
          <w:rFonts w:ascii="黑体" w:hAnsi="宋体" w:eastAsia="黑体"/>
          <w:b/>
          <w:szCs w:val="21"/>
        </w:rPr>
      </w:pPr>
    </w:p>
    <w:p>
      <w:pPr>
        <w:snapToGrid w:val="0"/>
        <w:spacing w:line="440" w:lineRule="exact"/>
        <w:rPr>
          <w:rFonts w:ascii="黑体" w:hAnsi="宋体" w:eastAsia="黑体"/>
          <w:szCs w:val="21"/>
        </w:rPr>
      </w:pPr>
      <w:r>
        <w:rPr>
          <w:rFonts w:hint="eastAsia" w:ascii="黑体" w:hAnsi="宋体" w:eastAsia="黑体"/>
          <w:szCs w:val="21"/>
        </w:rPr>
        <w:t>2 检验依据</w:t>
      </w:r>
    </w:p>
    <w:p>
      <w:pPr>
        <w:snapToGrid w:val="0"/>
        <w:spacing w:line="440" w:lineRule="exact"/>
        <w:ind w:firstLine="420" w:firstLineChars="200"/>
        <w:jc w:val="center"/>
        <w:rPr>
          <w:rFonts w:cs="Times New Roman"/>
          <w:color w:val="000000"/>
          <w:sz w:val="21"/>
          <w:szCs w:val="21"/>
        </w:rPr>
      </w:pPr>
    </w:p>
    <w:tbl>
      <w:tblPr>
        <w:tblStyle w:val="6"/>
        <w:tblW w:w="8242" w:type="dxa"/>
        <w:tblInd w:w="13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5"/>
        <w:gridCol w:w="3097"/>
        <w:gridCol w:w="4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705" w:type="dxa"/>
            <w:vMerge w:val="restart"/>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ascii="宋体" w:hAnsi="宋体" w:cs="宋体"/>
                <w:color w:val="000000"/>
                <w:kern w:val="0"/>
                <w:sz w:val="21"/>
                <w:szCs w:val="21"/>
              </w:rPr>
            </w:pPr>
            <w:r>
              <w:rPr>
                <w:rFonts w:hint="eastAsia" w:ascii="宋体" w:hAnsi="宋体" w:cs="宋体"/>
                <w:color w:val="000000"/>
                <w:kern w:val="0"/>
                <w:sz w:val="21"/>
                <w:szCs w:val="21"/>
              </w:rPr>
              <w:t>序号</w:t>
            </w:r>
          </w:p>
        </w:tc>
        <w:tc>
          <w:tcPr>
            <w:tcW w:w="3097" w:type="dxa"/>
            <w:vMerge w:val="restart"/>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ascii="宋体" w:hAnsi="宋体" w:cs="宋体"/>
                <w:color w:val="000000"/>
                <w:kern w:val="0"/>
                <w:sz w:val="21"/>
                <w:szCs w:val="21"/>
              </w:rPr>
            </w:pPr>
            <w:r>
              <w:rPr>
                <w:rFonts w:hint="eastAsia" w:ascii="宋体" w:hAnsi="宋体" w:cs="宋体"/>
                <w:color w:val="000000"/>
                <w:kern w:val="0"/>
                <w:sz w:val="21"/>
                <w:szCs w:val="21"/>
              </w:rPr>
              <w:t>检验项目</w:t>
            </w:r>
          </w:p>
        </w:tc>
        <w:tc>
          <w:tcPr>
            <w:tcW w:w="4440" w:type="dxa"/>
            <w:vMerge w:val="restart"/>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ascii="宋体" w:hAnsi="宋体" w:cs="宋体"/>
                <w:color w:val="000000"/>
                <w:kern w:val="0"/>
                <w:sz w:val="21"/>
                <w:szCs w:val="21"/>
              </w:rPr>
            </w:pPr>
            <w:r>
              <w:rPr>
                <w:rFonts w:hint="eastAsia" w:ascii="宋体" w:hAnsi="宋体" w:cs="宋体"/>
                <w:color w:val="000000"/>
                <w:kern w:val="0"/>
                <w:sz w:val="21"/>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705" w:type="dxa"/>
            <w:vMerge w:val="continue"/>
            <w:vAlign w:val="center"/>
          </w:tcPr>
          <w:p>
            <w:pPr>
              <w:jc w:val="center"/>
              <w:rPr>
                <w:rFonts w:ascii="宋体" w:hAnsi="宋体" w:cs="宋体"/>
                <w:sz w:val="21"/>
                <w:szCs w:val="21"/>
              </w:rPr>
            </w:pPr>
          </w:p>
        </w:tc>
        <w:tc>
          <w:tcPr>
            <w:tcW w:w="3097" w:type="dxa"/>
            <w:vMerge w:val="continue"/>
            <w:vAlign w:val="center"/>
          </w:tcPr>
          <w:p>
            <w:pPr>
              <w:adjustRightInd w:val="0"/>
              <w:snapToGrid w:val="0"/>
              <w:jc w:val="center"/>
              <w:rPr>
                <w:rFonts w:ascii="宋体" w:hAnsi="宋体" w:cs="宋体"/>
                <w:sz w:val="21"/>
                <w:szCs w:val="21"/>
              </w:rPr>
            </w:pPr>
          </w:p>
        </w:tc>
        <w:tc>
          <w:tcPr>
            <w:tcW w:w="4440" w:type="dxa"/>
            <w:vMerge w:val="continue"/>
            <w:vAlign w:val="center"/>
          </w:tcPr>
          <w:p>
            <w:pPr>
              <w:jc w:val="center"/>
              <w:rPr>
                <w:rFonts w:ascii="宋体" w:hAnsi="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705" w:type="dxa"/>
            <w:vAlign w:val="center"/>
          </w:tcPr>
          <w:p>
            <w:pPr>
              <w:jc w:val="center"/>
              <w:rPr>
                <w:rFonts w:ascii="宋体" w:hAnsi="宋体" w:cs="宋体"/>
                <w:color w:val="000000"/>
                <w:kern w:val="0"/>
                <w:sz w:val="21"/>
                <w:szCs w:val="21"/>
              </w:rPr>
            </w:pPr>
            <w:r>
              <w:rPr>
                <w:rFonts w:hint="eastAsia" w:ascii="宋体" w:hAnsi="宋体" w:cs="宋体"/>
                <w:color w:val="000000"/>
                <w:kern w:val="0"/>
                <w:sz w:val="21"/>
                <w:szCs w:val="21"/>
              </w:rPr>
              <w:t>1</w:t>
            </w:r>
          </w:p>
        </w:tc>
        <w:tc>
          <w:tcPr>
            <w:tcW w:w="3097" w:type="dxa"/>
            <w:vAlign w:val="center"/>
          </w:tcPr>
          <w:p>
            <w:pPr>
              <w:jc w:val="center"/>
              <w:rPr>
                <w:rFonts w:hint="eastAsia" w:ascii="宋体" w:hAnsi="宋体" w:cs="宋体"/>
                <w:color w:val="000000"/>
                <w:kern w:val="0"/>
                <w:sz w:val="21"/>
                <w:szCs w:val="21"/>
              </w:rPr>
            </w:pPr>
            <w:r>
              <w:rPr>
                <w:rFonts w:hint="eastAsia" w:ascii="宋体" w:hAnsi="宋体" w:cs="宋体"/>
                <w:color w:val="000000"/>
                <w:kern w:val="0"/>
                <w:sz w:val="21"/>
                <w:szCs w:val="21"/>
              </w:rPr>
              <w:t>拉伸粘结强度</w:t>
            </w:r>
          </w:p>
        </w:tc>
        <w:tc>
          <w:tcPr>
            <w:tcW w:w="4440" w:type="dxa"/>
            <w:vAlign w:val="center"/>
          </w:tcPr>
          <w:p>
            <w:pPr>
              <w:adjustRightInd w:val="0"/>
              <w:snapToGrid w:val="0"/>
              <w:spacing w:line="440" w:lineRule="exact"/>
              <w:ind w:firstLine="420" w:firstLineChars="200"/>
              <w:jc w:val="center"/>
              <w:rPr>
                <w:rFonts w:hint="eastAsia" w:ascii="Times New Roman" w:hAnsi="Times New Roman"/>
                <w:kern w:val="0"/>
                <w:szCs w:val="21"/>
              </w:rPr>
            </w:pPr>
            <w:r>
              <w:rPr>
                <w:rFonts w:hint="eastAsia" w:ascii="Times New Roman" w:hAnsi="Times New Roman"/>
                <w:kern w:val="0"/>
                <w:szCs w:val="21"/>
              </w:rPr>
              <w:t>JC/T 547-2017</w:t>
            </w:r>
          </w:p>
          <w:p>
            <w:pPr>
              <w:jc w:val="center"/>
              <w:rPr>
                <w:rFonts w:ascii="宋体" w:hAnsi="宋体" w:cs="宋体"/>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705" w:type="dxa"/>
            <w:vAlign w:val="center"/>
          </w:tcPr>
          <w:p>
            <w:pPr>
              <w:jc w:val="center"/>
              <w:rPr>
                <w:rFonts w:hint="eastAsia" w:ascii="宋体" w:hAnsi="宋体" w:eastAsia="宋体" w:cs="宋体"/>
                <w:color w:val="000000"/>
                <w:kern w:val="0"/>
                <w:sz w:val="21"/>
                <w:szCs w:val="21"/>
                <w:lang w:val="en-US" w:eastAsia="zh-CN"/>
              </w:rPr>
            </w:pPr>
            <w:r>
              <w:rPr>
                <w:rFonts w:hint="eastAsia" w:ascii="宋体" w:hAnsi="宋体" w:cs="宋体"/>
                <w:color w:val="000000"/>
                <w:kern w:val="0"/>
                <w:sz w:val="21"/>
                <w:szCs w:val="21"/>
                <w:lang w:val="en-US" w:eastAsia="zh-CN"/>
              </w:rPr>
              <w:t>2</w:t>
            </w:r>
          </w:p>
        </w:tc>
        <w:tc>
          <w:tcPr>
            <w:tcW w:w="3097" w:type="dxa"/>
            <w:vAlign w:val="center"/>
          </w:tcPr>
          <w:p>
            <w:pPr>
              <w:jc w:val="center"/>
              <w:rPr>
                <w:rFonts w:hint="eastAsia" w:ascii="宋体" w:hAnsi="宋体" w:cs="宋体"/>
                <w:color w:val="000000"/>
                <w:kern w:val="0"/>
                <w:sz w:val="21"/>
                <w:szCs w:val="21"/>
              </w:rPr>
            </w:pPr>
            <w:r>
              <w:rPr>
                <w:rFonts w:hint="eastAsia" w:ascii="宋体" w:hAnsi="宋体" w:cs="宋体"/>
                <w:color w:val="000000"/>
                <w:kern w:val="0"/>
                <w:sz w:val="21"/>
                <w:szCs w:val="21"/>
              </w:rPr>
              <w:t>浸水后拉伸粘结强度</w:t>
            </w:r>
          </w:p>
        </w:tc>
        <w:tc>
          <w:tcPr>
            <w:tcW w:w="4440" w:type="dxa"/>
            <w:vAlign w:val="center"/>
          </w:tcPr>
          <w:p>
            <w:pPr>
              <w:adjustRightInd w:val="0"/>
              <w:snapToGrid w:val="0"/>
              <w:spacing w:line="440" w:lineRule="exact"/>
              <w:ind w:firstLine="420" w:firstLineChars="200"/>
              <w:jc w:val="center"/>
              <w:rPr>
                <w:rFonts w:hint="eastAsia" w:ascii="Times New Roman" w:hAnsi="Times New Roman"/>
                <w:kern w:val="0"/>
                <w:szCs w:val="21"/>
              </w:rPr>
            </w:pPr>
            <w:r>
              <w:rPr>
                <w:rFonts w:hint="eastAsia" w:ascii="Times New Roman" w:hAnsi="Times New Roman"/>
                <w:kern w:val="0"/>
                <w:szCs w:val="21"/>
              </w:rPr>
              <w:t>JC/T 547-2017</w:t>
            </w:r>
          </w:p>
          <w:p>
            <w:pPr>
              <w:jc w:val="center"/>
              <w:rPr>
                <w:rFonts w:hint="eastAsia" w:ascii="宋体" w:hAnsi="宋体" w:cs="宋体"/>
                <w:color w:val="000000"/>
                <w:kern w:val="0"/>
                <w:sz w:val="21"/>
                <w:szCs w:val="21"/>
              </w:rPr>
            </w:pPr>
          </w:p>
        </w:tc>
      </w:tr>
    </w:tbl>
    <w:p>
      <w:pPr>
        <w:adjustRightInd w:val="0"/>
        <w:snapToGrid w:val="0"/>
        <w:spacing w:line="440" w:lineRule="exact"/>
        <w:ind w:firstLine="420" w:firstLineChars="200"/>
        <w:rPr>
          <w:rFonts w:hint="eastAsia"/>
          <w:color w:val="000000"/>
          <w:szCs w:val="21"/>
        </w:rPr>
      </w:pPr>
      <w:bookmarkStart w:id="1" w:name="_Hlk28257335"/>
    </w:p>
    <w:p>
      <w:pPr>
        <w:adjustRightInd w:val="0"/>
        <w:snapToGrid w:val="0"/>
        <w:spacing w:line="440" w:lineRule="exact"/>
        <w:ind w:firstLine="420" w:firstLineChars="200"/>
        <w:rPr>
          <w:color w:val="000000"/>
          <w:szCs w:val="21"/>
        </w:rPr>
      </w:pPr>
      <w:r>
        <w:rPr>
          <w:rFonts w:hint="eastAsia"/>
          <w:color w:val="000000"/>
          <w:szCs w:val="21"/>
        </w:rPr>
        <w:t>执行企业标准、团体标准、地方标准的产品，检验项目参照上述内容执行。</w:t>
      </w:r>
    </w:p>
    <w:p>
      <w:pPr>
        <w:adjustRightInd w:val="0"/>
        <w:snapToGrid w:val="0"/>
        <w:spacing w:line="440" w:lineRule="exact"/>
        <w:ind w:firstLine="420" w:firstLineChars="200"/>
        <w:rPr>
          <w:color w:val="000000"/>
          <w:szCs w:val="21"/>
        </w:rPr>
      </w:pPr>
      <w:r>
        <w:rPr>
          <w:rFonts w:hint="eastAsia"/>
          <w:color w:val="000000"/>
          <w:szCs w:val="21"/>
        </w:rPr>
        <w:t>凡是注日期的文件，其随后所有的修改单（不包括勘误的内容）或修订版不适用于本细则。凡是不注日期的文件，其最新版本适用于本细则。</w:t>
      </w:r>
      <w:bookmarkEnd w:id="1"/>
    </w:p>
    <w:p>
      <w:pPr>
        <w:adjustRightInd w:val="0"/>
        <w:snapToGrid w:val="0"/>
        <w:spacing w:line="440" w:lineRule="exact"/>
        <w:ind w:firstLine="421" w:firstLineChars="200"/>
        <w:rPr>
          <w:rFonts w:ascii="黑体" w:hAnsi="宋体" w:eastAsia="黑体"/>
          <w:b/>
          <w:szCs w:val="21"/>
        </w:rPr>
      </w:pPr>
    </w:p>
    <w:p>
      <w:pPr>
        <w:snapToGrid w:val="0"/>
        <w:spacing w:line="440" w:lineRule="exact"/>
        <w:rPr>
          <w:rFonts w:ascii="黑体" w:hAnsi="宋体" w:eastAsia="黑体"/>
          <w:szCs w:val="21"/>
        </w:rPr>
      </w:pPr>
      <w:r>
        <w:rPr>
          <w:rFonts w:hint="eastAsia" w:ascii="黑体" w:hAnsi="宋体" w:eastAsia="黑体"/>
          <w:szCs w:val="21"/>
        </w:rPr>
        <w:t>3 判定规则</w:t>
      </w:r>
    </w:p>
    <w:p>
      <w:pPr>
        <w:adjustRightInd w:val="0"/>
        <w:snapToGrid w:val="0"/>
        <w:spacing w:line="440" w:lineRule="exact"/>
        <w:rPr>
          <w:rFonts w:ascii="宋体" w:hAnsi="宋体"/>
          <w:color w:val="000000"/>
          <w:szCs w:val="21"/>
        </w:rPr>
      </w:pPr>
      <w:r>
        <w:rPr>
          <w:rFonts w:hint="eastAsia" w:ascii="宋体" w:hAnsi="宋体"/>
          <w:color w:val="000000"/>
          <w:szCs w:val="21"/>
        </w:rPr>
        <w:t>3.1依据标准</w:t>
      </w:r>
    </w:p>
    <w:p>
      <w:pPr>
        <w:adjustRightInd w:val="0"/>
        <w:snapToGrid w:val="0"/>
        <w:spacing w:line="440" w:lineRule="exact"/>
        <w:ind w:firstLine="420" w:firstLineChars="200"/>
        <w:rPr>
          <w:rFonts w:hint="eastAsia" w:ascii="Times New Roman" w:hAnsi="Times New Roman"/>
          <w:kern w:val="0"/>
          <w:szCs w:val="21"/>
        </w:rPr>
      </w:pPr>
      <w:r>
        <w:rPr>
          <w:rFonts w:hint="eastAsia" w:ascii="Times New Roman" w:hAnsi="Times New Roman"/>
          <w:kern w:val="0"/>
          <w:szCs w:val="21"/>
        </w:rPr>
        <w:t>JC/T 547-2017《陶瓷墙地砖胶粘剂》</w:t>
      </w:r>
    </w:p>
    <w:p>
      <w:pPr>
        <w:adjustRightInd w:val="0"/>
        <w:snapToGrid w:val="0"/>
        <w:spacing w:line="440" w:lineRule="exact"/>
        <w:ind w:firstLine="420" w:firstLineChars="200"/>
        <w:rPr>
          <w:rFonts w:ascii="宋体" w:hAnsi="宋体"/>
          <w:color w:val="000000"/>
          <w:szCs w:val="21"/>
        </w:rPr>
      </w:pPr>
      <w:r>
        <w:rPr>
          <w:rFonts w:hint="eastAsia" w:ascii="宋体" w:hAnsi="宋体"/>
          <w:color w:val="000000"/>
          <w:szCs w:val="21"/>
        </w:rPr>
        <w:t>现行有效的企业标准、团体标准、地方标准及产品明示质量要求</w:t>
      </w:r>
    </w:p>
    <w:p>
      <w:pPr>
        <w:adjustRightInd w:val="0"/>
        <w:snapToGrid w:val="0"/>
        <w:spacing w:line="440" w:lineRule="exact"/>
        <w:rPr>
          <w:rFonts w:ascii="宋体" w:hAnsi="宋体"/>
          <w:color w:val="000000"/>
          <w:szCs w:val="21"/>
        </w:rPr>
      </w:pPr>
      <w:r>
        <w:rPr>
          <w:rFonts w:hint="eastAsia" w:ascii="宋体" w:hAnsi="宋体"/>
          <w:color w:val="000000"/>
          <w:szCs w:val="21"/>
        </w:rPr>
        <w:t>3.2判定原则</w:t>
      </w:r>
    </w:p>
    <w:p>
      <w:pPr>
        <w:pStyle w:val="9"/>
        <w:adjustRightInd w:val="0"/>
        <w:snapToGrid w:val="0"/>
        <w:spacing w:after="0" w:line="440" w:lineRule="exact"/>
        <w:ind w:firstLine="480"/>
        <w:rPr>
          <w:rFonts w:cs="Times New Roman"/>
          <w:sz w:val="21"/>
          <w:szCs w:val="21"/>
          <w:lang w:val="en-US" w:eastAsia="zh-CN" w:bidi="ar-SA"/>
        </w:rPr>
      </w:pPr>
      <w:r>
        <w:rPr>
          <w:rFonts w:hint="eastAsia" w:cs="Times New Roman"/>
          <w:sz w:val="21"/>
          <w:szCs w:val="21"/>
          <w:lang w:val="en-US" w:eastAsia="zh-CN" w:bidi="ar-SA"/>
        </w:rPr>
        <w:t>经检验，检验项目全部合格，判定为被抽查产品所检项目未发现不合格；检验项目中任一项或一项以上不合格，判定为被抽查产品不合格。</w:t>
      </w:r>
    </w:p>
    <w:p>
      <w:pPr>
        <w:adjustRightInd w:val="0"/>
        <w:snapToGrid w:val="0"/>
        <w:spacing w:line="440" w:lineRule="exact"/>
        <w:ind w:firstLine="417" w:firstLineChars="199"/>
        <w:rPr>
          <w:color w:val="000000"/>
          <w:szCs w:val="21"/>
        </w:rPr>
      </w:pPr>
      <w:r>
        <w:rPr>
          <w:color w:val="000000"/>
          <w:szCs w:val="21"/>
        </w:rPr>
        <w:t>若被检产品明示的质量要求高于本细则中检验项目依据的标准要求时，应按被检产品明示的质量要求判定。</w:t>
      </w:r>
    </w:p>
    <w:p>
      <w:pPr>
        <w:adjustRightInd w:val="0"/>
        <w:snapToGrid w:val="0"/>
        <w:spacing w:line="440" w:lineRule="exact"/>
        <w:ind w:firstLine="417" w:firstLineChars="199"/>
        <w:rPr>
          <w:color w:val="000000"/>
          <w:szCs w:val="21"/>
        </w:rPr>
      </w:pPr>
      <w:r>
        <w:rPr>
          <w:color w:val="000000"/>
          <w:szCs w:val="21"/>
        </w:rPr>
        <w:t>若被检产品明示的质量要求低于本细则中检验项目依据的强制性标准要求时，应按照强制性标准要求判定。</w:t>
      </w:r>
    </w:p>
    <w:p>
      <w:pPr>
        <w:adjustRightInd w:val="0"/>
        <w:snapToGrid w:val="0"/>
        <w:spacing w:line="440" w:lineRule="exact"/>
        <w:ind w:firstLine="417" w:firstLineChars="199"/>
        <w:rPr>
          <w:color w:val="000000"/>
          <w:szCs w:val="21"/>
        </w:rPr>
      </w:pPr>
      <w:r>
        <w:rPr>
          <w:color w:val="000000"/>
          <w:szCs w:val="21"/>
        </w:rPr>
        <w:t>若被检产品明示的质量要求低于或包含本细则中检验项目依据的推荐性标准要求时，应以被检产品明示的质量要求判定。</w:t>
      </w:r>
    </w:p>
    <w:p>
      <w:pPr>
        <w:adjustRightInd w:val="0"/>
        <w:snapToGrid w:val="0"/>
        <w:spacing w:line="440" w:lineRule="exact"/>
        <w:ind w:firstLine="417" w:firstLineChars="199"/>
        <w:rPr>
          <w:color w:val="000000"/>
          <w:szCs w:val="21"/>
        </w:rPr>
      </w:pPr>
      <w:r>
        <w:rPr>
          <w:color w:val="000000"/>
          <w:szCs w:val="21"/>
        </w:rPr>
        <w:t>若被检产品明示的质量要求缺少本细则中检验项目依据的强制性标准要求时，应按照强制性标准要求判定。</w:t>
      </w:r>
    </w:p>
    <w:p>
      <w:pPr>
        <w:adjustRightInd w:val="0"/>
        <w:snapToGrid w:val="0"/>
        <w:spacing w:line="440" w:lineRule="exact"/>
        <w:ind w:firstLine="417" w:firstLineChars="199"/>
        <w:rPr>
          <w:color w:val="000000"/>
          <w:szCs w:val="21"/>
        </w:rPr>
      </w:pPr>
      <w:r>
        <w:rPr>
          <w:color w:val="000000"/>
          <w:szCs w:val="21"/>
        </w:rPr>
        <w:t>若被检产品明示的质量要求缺少本细则中检验项目依据的推荐性标准要求时，该项目不参与判定。</w:t>
      </w:r>
    </w:p>
    <w:p>
      <w:pPr>
        <w:spacing w:line="440" w:lineRule="exact"/>
        <w:rPr>
          <w:rFonts w:eastAsia="黑体"/>
          <w:color w:val="000000"/>
          <w:szCs w:val="21"/>
        </w:rPr>
      </w:pPr>
    </w:p>
    <w:p>
      <w:pPr>
        <w:spacing w:line="440" w:lineRule="exact"/>
        <w:rPr>
          <w:rFonts w:eastAsia="黑体"/>
          <w:color w:val="000000"/>
          <w:szCs w:val="21"/>
        </w:rPr>
      </w:pPr>
      <w:r>
        <w:rPr>
          <w:rFonts w:hint="eastAsia" w:eastAsia="黑体"/>
          <w:color w:val="000000"/>
          <w:szCs w:val="21"/>
        </w:rPr>
        <w:t>4 附则</w:t>
      </w:r>
    </w:p>
    <w:p>
      <w:pPr>
        <w:spacing w:line="440" w:lineRule="exact"/>
        <w:ind w:firstLine="420" w:firstLineChars="200"/>
        <w:rPr>
          <w:rFonts w:hint="default" w:ascii="Times New Roman" w:hAnsi="Times New Roman" w:eastAsia="宋体" w:cs="Times New Roman"/>
          <w:color w:val="FF0000"/>
          <w:szCs w:val="21"/>
          <w:lang w:val="en-US" w:eastAsia="zh-CN"/>
        </w:rPr>
      </w:pPr>
      <w:bookmarkStart w:id="2" w:name="_GoBack"/>
      <w:r>
        <w:rPr>
          <w:rFonts w:hint="default" w:ascii="Times New Roman" w:hAnsi="Times New Roman" w:cs="Times New Roman"/>
          <w:color w:val="000000"/>
        </w:rPr>
        <w:t>本细则代替《贵州省市场监管局关于发布2024年版车用柴油等110种产品贵州省产品质量监督抽查实施细则的公告》中的《贵州省</w:t>
      </w:r>
      <w:r>
        <w:rPr>
          <w:rFonts w:hint="default" w:ascii="Times New Roman" w:hAnsi="Times New Roman" w:cs="Times New Roman"/>
          <w:color w:val="000000"/>
          <w:lang w:val="en-US" w:eastAsia="zh-CN"/>
        </w:rPr>
        <w:t>瓷砖胶</w:t>
      </w:r>
      <w:r>
        <w:rPr>
          <w:rFonts w:hint="default" w:ascii="Times New Roman" w:hAnsi="Times New Roman" w:cs="Times New Roman"/>
          <w:color w:val="000000"/>
        </w:rPr>
        <w:t>产品质量监督抽查实施细则（202</w:t>
      </w:r>
      <w:r>
        <w:rPr>
          <w:rFonts w:hint="default" w:ascii="Times New Roman" w:hAnsi="Times New Roman" w:cs="Times New Roman"/>
          <w:color w:val="000000"/>
          <w:lang w:val="en-US" w:eastAsia="zh-CN"/>
        </w:rPr>
        <w:t>4</w:t>
      </w:r>
      <w:r>
        <w:rPr>
          <w:rFonts w:hint="default" w:ascii="Times New Roman" w:hAnsi="Times New Roman" w:cs="Times New Roman"/>
          <w:color w:val="000000"/>
        </w:rPr>
        <w:t>年版）》。</w:t>
      </w:r>
    </w:p>
    <w:p>
      <w:pPr>
        <w:spacing w:line="440" w:lineRule="exact"/>
        <w:ind w:firstLine="420" w:firstLineChars="200"/>
        <w:rPr>
          <w:rFonts w:hint="default" w:ascii="Times New Roman" w:hAnsi="Times New Roman" w:cs="Times New Roman"/>
        </w:rPr>
      </w:pPr>
    </w:p>
    <w:bookmarkEnd w:id="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微软雅黑">
    <w:altName w:val="黑体"/>
    <w:panose1 w:val="020B0503020204020204"/>
    <w:charset w:val="86"/>
    <w:family w:val="auto"/>
    <w:pitch w:val="default"/>
    <w:sig w:usb0="00000000" w:usb1="00000000" w:usb2="00000016" w:usb3="00000000" w:csb0="0004001F" w:csb1="00000000"/>
  </w:font>
  <w:font w:name="方正小标宋_GBK">
    <w:panose1 w:val="02000000000000000000"/>
    <w:charset w:val="86"/>
    <w:family w:val="script"/>
    <w:pitch w:val="default"/>
    <w:sig w:usb0="00000001" w:usb1="0800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2UzNDc1YjFiOTc1MjU4NWM4NjI1YzEzYWFlMTViNGEifQ=="/>
  </w:docVars>
  <w:rsids>
    <w:rsidRoot w:val="4031533E"/>
    <w:rsid w:val="00076791"/>
    <w:rsid w:val="000C33A2"/>
    <w:rsid w:val="001D08B5"/>
    <w:rsid w:val="002432D2"/>
    <w:rsid w:val="002809A1"/>
    <w:rsid w:val="00292BE3"/>
    <w:rsid w:val="003956AA"/>
    <w:rsid w:val="0043794D"/>
    <w:rsid w:val="00490B57"/>
    <w:rsid w:val="004B28D0"/>
    <w:rsid w:val="0058275E"/>
    <w:rsid w:val="006B3567"/>
    <w:rsid w:val="00770DEF"/>
    <w:rsid w:val="00830621"/>
    <w:rsid w:val="00830713"/>
    <w:rsid w:val="00876FF4"/>
    <w:rsid w:val="0096639B"/>
    <w:rsid w:val="009E2F1E"/>
    <w:rsid w:val="00A42774"/>
    <w:rsid w:val="00A7562A"/>
    <w:rsid w:val="00B32474"/>
    <w:rsid w:val="00BB2612"/>
    <w:rsid w:val="00C40CDD"/>
    <w:rsid w:val="00C65E00"/>
    <w:rsid w:val="00D667F6"/>
    <w:rsid w:val="00E66295"/>
    <w:rsid w:val="00EF618D"/>
    <w:rsid w:val="01F30330"/>
    <w:rsid w:val="02C04626"/>
    <w:rsid w:val="03A81162"/>
    <w:rsid w:val="049A0157"/>
    <w:rsid w:val="04E90B5B"/>
    <w:rsid w:val="06AB256C"/>
    <w:rsid w:val="06F8009F"/>
    <w:rsid w:val="06FA704F"/>
    <w:rsid w:val="08471E17"/>
    <w:rsid w:val="08FC6D3F"/>
    <w:rsid w:val="0AC05EBA"/>
    <w:rsid w:val="0B7F10BB"/>
    <w:rsid w:val="0B9B6FE5"/>
    <w:rsid w:val="0C30706F"/>
    <w:rsid w:val="0CF83115"/>
    <w:rsid w:val="0D0227BA"/>
    <w:rsid w:val="0E3177FA"/>
    <w:rsid w:val="10163681"/>
    <w:rsid w:val="106127D8"/>
    <w:rsid w:val="10645539"/>
    <w:rsid w:val="11652B79"/>
    <w:rsid w:val="144813FA"/>
    <w:rsid w:val="1562514D"/>
    <w:rsid w:val="15907503"/>
    <w:rsid w:val="16563CB3"/>
    <w:rsid w:val="16BA2357"/>
    <w:rsid w:val="1780391E"/>
    <w:rsid w:val="187F4FB0"/>
    <w:rsid w:val="192662FB"/>
    <w:rsid w:val="1A5605E9"/>
    <w:rsid w:val="1ABA2925"/>
    <w:rsid w:val="1B801834"/>
    <w:rsid w:val="1D7C7D97"/>
    <w:rsid w:val="204A35F2"/>
    <w:rsid w:val="210746CC"/>
    <w:rsid w:val="22002311"/>
    <w:rsid w:val="24577437"/>
    <w:rsid w:val="24EB15A5"/>
    <w:rsid w:val="25425B06"/>
    <w:rsid w:val="257D111F"/>
    <w:rsid w:val="267701FE"/>
    <w:rsid w:val="27545C2A"/>
    <w:rsid w:val="28B44E58"/>
    <w:rsid w:val="2B512E32"/>
    <w:rsid w:val="2CA469C2"/>
    <w:rsid w:val="2DB737DC"/>
    <w:rsid w:val="2E0221C2"/>
    <w:rsid w:val="2E051D53"/>
    <w:rsid w:val="2E4657FF"/>
    <w:rsid w:val="32195D2C"/>
    <w:rsid w:val="33274478"/>
    <w:rsid w:val="357B0262"/>
    <w:rsid w:val="363A5A29"/>
    <w:rsid w:val="37187253"/>
    <w:rsid w:val="37B3277F"/>
    <w:rsid w:val="37FA1204"/>
    <w:rsid w:val="38C2711D"/>
    <w:rsid w:val="38DE1A7D"/>
    <w:rsid w:val="399F563F"/>
    <w:rsid w:val="3A0B68A2"/>
    <w:rsid w:val="3AAB598F"/>
    <w:rsid w:val="3AB807D8"/>
    <w:rsid w:val="3AD930CD"/>
    <w:rsid w:val="3B0C0B24"/>
    <w:rsid w:val="3B6F27A2"/>
    <w:rsid w:val="3D1366E2"/>
    <w:rsid w:val="3DC04C4F"/>
    <w:rsid w:val="3DCE3E6E"/>
    <w:rsid w:val="3DF37D79"/>
    <w:rsid w:val="3FAC29E0"/>
    <w:rsid w:val="4031533E"/>
    <w:rsid w:val="403B68AB"/>
    <w:rsid w:val="404379A9"/>
    <w:rsid w:val="404D3311"/>
    <w:rsid w:val="40C003E6"/>
    <w:rsid w:val="40DE261A"/>
    <w:rsid w:val="41292D33"/>
    <w:rsid w:val="41650972"/>
    <w:rsid w:val="417920A2"/>
    <w:rsid w:val="42A9072F"/>
    <w:rsid w:val="42B07FE6"/>
    <w:rsid w:val="43B41D58"/>
    <w:rsid w:val="44054362"/>
    <w:rsid w:val="444035EC"/>
    <w:rsid w:val="44ED286E"/>
    <w:rsid w:val="45784155"/>
    <w:rsid w:val="477C68EF"/>
    <w:rsid w:val="47BC5E84"/>
    <w:rsid w:val="488C5052"/>
    <w:rsid w:val="49380D36"/>
    <w:rsid w:val="4AF15640"/>
    <w:rsid w:val="4DAE15C6"/>
    <w:rsid w:val="4DF50FAC"/>
    <w:rsid w:val="4FDD43D8"/>
    <w:rsid w:val="51A67184"/>
    <w:rsid w:val="51C13FBE"/>
    <w:rsid w:val="535E75EB"/>
    <w:rsid w:val="548062A4"/>
    <w:rsid w:val="54F24120"/>
    <w:rsid w:val="571132F2"/>
    <w:rsid w:val="572E1F11"/>
    <w:rsid w:val="57D21E9E"/>
    <w:rsid w:val="57E448CC"/>
    <w:rsid w:val="57F30C49"/>
    <w:rsid w:val="586A5686"/>
    <w:rsid w:val="5A1D0200"/>
    <w:rsid w:val="5A315128"/>
    <w:rsid w:val="5A604FDD"/>
    <w:rsid w:val="5AE623A0"/>
    <w:rsid w:val="5C0276AD"/>
    <w:rsid w:val="5EED2CA8"/>
    <w:rsid w:val="5FAC5862"/>
    <w:rsid w:val="62174F99"/>
    <w:rsid w:val="621A6DD3"/>
    <w:rsid w:val="623C4EB4"/>
    <w:rsid w:val="63E31B72"/>
    <w:rsid w:val="63E97D95"/>
    <w:rsid w:val="64046FA9"/>
    <w:rsid w:val="64460353"/>
    <w:rsid w:val="64CF20F6"/>
    <w:rsid w:val="6528549D"/>
    <w:rsid w:val="655B398A"/>
    <w:rsid w:val="65F05849"/>
    <w:rsid w:val="66BD51EC"/>
    <w:rsid w:val="67E97EC8"/>
    <w:rsid w:val="69061253"/>
    <w:rsid w:val="69E50A32"/>
    <w:rsid w:val="6A236A13"/>
    <w:rsid w:val="6BBA58AE"/>
    <w:rsid w:val="6CD72490"/>
    <w:rsid w:val="6D8E63CE"/>
    <w:rsid w:val="6F3E67F6"/>
    <w:rsid w:val="6FEC0000"/>
    <w:rsid w:val="70A24EA7"/>
    <w:rsid w:val="73B50B5A"/>
    <w:rsid w:val="741B09C6"/>
    <w:rsid w:val="74583EB6"/>
    <w:rsid w:val="749852A6"/>
    <w:rsid w:val="75F46C55"/>
    <w:rsid w:val="76416497"/>
    <w:rsid w:val="777F9A04"/>
    <w:rsid w:val="783B2B41"/>
    <w:rsid w:val="790C7287"/>
    <w:rsid w:val="79766B8D"/>
    <w:rsid w:val="79BC0A44"/>
    <w:rsid w:val="79DC6935"/>
    <w:rsid w:val="7A6A4A74"/>
    <w:rsid w:val="7AA37E55"/>
    <w:rsid w:val="7AF81F4F"/>
    <w:rsid w:val="7AF93E35"/>
    <w:rsid w:val="7B0D1B4C"/>
    <w:rsid w:val="7B284B90"/>
    <w:rsid w:val="7BC260B9"/>
    <w:rsid w:val="7CB254A0"/>
    <w:rsid w:val="7CD44A0D"/>
    <w:rsid w:val="7DB25D96"/>
    <w:rsid w:val="7DC425BD"/>
    <w:rsid w:val="7DE11162"/>
    <w:rsid w:val="7EE747B5"/>
    <w:rsid w:val="7F7FD5B2"/>
    <w:rsid w:val="7FB7323C"/>
    <w:rsid w:val="7FFBD105"/>
    <w:rsid w:val="D2BEBB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unhideWhenUsed/>
    <w:qFormat/>
    <w:uiPriority w:val="99"/>
    <w:pPr>
      <w:jc w:val="left"/>
    </w:pPr>
  </w:style>
  <w:style w:type="paragraph" w:styleId="3">
    <w:name w:val="footer"/>
    <w:basedOn w:val="1"/>
    <w:link w:val="11"/>
    <w:qFormat/>
    <w:uiPriority w:val="0"/>
    <w:pPr>
      <w:tabs>
        <w:tab w:val="center" w:pos="4153"/>
        <w:tab w:val="right" w:pos="8306"/>
      </w:tabs>
      <w:snapToGrid w:val="0"/>
      <w:jc w:val="left"/>
    </w:pPr>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spacing w:before="100" w:beforeAutospacing="1" w:after="100" w:afterAutospacing="1"/>
      <w:jc w:val="left"/>
    </w:pPr>
    <w:rPr>
      <w:kern w:val="0"/>
      <w:sz w:val="24"/>
      <w:szCs w:val="20"/>
    </w:rPr>
  </w:style>
  <w:style w:type="paragraph" w:customStyle="1" w:styleId="8">
    <w:name w:val="Other|1"/>
    <w:basedOn w:val="1"/>
    <w:qFormat/>
    <w:uiPriority w:val="0"/>
    <w:pPr>
      <w:spacing w:after="40" w:line="346" w:lineRule="auto"/>
      <w:ind w:firstLine="400"/>
    </w:pPr>
    <w:rPr>
      <w:rFonts w:ascii="宋体" w:hAnsi="宋体" w:cs="宋体"/>
      <w:sz w:val="19"/>
      <w:szCs w:val="19"/>
      <w:lang w:val="zh-TW" w:eastAsia="zh-TW" w:bidi="zh-TW"/>
    </w:rPr>
  </w:style>
  <w:style w:type="paragraph" w:customStyle="1" w:styleId="9">
    <w:name w:val="Body text|1"/>
    <w:basedOn w:val="1"/>
    <w:qFormat/>
    <w:uiPriority w:val="0"/>
    <w:pPr>
      <w:spacing w:after="40" w:line="346" w:lineRule="auto"/>
      <w:ind w:firstLine="400"/>
    </w:pPr>
    <w:rPr>
      <w:rFonts w:ascii="宋体" w:hAnsi="宋体" w:cs="宋体"/>
      <w:sz w:val="19"/>
      <w:szCs w:val="19"/>
      <w:lang w:val="zh-TW" w:eastAsia="zh-TW" w:bidi="zh-TW"/>
    </w:rPr>
  </w:style>
  <w:style w:type="character" w:customStyle="1" w:styleId="10">
    <w:name w:val="页眉 Char"/>
    <w:basedOn w:val="7"/>
    <w:link w:val="4"/>
    <w:qFormat/>
    <w:uiPriority w:val="0"/>
    <w:rPr>
      <w:kern w:val="2"/>
      <w:sz w:val="18"/>
      <w:szCs w:val="18"/>
    </w:rPr>
  </w:style>
  <w:style w:type="character" w:customStyle="1" w:styleId="11">
    <w:name w:val="页脚 Char"/>
    <w:basedOn w:val="7"/>
    <w:link w:val="3"/>
    <w:qFormat/>
    <w:uiPriority w:val="0"/>
    <w:rPr>
      <w:kern w:val="2"/>
      <w:sz w:val="18"/>
      <w:szCs w:val="18"/>
    </w:rPr>
  </w:style>
  <w:style w:type="paragraph" w:customStyle="1" w:styleId="12">
    <w:name w:val="Body text|2"/>
    <w:basedOn w:val="1"/>
    <w:qFormat/>
    <w:uiPriority w:val="0"/>
    <w:pPr>
      <w:widowControl w:val="0"/>
      <w:shd w:val="clear" w:color="auto" w:fill="auto"/>
      <w:spacing w:after="80"/>
      <w:ind w:firstLine="440"/>
    </w:pPr>
    <w:rPr>
      <w:sz w:val="20"/>
      <w:szCs w:val="20"/>
      <w:u w:val="none"/>
      <w:shd w:val="clear" w:color="auto" w:fill="auto"/>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614</Words>
  <Characters>653</Characters>
  <Lines>18</Lines>
  <Paragraphs>5</Paragraphs>
  <TotalTime>2</TotalTime>
  <ScaleCrop>false</ScaleCrop>
  <LinksUpToDate>false</LinksUpToDate>
  <CharactersWithSpaces>662</CharactersWithSpaces>
  <Application>WPS Office_11.8.2.10624_F1E327BC-269C-435d-A152-05C5408002CA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2020-06-03T05:43:00Z</dcterms:created>
  <dc:creator>Administrator</dc:creator>
  <cp:lastModifiedBy>ysgz</cp:lastModifiedBy>
  <dcterms:modified xsi:type="dcterms:W3CDTF">2025-04-11T17:24:33Z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2052-11.8.2.10624</vt:lpwstr>
  </property>
  <property fmtid="{D5CDD505-2E9C-101B-9397-08002B2CF9AE}" pid="3" name="ICV">
    <vt:lpwstr>1CE431831C9147F5991821D282050D36</vt:lpwstr>
  </property>
  <property fmtid="{D5CDD505-2E9C-101B-9397-08002B2CF9AE}" pid="4" name="KSOTemplateDocerSaveRecord">
    <vt:lpwstr>eyJoZGlkIjoiYmFhNGU0ZTc4M2RlYmEzMjhkYTljYTFhNDE0M2FkZmIiLCJ1c2VySWQiOiI0MjUxMDQ1MjMifQ==</vt:lpwstr>
  </property>
</Properties>
</file>