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_GB2312"/>
          <w:color w:val="000000"/>
          <w:kern w:val="0"/>
          <w:sz w:val="32"/>
          <w:szCs w:val="32"/>
          <w:lang w:val="en-US" w:eastAsia="zh-CN"/>
        </w:rPr>
      </w:pPr>
      <w:r>
        <w:rPr>
          <w:rFonts w:hint="eastAsia" w:ascii="仿宋" w:hAnsi="仿宋" w:eastAsia="仿宋" w:cs="仿宋_GB2312"/>
          <w:color w:val="000000"/>
          <w:kern w:val="0"/>
          <w:sz w:val="32"/>
          <w:szCs w:val="32"/>
        </w:rPr>
        <w:t>附件</w:t>
      </w:r>
      <w:r>
        <w:rPr>
          <w:rFonts w:hint="eastAsia" w:ascii="仿宋" w:hAnsi="仿宋" w:eastAsia="仿宋" w:cs="仿宋_GB2312"/>
          <w:color w:val="000000"/>
          <w:kern w:val="0"/>
          <w:sz w:val="32"/>
          <w:szCs w:val="32"/>
          <w:lang w:val="en-US" w:eastAsia="zh-CN"/>
        </w:rPr>
        <w:t>1</w:t>
      </w:r>
    </w:p>
    <w:p>
      <w:pPr>
        <w:rPr>
          <w:rFonts w:hint="eastAsia" w:ascii="仿宋" w:hAnsi="仿宋" w:eastAsia="仿宋" w:cs="仿宋_GB2312"/>
          <w:color w:val="000000"/>
          <w:kern w:val="0"/>
          <w:sz w:val="32"/>
          <w:szCs w:val="32"/>
          <w:lang w:val="en-US" w:eastAsia="zh-CN"/>
        </w:rPr>
      </w:pPr>
    </w:p>
    <w:p>
      <w:pPr>
        <w:spacing w:line="56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2022年贵州省知识产权运用促进资助项目申报指南</w:t>
      </w:r>
    </w:p>
    <w:p>
      <w:pPr>
        <w:spacing w:line="560" w:lineRule="exact"/>
        <w:jc w:val="center"/>
        <w:rPr>
          <w:rFonts w:ascii="方正小标宋简体" w:hAnsi="宋体" w:eastAsia="方正小标宋简体"/>
          <w:bCs/>
          <w:sz w:val="44"/>
          <w:szCs w:val="44"/>
        </w:rPr>
      </w:pPr>
    </w:p>
    <w:p>
      <w:pPr>
        <w:ind w:firstLine="640" w:firstLineChars="200"/>
        <w:rPr>
          <w:rFonts w:ascii="仿宋" w:hAnsi="仿宋" w:eastAsia="仿宋"/>
          <w:kern w:val="0"/>
          <w:sz w:val="32"/>
          <w:szCs w:val="32"/>
        </w:rPr>
      </w:pPr>
      <w:r>
        <w:rPr>
          <w:rFonts w:hint="eastAsia" w:ascii="仿宋" w:hAnsi="仿宋" w:eastAsia="仿宋"/>
          <w:kern w:val="0"/>
          <w:sz w:val="32"/>
          <w:szCs w:val="32"/>
        </w:rPr>
        <w:t>按照《贵州省支持知识产权高质量创造及运用项目和专项资金管理办法》《贵州省知识产权高质量发展资助办法》等文件要求，结合贵州省实际，省知识产权局制定《2022年贵州省知识产权运用促进资助项目申报指南》（以下简称“指南”）</w:t>
      </w:r>
      <w:r>
        <w:rPr>
          <w:rFonts w:hint="eastAsia" w:ascii="仿宋" w:hAnsi="仿宋" w:eastAsia="仿宋"/>
          <w:kern w:val="0"/>
          <w:sz w:val="32"/>
          <w:szCs w:val="32"/>
          <w:lang w:eastAsia="zh-CN"/>
        </w:rPr>
        <w:t>如下</w:t>
      </w:r>
      <w:r>
        <w:rPr>
          <w:rFonts w:hint="eastAsia" w:ascii="仿宋" w:hAnsi="仿宋" w:eastAsia="仿宋"/>
          <w:kern w:val="0"/>
          <w:sz w:val="32"/>
          <w:szCs w:val="32"/>
        </w:rPr>
        <w:t>。</w:t>
      </w:r>
    </w:p>
    <w:p>
      <w:pPr>
        <w:numPr>
          <w:numId w:val="0"/>
        </w:numPr>
        <w:ind w:firstLine="640" w:firstLineChars="200"/>
        <w:rPr>
          <w:rFonts w:hint="eastAsia" w:ascii="CESI黑体-GB18030" w:hAnsi="CESI黑体-GB18030" w:eastAsia="CESI黑体-GB18030" w:cs="CESI黑体-GB18030"/>
          <w:b/>
          <w:kern w:val="0"/>
          <w:sz w:val="32"/>
          <w:szCs w:val="32"/>
        </w:rPr>
      </w:pPr>
      <w:r>
        <w:rPr>
          <w:rFonts w:hint="eastAsia" w:ascii="CESI黑体-GB18030" w:hAnsi="CESI黑体-GB18030" w:eastAsia="CESI黑体-GB18030" w:cs="CESI黑体-GB18030"/>
          <w:b/>
          <w:kern w:val="0"/>
          <w:sz w:val="32"/>
          <w:szCs w:val="32"/>
          <w:lang w:eastAsia="zh-CN"/>
        </w:rPr>
        <w:t>一、</w:t>
      </w:r>
      <w:r>
        <w:rPr>
          <w:rFonts w:hint="eastAsia" w:ascii="CESI黑体-GB18030" w:hAnsi="CESI黑体-GB18030" w:eastAsia="CESI黑体-GB18030" w:cs="CESI黑体-GB18030"/>
          <w:b/>
          <w:kern w:val="0"/>
          <w:sz w:val="32"/>
          <w:szCs w:val="32"/>
        </w:rPr>
        <w:t>总体目标</w:t>
      </w:r>
    </w:p>
    <w:p>
      <w:pPr>
        <w:ind w:firstLine="640" w:firstLineChars="200"/>
        <w:rPr>
          <w:rFonts w:ascii="仿宋" w:hAnsi="仿宋" w:eastAsia="仿宋"/>
          <w:kern w:val="0"/>
          <w:sz w:val="32"/>
          <w:szCs w:val="32"/>
        </w:rPr>
      </w:pPr>
      <w:r>
        <w:rPr>
          <w:rFonts w:hint="eastAsia" w:ascii="仿宋" w:hAnsi="仿宋" w:eastAsia="仿宋"/>
          <w:kern w:val="0"/>
          <w:sz w:val="32"/>
          <w:szCs w:val="32"/>
        </w:rPr>
        <w:t>为</w:t>
      </w:r>
      <w:r>
        <w:rPr>
          <w:rFonts w:ascii="仿宋" w:hAnsi="仿宋" w:eastAsia="仿宋"/>
          <w:kern w:val="0"/>
          <w:sz w:val="32"/>
          <w:szCs w:val="32"/>
        </w:rPr>
        <w:t>全面贯彻落实党的十九大和十九届历次全会精神，</w:t>
      </w:r>
      <w:r>
        <w:rPr>
          <w:rFonts w:hint="eastAsia" w:ascii="仿宋" w:hAnsi="仿宋" w:eastAsia="仿宋"/>
          <w:kern w:val="0"/>
          <w:sz w:val="32"/>
          <w:szCs w:val="32"/>
        </w:rPr>
        <w:t>推进《知识产权强国建设纲要（2021-2035）》和《“十四五”国家知识产权保护和运用规划》在贵州落地实施，圆满完成《贵州省知识产权“十四五”规划和2035年知识产权强省建设远景目标纲要》年度目标任务，坚持以高质量发展统揽全局，深入实施乡村振兴、大数据、大生态三大战略行动，紧紧围绕“四新”主攻“四化”，充分发挥知识产权制度在推动经济社会高质量发展中的重要作用，着力推进知识产权高质量创造和高效益运用，培育并形成一批拥有高价值核心专利或知名商标品牌的市场主体、以及竞争力和影响力较强的重点产业。</w:t>
      </w:r>
    </w:p>
    <w:p>
      <w:pPr>
        <w:numPr>
          <w:numId w:val="0"/>
        </w:numPr>
        <w:ind w:firstLine="640" w:firstLineChars="200"/>
        <w:rPr>
          <w:rFonts w:hint="eastAsia" w:ascii="CESI黑体-GB18030" w:hAnsi="CESI黑体-GB18030" w:eastAsia="CESI黑体-GB18030" w:cs="CESI黑体-GB18030"/>
          <w:b/>
          <w:kern w:val="0"/>
          <w:sz w:val="32"/>
          <w:szCs w:val="32"/>
        </w:rPr>
      </w:pPr>
      <w:r>
        <w:rPr>
          <w:rFonts w:hint="eastAsia" w:ascii="CESI黑体-GB18030" w:hAnsi="CESI黑体-GB18030" w:eastAsia="CESI黑体-GB18030" w:cs="CESI黑体-GB18030"/>
          <w:b/>
          <w:kern w:val="0"/>
          <w:sz w:val="32"/>
          <w:szCs w:val="32"/>
          <w:lang w:eastAsia="zh-CN"/>
        </w:rPr>
        <w:t>二、</w:t>
      </w:r>
      <w:r>
        <w:rPr>
          <w:rFonts w:hint="eastAsia" w:ascii="CESI黑体-GB18030" w:hAnsi="CESI黑体-GB18030" w:eastAsia="CESI黑体-GB18030" w:cs="CESI黑体-GB18030"/>
          <w:b/>
          <w:kern w:val="0"/>
          <w:sz w:val="32"/>
          <w:szCs w:val="32"/>
        </w:rPr>
        <w:t>基本原则</w:t>
      </w:r>
    </w:p>
    <w:p>
      <w:pPr>
        <w:ind w:firstLine="642" w:firstLineChars="200"/>
        <w:rPr>
          <w:rFonts w:ascii="仿宋" w:hAnsi="仿宋" w:eastAsia="仿宋"/>
          <w:kern w:val="0"/>
          <w:sz w:val="32"/>
          <w:szCs w:val="32"/>
        </w:rPr>
      </w:pPr>
      <w:r>
        <w:rPr>
          <w:rFonts w:hint="eastAsia" w:ascii="方正楷体_GBK" w:hAnsi="方正楷体_GBK" w:eastAsia="方正楷体_GBK" w:cs="方正楷体_GBK"/>
          <w:b/>
          <w:bCs/>
          <w:kern w:val="0"/>
          <w:sz w:val="32"/>
          <w:szCs w:val="32"/>
        </w:rPr>
        <w:t>（一）突出重点。</w:t>
      </w:r>
      <w:r>
        <w:rPr>
          <w:rFonts w:hint="eastAsia" w:ascii="仿宋" w:hAnsi="仿宋" w:eastAsia="仿宋"/>
          <w:kern w:val="0"/>
          <w:sz w:val="32"/>
          <w:szCs w:val="32"/>
        </w:rPr>
        <w:t>项目申报要紧密结合全省实施的市场主体培育行动，应当有利于加快产业发展和加快构建现代产业体系，要坚持做大规模、做优结构、提升质量并重，持续推动传统优势产业进一步焕发生机，全力推动战略性新兴产业进一步发展壮大，抓好粮食安全和农业增效，抢抓机遇加快发展数字经济。</w:t>
      </w:r>
    </w:p>
    <w:p>
      <w:pPr>
        <w:ind w:firstLine="642" w:firstLineChars="200"/>
        <w:rPr>
          <w:rFonts w:ascii="仿宋" w:hAnsi="仿宋" w:eastAsia="仿宋"/>
          <w:kern w:val="0"/>
          <w:sz w:val="32"/>
          <w:szCs w:val="32"/>
        </w:rPr>
      </w:pPr>
      <w:r>
        <w:rPr>
          <w:rFonts w:hint="eastAsia" w:ascii="方正楷体_GBK" w:hAnsi="方正楷体_GBK" w:eastAsia="方正楷体_GBK" w:cs="方正楷体_GBK"/>
          <w:b/>
          <w:bCs/>
          <w:kern w:val="0"/>
          <w:sz w:val="32"/>
          <w:szCs w:val="32"/>
        </w:rPr>
        <w:t>（二）守法诚信。</w:t>
      </w:r>
      <w:r>
        <w:rPr>
          <w:rFonts w:hint="eastAsia" w:ascii="仿宋" w:hAnsi="仿宋" w:eastAsia="仿宋"/>
          <w:kern w:val="0"/>
          <w:sz w:val="32"/>
          <w:szCs w:val="32"/>
        </w:rPr>
        <w:t>为持续推进实施构建诚信建设长效机制及失信约束制度，项目申报单位近二年内</w:t>
      </w:r>
      <w:r>
        <w:rPr>
          <w:rFonts w:hint="eastAsia" w:ascii="仿宋_GB2312" w:hAnsi="仿宋_GB2312" w:eastAsia="仿宋_GB2312" w:cs="仿宋_GB2312"/>
          <w:color w:val="000000"/>
          <w:sz w:val="32"/>
          <w:szCs w:val="32"/>
        </w:rPr>
        <w:t>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存在非正常专利申请、商标恶意抢注、恶意侵犯他人知识产权</w:t>
      </w:r>
      <w:r>
        <w:rPr>
          <w:rFonts w:hint="eastAsia" w:ascii="仿宋" w:hAnsi="仿宋" w:eastAsia="仿宋"/>
          <w:kern w:val="0"/>
          <w:sz w:val="32"/>
          <w:szCs w:val="32"/>
        </w:rPr>
        <w:t>等违法行为，且在“国家企业信用信息公示系统”中的“行政处罚信息”、“列入经营异常名录信息”或“列入严重违法失信企业名单（黑名单）信息”栏目中无</w:t>
      </w:r>
      <w:r>
        <w:rPr>
          <w:rFonts w:hint="eastAsia" w:ascii="仿宋" w:hAnsi="仿宋" w:eastAsia="仿宋"/>
          <w:kern w:val="0"/>
          <w:sz w:val="32"/>
          <w:szCs w:val="32"/>
          <w:lang w:eastAsia="zh-CN"/>
        </w:rPr>
        <w:t>相应</w:t>
      </w:r>
      <w:r>
        <w:rPr>
          <w:rFonts w:hint="eastAsia" w:ascii="仿宋" w:hAnsi="仿宋" w:eastAsia="仿宋"/>
          <w:kern w:val="0"/>
          <w:sz w:val="32"/>
          <w:szCs w:val="32"/>
        </w:rPr>
        <w:t>记录（已修复的除外）。</w:t>
      </w:r>
    </w:p>
    <w:p>
      <w:pPr>
        <w:ind w:firstLine="642" w:firstLineChars="200"/>
        <w:rPr>
          <w:rFonts w:ascii="仿宋" w:hAnsi="仿宋" w:eastAsia="仿宋"/>
          <w:kern w:val="0"/>
          <w:sz w:val="32"/>
          <w:szCs w:val="32"/>
        </w:rPr>
      </w:pPr>
      <w:r>
        <w:rPr>
          <w:rFonts w:hint="eastAsia" w:ascii="方正楷体_GBK" w:hAnsi="方正楷体_GBK" w:eastAsia="方正楷体_GBK" w:cs="方正楷体_GBK"/>
          <w:b/>
          <w:bCs/>
          <w:kern w:val="0"/>
          <w:sz w:val="32"/>
          <w:szCs w:val="32"/>
        </w:rPr>
        <w:t>（三）自愿主动。</w:t>
      </w:r>
      <w:r>
        <w:rPr>
          <w:rFonts w:hint="eastAsia" w:ascii="仿宋" w:hAnsi="仿宋" w:eastAsia="仿宋"/>
          <w:kern w:val="0"/>
          <w:sz w:val="32"/>
          <w:szCs w:val="32"/>
        </w:rPr>
        <w:t>符合条件的项目申报主体应当自愿主动提出、按照要求准备申报资料并对材料的合法性和真实性负责，各级知识产权部门应当进行广泛</w:t>
      </w:r>
      <w:r>
        <w:rPr>
          <w:rFonts w:hint="eastAsia" w:ascii="仿宋" w:hAnsi="仿宋" w:eastAsia="仿宋" w:cs="仿宋_GB2312"/>
          <w:color w:val="000000"/>
          <w:kern w:val="0"/>
          <w:sz w:val="32"/>
          <w:szCs w:val="32"/>
        </w:rPr>
        <w:t>宣传动员，但不能强制要求任何单位或个人进行项目申报，严禁通过“拉郎配”包装项目进行申报。</w:t>
      </w:r>
    </w:p>
    <w:p>
      <w:pPr>
        <w:ind w:firstLine="642" w:firstLineChars="200"/>
        <w:rPr>
          <w:rFonts w:ascii="仿宋" w:hAnsi="仿宋" w:eastAsia="仿宋"/>
          <w:kern w:val="0"/>
          <w:sz w:val="32"/>
          <w:szCs w:val="32"/>
        </w:rPr>
      </w:pPr>
      <w:r>
        <w:rPr>
          <w:rFonts w:hint="eastAsia" w:ascii="方正楷体_GBK" w:hAnsi="方正楷体_GBK" w:eastAsia="方正楷体_GBK" w:cs="方正楷体_GBK"/>
          <w:b/>
          <w:bCs/>
          <w:kern w:val="0"/>
          <w:sz w:val="32"/>
          <w:szCs w:val="32"/>
        </w:rPr>
        <w:t>（四）竞争择优。</w:t>
      </w:r>
      <w:r>
        <w:rPr>
          <w:rFonts w:hint="eastAsia" w:ascii="仿宋" w:hAnsi="仿宋" w:eastAsia="仿宋"/>
          <w:kern w:val="0"/>
          <w:sz w:val="32"/>
          <w:szCs w:val="32"/>
        </w:rPr>
        <w:t>跟一般资助的普惠性不同，本“指南”所申报的项目都需要经过资料审核、信用核查、择优推荐、专家评审、网络公示</w:t>
      </w:r>
      <w:r>
        <w:rPr>
          <w:rFonts w:hint="eastAsia" w:ascii="仿宋" w:hAnsi="仿宋" w:eastAsia="仿宋"/>
          <w:kern w:val="0"/>
          <w:sz w:val="32"/>
          <w:szCs w:val="32"/>
          <w:lang w:eastAsia="zh-CN"/>
        </w:rPr>
        <w:t>、局党组会议审议</w:t>
      </w:r>
      <w:r>
        <w:rPr>
          <w:rFonts w:hint="eastAsia" w:ascii="仿宋" w:hAnsi="仿宋" w:eastAsia="仿宋"/>
          <w:kern w:val="0"/>
          <w:sz w:val="32"/>
          <w:szCs w:val="32"/>
        </w:rPr>
        <w:t>等竞争性程序才能获得资助，以过程的优中选优确保结果的高标准和高质量，并根据省级财政年度预算经费额度实行数量限定。</w:t>
      </w:r>
    </w:p>
    <w:p>
      <w:pPr>
        <w:numPr>
          <w:numId w:val="0"/>
        </w:numPr>
        <w:ind w:firstLine="640" w:firstLineChars="200"/>
        <w:rPr>
          <w:rFonts w:hint="eastAsia" w:ascii="CESI黑体-GB18030" w:hAnsi="CESI黑体-GB18030" w:eastAsia="CESI黑体-GB18030" w:cs="CESI黑体-GB18030"/>
          <w:b/>
          <w:kern w:val="0"/>
          <w:sz w:val="32"/>
          <w:szCs w:val="32"/>
        </w:rPr>
      </w:pPr>
      <w:r>
        <w:rPr>
          <w:rFonts w:hint="eastAsia" w:ascii="CESI黑体-GB18030" w:hAnsi="CESI黑体-GB18030" w:eastAsia="CESI黑体-GB18030" w:cs="CESI黑体-GB18030"/>
          <w:b/>
          <w:kern w:val="0"/>
          <w:sz w:val="32"/>
          <w:szCs w:val="32"/>
          <w:lang w:eastAsia="zh-CN"/>
        </w:rPr>
        <w:t>三、</w:t>
      </w:r>
      <w:r>
        <w:rPr>
          <w:rFonts w:hint="eastAsia" w:ascii="CESI黑体-GB18030" w:hAnsi="CESI黑体-GB18030" w:eastAsia="CESI黑体-GB18030" w:cs="CESI黑体-GB18030"/>
          <w:b/>
          <w:kern w:val="0"/>
          <w:sz w:val="32"/>
          <w:szCs w:val="32"/>
        </w:rPr>
        <w:t>资助范围及条件</w:t>
      </w:r>
    </w:p>
    <w:p>
      <w:pPr>
        <w:ind w:firstLine="640" w:firstLineChars="200"/>
        <w:rPr>
          <w:rFonts w:ascii="仿宋" w:hAnsi="仿宋" w:eastAsia="仿宋"/>
          <w:kern w:val="0"/>
          <w:sz w:val="32"/>
          <w:szCs w:val="32"/>
        </w:rPr>
      </w:pPr>
      <w:r>
        <w:rPr>
          <w:rFonts w:hint="eastAsia" w:ascii="仿宋" w:hAnsi="仿宋" w:eastAsia="仿宋"/>
          <w:kern w:val="0"/>
          <w:sz w:val="32"/>
          <w:szCs w:val="32"/>
        </w:rPr>
        <w:t>本“指南”涉及项目的资助范围包括三个类别，名称分别是：贵州省专利导航项目、贵州省知识产权优势企业项目和贵州省高价值核心专利项目。需要具备以下基本条件：</w:t>
      </w:r>
    </w:p>
    <w:p>
      <w:pPr>
        <w:ind w:firstLine="642" w:firstLineChars="200"/>
        <w:rPr>
          <w:rFonts w:hint="eastAsia" w:ascii="方正楷体_GBK" w:hAnsi="方正楷体_GBK" w:eastAsia="方正楷体_GBK" w:cs="方正楷体_GBK"/>
          <w:b/>
          <w:bCs/>
          <w:kern w:val="0"/>
          <w:sz w:val="32"/>
          <w:szCs w:val="32"/>
        </w:rPr>
      </w:pPr>
      <w:r>
        <w:rPr>
          <w:rFonts w:hint="eastAsia" w:ascii="方正楷体_GBK" w:hAnsi="方正楷体_GBK" w:eastAsia="方正楷体_GBK" w:cs="方正楷体_GBK"/>
          <w:b/>
          <w:bCs/>
          <w:kern w:val="0"/>
          <w:sz w:val="32"/>
          <w:szCs w:val="32"/>
        </w:rPr>
        <w:t>（一）贵州省专利导航项目</w:t>
      </w:r>
    </w:p>
    <w:p>
      <w:pPr>
        <w:ind w:firstLine="642" w:firstLineChars="200"/>
        <w:rPr>
          <w:rFonts w:ascii="仿宋" w:hAnsi="仿宋" w:eastAsia="仿宋"/>
          <w:sz w:val="32"/>
          <w:szCs w:val="32"/>
        </w:rPr>
      </w:pPr>
      <w:r>
        <w:rPr>
          <w:rFonts w:hint="eastAsia" w:ascii="仿宋" w:hAnsi="仿宋" w:eastAsia="仿宋"/>
          <w:b/>
          <w:bCs/>
          <w:kern w:val="0"/>
          <w:sz w:val="32"/>
          <w:szCs w:val="32"/>
        </w:rPr>
        <w:t>1.工作目标。</w:t>
      </w:r>
      <w:r>
        <w:rPr>
          <w:rFonts w:hint="eastAsia" w:ascii="仿宋" w:hAnsi="仿宋" w:eastAsia="仿宋"/>
          <w:sz w:val="32"/>
          <w:szCs w:val="32"/>
        </w:rPr>
        <w:t>贯彻实施《专利导航指南》</w:t>
      </w:r>
      <w:r>
        <w:rPr>
          <w:rFonts w:hint="eastAsia" w:ascii="仿宋" w:hAnsi="仿宋" w:eastAsia="仿宋"/>
          <w:kern w:val="0"/>
          <w:sz w:val="32"/>
          <w:szCs w:val="32"/>
        </w:rPr>
        <w:t>(GBT39551-2020)</w:t>
      </w:r>
      <w:r>
        <w:rPr>
          <w:rFonts w:hint="eastAsia" w:ascii="仿宋" w:hAnsi="仿宋" w:eastAsia="仿宋"/>
          <w:sz w:val="32"/>
          <w:szCs w:val="32"/>
        </w:rPr>
        <w:t>系列国家标准，通过组织实施一批产业类和企业类导航项目，探索建立专利信息分析与产业宏观决策深度融合、专利创造布局与创新能力精准匹配、专利价值实现对推动高质量发展新模式，全面提高专利导航服务产业和市场主体创新发展的能力水平。</w:t>
      </w:r>
    </w:p>
    <w:p>
      <w:pPr>
        <w:ind w:firstLine="642" w:firstLineChars="200"/>
        <w:rPr>
          <w:rFonts w:ascii="仿宋" w:hAnsi="仿宋" w:eastAsia="仿宋"/>
          <w:kern w:val="0"/>
          <w:sz w:val="32"/>
          <w:szCs w:val="32"/>
        </w:rPr>
      </w:pPr>
      <w:r>
        <w:rPr>
          <w:rFonts w:hint="eastAsia" w:ascii="仿宋" w:hAnsi="仿宋" w:eastAsia="仿宋"/>
          <w:b/>
          <w:bCs/>
          <w:kern w:val="0"/>
          <w:sz w:val="32"/>
          <w:szCs w:val="32"/>
        </w:rPr>
        <w:t>2.主体资格条件。</w:t>
      </w:r>
      <w:r>
        <w:rPr>
          <w:rFonts w:hint="eastAsia" w:ascii="仿宋" w:hAnsi="仿宋" w:eastAsia="仿宋"/>
          <w:kern w:val="0"/>
          <w:sz w:val="32"/>
          <w:szCs w:val="32"/>
        </w:rPr>
        <w:t>产业类导航项目的申报主体应当是省内各类工业（产业）园区管委会、</w:t>
      </w:r>
      <w:r>
        <w:rPr>
          <w:rFonts w:hint="eastAsia" w:ascii="仿宋" w:hAnsi="仿宋" w:eastAsia="仿宋"/>
          <w:sz w:val="32"/>
          <w:szCs w:val="32"/>
        </w:rPr>
        <w:t>市县知识产权部门、行</w:t>
      </w:r>
      <w:r>
        <w:rPr>
          <w:rFonts w:hint="eastAsia" w:ascii="仿宋" w:hAnsi="仿宋" w:eastAsia="仿宋"/>
          <w:kern w:val="0"/>
          <w:sz w:val="32"/>
          <w:szCs w:val="32"/>
        </w:rPr>
        <w:t>业主管部门及其他相关单位；企业类导航项目的申报主体应当是在贵州省内登记注册并具有独立法人资格的企事业单位，本年度重点支持有一定知识产权工作基础且有专利导航实际需求的</w:t>
      </w:r>
      <w:r>
        <w:rPr>
          <w:rFonts w:hint="eastAsia" w:ascii="仿宋_GB2312" w:hAnsi="仿宋_GB2312" w:eastAsia="仿宋_GB2312" w:cs="仿宋_GB2312"/>
          <w:color w:val="000000"/>
          <w:sz w:val="32"/>
          <w:szCs w:val="32"/>
        </w:rPr>
        <w:t>知识产权优势企业、高新技术企业、龙头企业、上市培育企业等</w:t>
      </w:r>
      <w:r>
        <w:rPr>
          <w:rFonts w:hint="eastAsia" w:ascii="仿宋" w:hAnsi="仿宋" w:eastAsia="仿宋"/>
          <w:kern w:val="0"/>
          <w:sz w:val="32"/>
          <w:szCs w:val="32"/>
        </w:rPr>
        <w:t>。暂不具备专利导航实施条件的申报主体，可联合专利导航服务基地及其他专业化知识产权服务机构共同申报，但需切实履行项目申报与实施第一主体责任。</w:t>
      </w:r>
    </w:p>
    <w:p>
      <w:pPr>
        <w:ind w:firstLine="642" w:firstLineChars="200"/>
        <w:rPr>
          <w:rFonts w:ascii="仿宋" w:hAnsi="仿宋" w:eastAsia="仿宋"/>
          <w:kern w:val="0"/>
          <w:sz w:val="32"/>
          <w:szCs w:val="32"/>
        </w:rPr>
      </w:pPr>
      <w:r>
        <w:rPr>
          <w:rFonts w:hint="eastAsia" w:ascii="仿宋" w:hAnsi="仿宋" w:eastAsia="仿宋"/>
          <w:b/>
          <w:bCs/>
          <w:kern w:val="0"/>
          <w:sz w:val="32"/>
          <w:szCs w:val="32"/>
        </w:rPr>
        <w:t>3.客体条件。</w:t>
      </w:r>
      <w:r>
        <w:rPr>
          <w:rFonts w:hint="eastAsia" w:ascii="仿宋" w:hAnsi="仿宋" w:eastAsia="仿宋"/>
          <w:kern w:val="0"/>
          <w:sz w:val="32"/>
          <w:szCs w:val="32"/>
        </w:rPr>
        <w:t>产业类导航项目的客体应当是申报主体管辖范围内的重点产业或共性技术领域，本年度支持的重点方向应当是全省“十四五”科技创新规划、重点产业规划以及重点开发区首位产业指导目录的范围；企业类导航项目的客体应当是申报主体拥有的主导产品或从事的主要研发领域，可以从促进有效创新（科技攻关）、技术转化转移（专利运营）、产品出口（专利预警）、重大项目风险防范（知识产权</w:t>
      </w:r>
      <w:r>
        <w:rPr>
          <w:rFonts w:hint="eastAsia" w:ascii="仿宋" w:hAnsi="仿宋" w:eastAsia="仿宋"/>
          <w:kern w:val="0"/>
          <w:sz w:val="32"/>
          <w:szCs w:val="32"/>
          <w:lang w:eastAsia="zh-CN"/>
        </w:rPr>
        <w:t>分析</w:t>
      </w:r>
      <w:r>
        <w:rPr>
          <w:rFonts w:hint="eastAsia" w:ascii="仿宋" w:hAnsi="仿宋" w:eastAsia="仿宋"/>
          <w:kern w:val="0"/>
          <w:sz w:val="32"/>
          <w:szCs w:val="32"/>
        </w:rPr>
        <w:t>评议）等情形中选择一</w:t>
      </w:r>
      <w:r>
        <w:rPr>
          <w:rFonts w:hint="eastAsia" w:ascii="仿宋" w:hAnsi="仿宋" w:eastAsia="仿宋"/>
          <w:kern w:val="0"/>
          <w:sz w:val="32"/>
          <w:szCs w:val="32"/>
          <w:lang w:eastAsia="zh-CN"/>
        </w:rPr>
        <w:t>类进行申报</w:t>
      </w:r>
      <w:r>
        <w:rPr>
          <w:rFonts w:hint="eastAsia" w:ascii="仿宋" w:hAnsi="仿宋" w:eastAsia="仿宋"/>
          <w:kern w:val="0"/>
          <w:sz w:val="32"/>
          <w:szCs w:val="32"/>
        </w:rPr>
        <w:t>。</w:t>
      </w:r>
    </w:p>
    <w:p>
      <w:pPr>
        <w:ind w:firstLine="642" w:firstLineChars="200"/>
        <w:rPr>
          <w:rFonts w:ascii="仿宋" w:hAnsi="仿宋" w:eastAsia="仿宋"/>
          <w:kern w:val="0"/>
          <w:sz w:val="32"/>
          <w:szCs w:val="32"/>
        </w:rPr>
      </w:pPr>
      <w:r>
        <w:rPr>
          <w:rFonts w:hint="eastAsia" w:ascii="仿宋" w:hAnsi="仿宋" w:eastAsia="仿宋"/>
          <w:b/>
          <w:bCs/>
          <w:kern w:val="0"/>
          <w:sz w:val="32"/>
          <w:szCs w:val="32"/>
        </w:rPr>
        <w:t>4.其他相关条件。</w:t>
      </w:r>
      <w:r>
        <w:rPr>
          <w:rFonts w:hint="eastAsia" w:ascii="仿宋" w:hAnsi="仿宋" w:eastAsia="仿宋"/>
          <w:kern w:val="0"/>
          <w:sz w:val="32"/>
          <w:szCs w:val="32"/>
        </w:rPr>
        <w:t>熟悉《专利导航指南》(GBT39551-2020)系列国家标准执行流程，拥有获取全面、稳定、及时、可靠专利信息数据资源的渠道，具备实施专利导航项目的能力和经验。</w:t>
      </w:r>
    </w:p>
    <w:p>
      <w:pPr>
        <w:ind w:firstLine="642" w:firstLineChars="200"/>
        <w:rPr>
          <w:rFonts w:hint="eastAsia" w:ascii="方正楷体_GBK" w:hAnsi="方正楷体_GBK" w:eastAsia="方正楷体_GBK" w:cs="方正楷体_GBK"/>
          <w:b/>
          <w:bCs/>
          <w:kern w:val="0"/>
          <w:sz w:val="32"/>
          <w:szCs w:val="32"/>
        </w:rPr>
      </w:pPr>
      <w:r>
        <w:rPr>
          <w:rFonts w:hint="eastAsia" w:ascii="方正楷体_GBK" w:hAnsi="方正楷体_GBK" w:eastAsia="方正楷体_GBK" w:cs="方正楷体_GBK"/>
          <w:b/>
          <w:bCs/>
          <w:kern w:val="0"/>
          <w:sz w:val="32"/>
          <w:szCs w:val="32"/>
        </w:rPr>
        <w:t>（二）贵州省知识产权优势企业项目</w:t>
      </w:r>
    </w:p>
    <w:p>
      <w:pPr>
        <w:ind w:firstLine="642" w:firstLineChars="200"/>
        <w:rPr>
          <w:rFonts w:ascii="仿宋" w:hAnsi="仿宋" w:eastAsia="仿宋"/>
          <w:kern w:val="0"/>
          <w:sz w:val="32"/>
          <w:szCs w:val="32"/>
        </w:rPr>
      </w:pPr>
      <w:r>
        <w:rPr>
          <w:rFonts w:hint="eastAsia" w:ascii="仿宋" w:hAnsi="仿宋" w:eastAsia="仿宋"/>
          <w:b/>
          <w:bCs/>
          <w:kern w:val="0"/>
          <w:sz w:val="32"/>
          <w:szCs w:val="32"/>
        </w:rPr>
        <w:t>1.工作目标。</w:t>
      </w:r>
      <w:r>
        <w:rPr>
          <w:rFonts w:hint="eastAsia" w:ascii="仿宋_GB2312" w:eastAsia="仿宋_GB2312"/>
          <w:sz w:val="32"/>
          <w:szCs w:val="32"/>
        </w:rPr>
        <w:t>引导企业运用知识产权法律制度的作用和功能，全面提高知识产权创造、运用、保护、管理的能力和水平，培育形成具有核心专利技术产品和知名商标品牌，在知识产权领域打造一批具有市场竞争优势、规避侵权风险能力较强的“全能冠军”。</w:t>
      </w:r>
    </w:p>
    <w:p>
      <w:pPr>
        <w:ind w:firstLine="642" w:firstLineChars="200"/>
      </w:pPr>
      <w:r>
        <w:rPr>
          <w:rFonts w:hint="eastAsia" w:ascii="仿宋" w:hAnsi="仿宋" w:eastAsia="仿宋"/>
          <w:b/>
          <w:bCs/>
          <w:kern w:val="0"/>
          <w:sz w:val="32"/>
          <w:szCs w:val="32"/>
        </w:rPr>
        <w:t>2.主体资格条件。</w:t>
      </w:r>
      <w:r>
        <w:rPr>
          <w:rFonts w:hint="eastAsia" w:ascii="仿宋" w:hAnsi="仿宋" w:eastAsia="仿宋"/>
          <w:kern w:val="0"/>
          <w:sz w:val="32"/>
          <w:szCs w:val="32"/>
        </w:rPr>
        <w:t>贵州省知识产权优势企业项目申报主体应当为贵州省内登记注册的具有独立法人资格的企业，但已被国家知识产权局认定为知识产权示范企业或优势企业，以及</w:t>
      </w:r>
      <w:r>
        <w:rPr>
          <w:rFonts w:hint="eastAsia" w:ascii="仿宋" w:hAnsi="仿宋" w:eastAsia="仿宋" w:cs="Arial"/>
          <w:kern w:val="0"/>
          <w:sz w:val="32"/>
          <w:szCs w:val="32"/>
        </w:rPr>
        <w:t>获得过</w:t>
      </w:r>
      <w:r>
        <w:rPr>
          <w:rFonts w:hint="eastAsia" w:ascii="仿宋" w:hAnsi="仿宋" w:eastAsia="仿宋"/>
          <w:kern w:val="0"/>
          <w:sz w:val="32"/>
          <w:szCs w:val="32"/>
        </w:rPr>
        <w:t>省级</w:t>
      </w:r>
      <w:r>
        <w:rPr>
          <w:rFonts w:hint="eastAsia" w:ascii="仿宋" w:hAnsi="仿宋" w:eastAsia="仿宋" w:cs="Arial"/>
          <w:kern w:val="0"/>
          <w:sz w:val="32"/>
          <w:szCs w:val="32"/>
        </w:rPr>
        <w:t>知识产权优势企业培育工程项目或遴选成为</w:t>
      </w:r>
      <w:r>
        <w:rPr>
          <w:rFonts w:hint="eastAsia" w:ascii="仿宋" w:hAnsi="仿宋" w:eastAsia="仿宋"/>
          <w:kern w:val="0"/>
          <w:sz w:val="32"/>
          <w:szCs w:val="32"/>
        </w:rPr>
        <w:t>贵州省</w:t>
      </w:r>
      <w:r>
        <w:rPr>
          <w:rFonts w:hint="eastAsia" w:ascii="仿宋" w:hAnsi="仿宋" w:eastAsia="仿宋" w:cs="Arial"/>
          <w:kern w:val="0"/>
          <w:sz w:val="32"/>
          <w:szCs w:val="32"/>
        </w:rPr>
        <w:t>知识产权优势企业</w:t>
      </w:r>
      <w:r>
        <w:rPr>
          <w:rFonts w:hint="eastAsia" w:ascii="仿宋" w:hAnsi="仿宋" w:eastAsia="仿宋" w:cs="Arial"/>
          <w:kern w:val="0"/>
          <w:sz w:val="32"/>
          <w:szCs w:val="32"/>
          <w:lang w:eastAsia="zh-CN"/>
        </w:rPr>
        <w:t>项目资助</w:t>
      </w:r>
      <w:r>
        <w:rPr>
          <w:rFonts w:hint="eastAsia" w:ascii="仿宋" w:hAnsi="仿宋" w:eastAsia="仿宋" w:cs="Arial"/>
          <w:kern w:val="0"/>
          <w:sz w:val="32"/>
          <w:szCs w:val="32"/>
        </w:rPr>
        <w:t>的单位不能重复申报</w:t>
      </w:r>
      <w:r>
        <w:rPr>
          <w:rFonts w:hint="eastAsia" w:ascii="仿宋" w:hAnsi="仿宋" w:eastAsia="仿宋"/>
          <w:kern w:val="0"/>
          <w:sz w:val="32"/>
          <w:szCs w:val="32"/>
        </w:rPr>
        <w:t>。</w:t>
      </w:r>
    </w:p>
    <w:p>
      <w:pPr>
        <w:ind w:firstLine="642" w:firstLineChars="200"/>
        <w:rPr>
          <w:rFonts w:ascii="仿宋" w:hAnsi="仿宋" w:eastAsia="仿宋"/>
          <w:kern w:val="0"/>
          <w:sz w:val="32"/>
          <w:szCs w:val="32"/>
        </w:rPr>
      </w:pPr>
      <w:r>
        <w:rPr>
          <w:rFonts w:hint="eastAsia" w:ascii="仿宋" w:hAnsi="仿宋" w:eastAsia="仿宋"/>
          <w:b/>
          <w:bCs/>
          <w:kern w:val="0"/>
          <w:sz w:val="32"/>
          <w:szCs w:val="32"/>
        </w:rPr>
        <w:t>3.相关条件。一是</w:t>
      </w:r>
      <w:r>
        <w:rPr>
          <w:rFonts w:hint="eastAsia" w:ascii="仿宋" w:hAnsi="仿宋" w:eastAsia="仿宋"/>
          <w:kern w:val="0"/>
          <w:sz w:val="32"/>
          <w:szCs w:val="32"/>
        </w:rPr>
        <w:t>企业应具备一定规模，原则上应达到规上企业标准，具有较强的</w:t>
      </w:r>
      <w:r>
        <w:rPr>
          <w:rFonts w:hint="eastAsia" w:ascii="仿宋_GB2312" w:eastAsia="仿宋_GB2312"/>
          <w:sz w:val="32"/>
          <w:szCs w:val="32"/>
        </w:rPr>
        <w:t>创新发展意识和</w:t>
      </w:r>
      <w:r>
        <w:rPr>
          <w:rFonts w:hint="eastAsia" w:ascii="仿宋" w:hAnsi="仿宋" w:eastAsia="仿宋"/>
          <w:kern w:val="0"/>
          <w:sz w:val="32"/>
          <w:szCs w:val="32"/>
        </w:rPr>
        <w:t>知识产权保护意识，能够整合各类技术创新资源持续提高研发创新能力；</w:t>
      </w:r>
      <w:r>
        <w:rPr>
          <w:rFonts w:hint="eastAsia" w:ascii="仿宋" w:hAnsi="仿宋" w:eastAsia="仿宋"/>
          <w:b/>
          <w:bCs/>
          <w:kern w:val="0"/>
          <w:sz w:val="32"/>
          <w:szCs w:val="32"/>
        </w:rPr>
        <w:t>二是</w:t>
      </w:r>
      <w:r>
        <w:rPr>
          <w:rFonts w:hint="eastAsia" w:ascii="仿宋" w:hAnsi="仿宋" w:eastAsia="仿宋"/>
          <w:kern w:val="0"/>
          <w:sz w:val="32"/>
          <w:szCs w:val="32"/>
        </w:rPr>
        <w:t>企业高度重视知识产权工作，具备了较好的知识产权工作基础，建立了知识产权工作体系和长效机制，落实了知识产权机构、人员和必要的工作经费，开展了《企业知识产权管理规范》贯标工作；</w:t>
      </w:r>
      <w:r>
        <w:rPr>
          <w:rFonts w:hint="eastAsia" w:ascii="仿宋" w:hAnsi="仿宋" w:eastAsia="仿宋"/>
          <w:b/>
          <w:bCs/>
          <w:kern w:val="0"/>
          <w:sz w:val="32"/>
          <w:szCs w:val="32"/>
        </w:rPr>
        <w:t>三是</w:t>
      </w:r>
      <w:r>
        <w:rPr>
          <w:rFonts w:hint="eastAsia" w:ascii="仿宋_GB2312" w:eastAsia="仿宋_GB2312"/>
          <w:sz w:val="32"/>
          <w:szCs w:val="32"/>
        </w:rPr>
        <w:t>企业</w:t>
      </w:r>
      <w:r>
        <w:rPr>
          <w:rFonts w:hint="eastAsia" w:ascii="仿宋" w:hAnsi="仿宋" w:eastAsia="仿宋"/>
          <w:kern w:val="0"/>
          <w:sz w:val="32"/>
          <w:szCs w:val="32"/>
        </w:rPr>
        <w:t>在推进知识产权高质量创造与国内外布局、促进知识产权运用获取经济利益、加强知识产权保护提高市场知名度、强化知识产权管理规避侵权风险等方面工作成效突出，取得了显著经济社会效益并取得了市场竞争优势，知识产权综合实力在省内同类企业中具备一定的标杆作用，其中，农业企业侧重于商标、地理标志等品牌知识产权的培育和运用，重在突出产业带动和社会效益；工业企业侧重于专利、集成电路布图设计等技术知识产权的布局、运用和保护，重在突出经济效益和市场占有率。</w:t>
      </w:r>
    </w:p>
    <w:p>
      <w:pPr>
        <w:ind w:firstLine="642" w:firstLineChars="200"/>
        <w:rPr>
          <w:rFonts w:hint="eastAsia" w:ascii="方正楷体_GBK" w:hAnsi="方正楷体_GBK" w:eastAsia="方正楷体_GBK" w:cs="方正楷体_GBK"/>
          <w:b/>
          <w:bCs/>
          <w:kern w:val="0"/>
          <w:sz w:val="32"/>
          <w:szCs w:val="32"/>
        </w:rPr>
      </w:pPr>
      <w:r>
        <w:rPr>
          <w:rFonts w:hint="eastAsia" w:ascii="方正楷体_GBK" w:hAnsi="方正楷体_GBK" w:eastAsia="方正楷体_GBK" w:cs="方正楷体_GBK"/>
          <w:b/>
          <w:bCs/>
          <w:kern w:val="0"/>
          <w:sz w:val="32"/>
          <w:szCs w:val="32"/>
        </w:rPr>
        <w:t>（三）贵州省高价值核心专利项目</w:t>
      </w:r>
    </w:p>
    <w:p>
      <w:pPr>
        <w:autoSpaceDE w:val="0"/>
        <w:autoSpaceDN w:val="0"/>
        <w:adjustRightInd w:val="0"/>
        <w:ind w:firstLine="642" w:firstLineChars="200"/>
        <w:jc w:val="left"/>
        <w:rPr>
          <w:rFonts w:ascii="仿宋" w:hAnsi="仿宋" w:eastAsia="仿宋"/>
          <w:kern w:val="0"/>
          <w:sz w:val="32"/>
          <w:szCs w:val="32"/>
        </w:rPr>
      </w:pPr>
      <w:r>
        <w:rPr>
          <w:rFonts w:hint="eastAsia" w:ascii="仿宋" w:hAnsi="仿宋" w:eastAsia="仿宋"/>
          <w:b/>
          <w:bCs/>
          <w:kern w:val="0"/>
          <w:sz w:val="32"/>
          <w:szCs w:val="32"/>
        </w:rPr>
        <w:t>1.工作目标。</w:t>
      </w:r>
      <w:r>
        <w:rPr>
          <w:rFonts w:hint="eastAsia" w:ascii="仿宋" w:hAnsi="仿宋" w:eastAsia="仿宋"/>
          <w:kern w:val="0"/>
          <w:sz w:val="32"/>
          <w:szCs w:val="32"/>
        </w:rPr>
        <w:t>通过遴选方式产生一批技术实用先进、法律状态稳定、经济社会效益显著的“单项冠军”，有助于形成正向激励的示范效应，带动广大创新主体更加注重专利的创造质量和运用效益。</w:t>
      </w:r>
    </w:p>
    <w:p>
      <w:pPr>
        <w:autoSpaceDE w:val="0"/>
        <w:autoSpaceDN w:val="0"/>
        <w:adjustRightInd w:val="0"/>
        <w:ind w:firstLine="642" w:firstLineChars="200"/>
        <w:jc w:val="left"/>
        <w:rPr>
          <w:rFonts w:ascii="仿宋" w:hAnsi="仿宋" w:eastAsia="仿宋"/>
          <w:kern w:val="0"/>
          <w:sz w:val="32"/>
          <w:szCs w:val="32"/>
        </w:rPr>
      </w:pPr>
      <w:r>
        <w:rPr>
          <w:rFonts w:hint="eastAsia" w:ascii="仿宋" w:hAnsi="仿宋" w:eastAsia="仿宋"/>
          <w:b/>
          <w:bCs/>
          <w:kern w:val="0"/>
          <w:sz w:val="32"/>
          <w:szCs w:val="32"/>
        </w:rPr>
        <w:t>2.主体资格条件。</w:t>
      </w:r>
      <w:r>
        <w:rPr>
          <w:rFonts w:hint="eastAsia" w:ascii="仿宋" w:hAnsi="仿宋" w:eastAsia="仿宋"/>
          <w:kern w:val="0"/>
          <w:sz w:val="32"/>
          <w:szCs w:val="32"/>
        </w:rPr>
        <w:t>贵州省高价值核心专利项目申报主体应当是贵州省内登记注册且至少拥有1件有效中国专利的企事业单位，如项目专利涉及多个权利人共有的，以第一顺序权利人为准，但需经过</w:t>
      </w:r>
      <w:r>
        <w:rPr>
          <w:rFonts w:hint="eastAsia" w:ascii="仿宋" w:hAnsi="仿宋" w:eastAsia="仿宋" w:cs="仿宋_GB2312"/>
          <w:kern w:val="0"/>
          <w:sz w:val="32"/>
          <w:szCs w:val="32"/>
        </w:rPr>
        <w:t>全体专利权人书面同意</w:t>
      </w:r>
      <w:r>
        <w:rPr>
          <w:rFonts w:hint="eastAsia" w:ascii="仿宋" w:hAnsi="仿宋" w:eastAsia="仿宋"/>
          <w:kern w:val="0"/>
          <w:sz w:val="32"/>
          <w:szCs w:val="32"/>
        </w:rPr>
        <w:t>。</w:t>
      </w:r>
    </w:p>
    <w:p>
      <w:pPr>
        <w:autoSpaceDE w:val="0"/>
        <w:autoSpaceDN w:val="0"/>
        <w:adjustRightInd w:val="0"/>
        <w:ind w:firstLine="642" w:firstLineChars="200"/>
        <w:jc w:val="left"/>
        <w:rPr>
          <w:rFonts w:ascii="仿宋" w:hAnsi="仿宋" w:eastAsia="仿宋" w:cs="仿宋_GB2312"/>
          <w:kern w:val="0"/>
          <w:sz w:val="32"/>
          <w:szCs w:val="32"/>
        </w:rPr>
      </w:pPr>
      <w:r>
        <w:rPr>
          <w:rFonts w:hint="eastAsia" w:ascii="仿宋" w:hAnsi="仿宋" w:eastAsia="仿宋"/>
          <w:b/>
          <w:bCs/>
          <w:kern w:val="0"/>
          <w:sz w:val="32"/>
          <w:szCs w:val="32"/>
        </w:rPr>
        <w:t>3.客体条件。</w:t>
      </w:r>
      <w:r>
        <w:rPr>
          <w:rFonts w:hint="eastAsia" w:ascii="仿宋" w:hAnsi="仿宋" w:eastAsia="仿宋"/>
          <w:kern w:val="0"/>
          <w:sz w:val="32"/>
          <w:szCs w:val="32"/>
        </w:rPr>
        <w:t>所申报的专利应当是</w:t>
      </w:r>
      <w:r>
        <w:rPr>
          <w:rFonts w:hint="eastAsia" w:ascii="仿宋" w:hAnsi="仿宋" w:eastAsia="仿宋" w:cs="仿宋_GB2312"/>
          <w:kern w:val="0"/>
          <w:sz w:val="32"/>
          <w:szCs w:val="32"/>
        </w:rPr>
        <w:t>在</w:t>
      </w:r>
      <w:r>
        <w:rPr>
          <w:rFonts w:ascii="仿宋" w:hAnsi="仿宋" w:eastAsia="仿宋" w:cs="仿宋_GB2312"/>
          <w:kern w:val="0"/>
          <w:sz w:val="32"/>
          <w:szCs w:val="32"/>
        </w:rPr>
        <w:t>20</w:t>
      </w:r>
      <w:r>
        <w:rPr>
          <w:rFonts w:hint="eastAsia" w:ascii="仿宋" w:hAnsi="仿宋" w:eastAsia="仿宋" w:cs="仿宋_GB2312"/>
          <w:kern w:val="0"/>
          <w:sz w:val="32"/>
          <w:szCs w:val="32"/>
        </w:rPr>
        <w:t>21年底前获得国家知识产权局授权且维持有效的专利。一个项目最多只能以一件专利的名义进行申报，如一个产品涉及多件专利的，或者同一专利权人同时拥有多件专利的，可根据不同专利的作用发挥大小程度选择其中一件进行申报。往年已获得过贵州省</w:t>
      </w:r>
      <w:r>
        <w:rPr>
          <w:rFonts w:hint="eastAsia" w:ascii="仿宋" w:hAnsi="仿宋" w:eastAsia="仿宋"/>
          <w:kern w:val="0"/>
          <w:sz w:val="32"/>
          <w:szCs w:val="32"/>
        </w:rPr>
        <w:t>高价值专利项目资助的专利，不得重复申报。</w:t>
      </w:r>
    </w:p>
    <w:p>
      <w:pPr>
        <w:autoSpaceDE w:val="0"/>
        <w:autoSpaceDN w:val="0"/>
        <w:adjustRightInd w:val="0"/>
        <w:ind w:firstLine="642" w:firstLineChars="200"/>
        <w:jc w:val="left"/>
        <w:rPr>
          <w:rFonts w:ascii="仿宋" w:hAnsi="仿宋" w:eastAsia="仿宋" w:cs="仿宋_GB2312"/>
          <w:kern w:val="0"/>
          <w:sz w:val="32"/>
          <w:szCs w:val="32"/>
        </w:rPr>
      </w:pPr>
      <w:r>
        <w:rPr>
          <w:rFonts w:hint="eastAsia" w:ascii="仿宋" w:hAnsi="仿宋" w:eastAsia="仿宋"/>
          <w:b/>
          <w:bCs/>
          <w:kern w:val="0"/>
          <w:sz w:val="32"/>
          <w:szCs w:val="32"/>
        </w:rPr>
        <w:t>4.其他相关条件。一是</w:t>
      </w:r>
      <w:r>
        <w:rPr>
          <w:rFonts w:hint="eastAsia" w:ascii="仿宋" w:hAnsi="仿宋" w:eastAsia="仿宋" w:cs="仿宋_GB2312"/>
          <w:kern w:val="0"/>
          <w:sz w:val="32"/>
          <w:szCs w:val="32"/>
        </w:rPr>
        <w:t>申报参加遴选的专利应当具有技术先进性，在产品销售及主要技术研发方向中发挥核心关键作用，且不存在尚未结案的法律纠纷乃至法律诉讼的情形；</w:t>
      </w:r>
      <w:r>
        <w:rPr>
          <w:rFonts w:hint="eastAsia" w:ascii="仿宋" w:hAnsi="仿宋" w:eastAsia="仿宋"/>
          <w:b/>
          <w:bCs/>
          <w:kern w:val="0"/>
          <w:sz w:val="32"/>
          <w:szCs w:val="32"/>
        </w:rPr>
        <w:t>二是</w:t>
      </w:r>
      <w:r>
        <w:rPr>
          <w:rFonts w:hint="eastAsia" w:ascii="仿宋" w:hAnsi="仿宋" w:eastAsia="仿宋" w:cs="仿宋_GB2312"/>
          <w:kern w:val="0"/>
          <w:sz w:val="32"/>
          <w:szCs w:val="32"/>
        </w:rPr>
        <w:t>通过运用该专利及其专利组合产生了显著的经济效益和社会效益，且已采取合理措施确保持续实施。</w:t>
      </w:r>
    </w:p>
    <w:p>
      <w:pPr>
        <w:ind w:firstLine="640" w:firstLineChars="200"/>
        <w:rPr>
          <w:rFonts w:hint="eastAsia" w:ascii="CESI黑体-GB18030" w:hAnsi="CESI黑体-GB18030" w:eastAsia="CESI黑体-GB18030" w:cs="CESI黑体-GB18030"/>
          <w:b/>
          <w:kern w:val="0"/>
          <w:sz w:val="32"/>
          <w:szCs w:val="32"/>
        </w:rPr>
      </w:pPr>
      <w:r>
        <w:rPr>
          <w:rFonts w:hint="eastAsia" w:ascii="CESI黑体-GB18030" w:hAnsi="CESI黑体-GB18030" w:eastAsia="CESI黑体-GB18030" w:cs="CESI黑体-GB18030"/>
          <w:b/>
          <w:kern w:val="0"/>
          <w:sz w:val="32"/>
          <w:szCs w:val="32"/>
          <w:lang w:eastAsia="zh-CN"/>
        </w:rPr>
        <w:t>四、</w:t>
      </w:r>
      <w:r>
        <w:rPr>
          <w:rFonts w:hint="eastAsia" w:ascii="CESI黑体-GB18030" w:hAnsi="CESI黑体-GB18030" w:eastAsia="CESI黑体-GB18030" w:cs="CESI黑体-GB18030"/>
          <w:b/>
          <w:kern w:val="0"/>
          <w:sz w:val="32"/>
          <w:szCs w:val="32"/>
        </w:rPr>
        <w:t>申报程序</w:t>
      </w:r>
    </w:p>
    <w:p>
      <w:pPr>
        <w:ind w:firstLine="642" w:firstLineChars="200"/>
        <w:rPr>
          <w:rFonts w:ascii="仿宋" w:hAnsi="仿宋" w:eastAsia="仿宋"/>
          <w:kern w:val="0"/>
          <w:sz w:val="32"/>
          <w:szCs w:val="32"/>
        </w:rPr>
      </w:pPr>
      <w:r>
        <w:rPr>
          <w:rFonts w:hint="eastAsia" w:ascii="方正楷体_GBK" w:hAnsi="方正楷体_GBK" w:eastAsia="方正楷体_GBK" w:cs="方正楷体_GBK"/>
          <w:b/>
          <w:bCs/>
          <w:kern w:val="0"/>
          <w:sz w:val="32"/>
          <w:szCs w:val="32"/>
        </w:rPr>
        <w:t>（一）</w:t>
      </w:r>
      <w:r>
        <w:rPr>
          <w:rFonts w:hint="eastAsia" w:ascii="方正楷体_GBK" w:hAnsi="方正楷体_GBK" w:eastAsia="方正楷体_GBK" w:cs="方正楷体_GBK"/>
          <w:b/>
          <w:bCs/>
          <w:kern w:val="0"/>
          <w:sz w:val="32"/>
          <w:szCs w:val="32"/>
          <w:lang w:eastAsia="zh-CN"/>
        </w:rPr>
        <w:t>查询信用记录。</w:t>
      </w:r>
      <w:r>
        <w:rPr>
          <w:rFonts w:hint="eastAsia" w:ascii="仿宋" w:hAnsi="仿宋" w:eastAsia="仿宋"/>
          <w:kern w:val="0"/>
          <w:sz w:val="32"/>
          <w:szCs w:val="32"/>
        </w:rPr>
        <w:t>有意愿的申报主体需登陆“国家企业信用信息公示系统”，查询在近两年内</w:t>
      </w:r>
      <w:r>
        <w:rPr>
          <w:rFonts w:hint="eastAsia" w:ascii="仿宋" w:hAnsi="仿宋" w:eastAsia="仿宋"/>
          <w:kern w:val="0"/>
          <w:sz w:val="32"/>
          <w:szCs w:val="32"/>
          <w:lang w:eastAsia="zh-CN"/>
        </w:rPr>
        <w:t>是否存在</w:t>
      </w:r>
      <w:r>
        <w:rPr>
          <w:rFonts w:hint="eastAsia" w:ascii="仿宋" w:hAnsi="仿宋" w:eastAsia="仿宋"/>
          <w:kern w:val="0"/>
          <w:sz w:val="32"/>
          <w:szCs w:val="32"/>
        </w:rPr>
        <w:t>行政处罚</w:t>
      </w:r>
      <w:r>
        <w:rPr>
          <w:rFonts w:hint="eastAsia" w:ascii="仿宋" w:hAnsi="仿宋" w:eastAsia="仿宋"/>
          <w:sz w:val="32"/>
          <w:szCs w:val="32"/>
        </w:rPr>
        <w:t>、或</w:t>
      </w:r>
      <w:r>
        <w:rPr>
          <w:rFonts w:hint="eastAsia" w:ascii="仿宋" w:hAnsi="仿宋" w:eastAsia="仿宋"/>
          <w:kern w:val="0"/>
          <w:sz w:val="32"/>
          <w:szCs w:val="32"/>
        </w:rPr>
        <w:t>被列入“经营异常名录信息”以及“严重违法失信企业名单（黑名单）信息”且尚未消除的相关记录。</w:t>
      </w:r>
    </w:p>
    <w:p>
      <w:pPr>
        <w:ind w:firstLine="642" w:firstLineChars="200"/>
        <w:rPr>
          <w:rFonts w:ascii="仿宋" w:hAnsi="仿宋" w:eastAsia="仿宋"/>
          <w:kern w:val="0"/>
          <w:sz w:val="32"/>
          <w:szCs w:val="32"/>
        </w:rPr>
      </w:pPr>
      <w:r>
        <w:rPr>
          <w:rFonts w:hint="eastAsia" w:ascii="方正楷体_GBK" w:hAnsi="方正楷体_GBK" w:eastAsia="方正楷体_GBK" w:cs="方正楷体_GBK"/>
          <w:b/>
          <w:bCs/>
          <w:kern w:val="0"/>
          <w:sz w:val="32"/>
          <w:szCs w:val="32"/>
        </w:rPr>
        <w:t>（二）</w:t>
      </w:r>
      <w:r>
        <w:rPr>
          <w:rFonts w:hint="eastAsia" w:ascii="方正楷体_GBK" w:hAnsi="方正楷体_GBK" w:eastAsia="方正楷体_GBK" w:cs="方正楷体_GBK"/>
          <w:b/>
          <w:bCs/>
          <w:kern w:val="0"/>
          <w:sz w:val="32"/>
          <w:szCs w:val="32"/>
          <w:lang w:eastAsia="zh-CN"/>
        </w:rPr>
        <w:t>填报申报资料。</w:t>
      </w:r>
      <w:r>
        <w:rPr>
          <w:rFonts w:hint="eastAsia" w:ascii="仿宋" w:hAnsi="仿宋" w:eastAsia="仿宋"/>
          <w:kern w:val="0"/>
          <w:sz w:val="32"/>
          <w:szCs w:val="32"/>
        </w:rPr>
        <w:t>经初步评估满足基本条件的申报主体结合自身实际情况可选择不同类别的项目进行申报，同一主体申报同一类别的项目数量不得超过1个，申报时需按照附件对应类别的“项目申报书”涉及内容逐项进行填报，并准备印证材料。</w:t>
      </w:r>
    </w:p>
    <w:p>
      <w:pPr>
        <w:ind w:firstLine="642" w:firstLineChars="200"/>
        <w:rPr>
          <w:rFonts w:ascii="仿宋" w:hAnsi="仿宋" w:eastAsia="仿宋"/>
          <w:kern w:val="0"/>
          <w:sz w:val="32"/>
          <w:szCs w:val="32"/>
        </w:rPr>
      </w:pPr>
      <w:r>
        <w:rPr>
          <w:rFonts w:hint="eastAsia" w:ascii="方正楷体_GBK" w:hAnsi="方正楷体_GBK" w:eastAsia="方正楷体_GBK" w:cs="方正楷体_GBK"/>
          <w:b/>
          <w:bCs/>
          <w:kern w:val="0"/>
          <w:sz w:val="32"/>
          <w:szCs w:val="32"/>
        </w:rPr>
        <w:t>（三）</w:t>
      </w:r>
      <w:r>
        <w:rPr>
          <w:rFonts w:hint="eastAsia" w:ascii="方正楷体_GBK" w:hAnsi="方正楷体_GBK" w:eastAsia="方正楷体_GBK" w:cs="方正楷体_GBK"/>
          <w:b/>
          <w:bCs/>
          <w:kern w:val="0"/>
          <w:sz w:val="32"/>
          <w:szCs w:val="32"/>
          <w:lang w:eastAsia="zh-CN"/>
        </w:rPr>
        <w:t>按时进行申报。</w:t>
      </w:r>
      <w:r>
        <w:rPr>
          <w:rFonts w:hint="eastAsia" w:ascii="仿宋" w:hAnsi="仿宋" w:eastAsia="仿宋"/>
          <w:kern w:val="0"/>
          <w:sz w:val="32"/>
          <w:szCs w:val="32"/>
        </w:rPr>
        <w:t>打印胶装成册（一式三份）的项目申报书及其印证材料需在特定位置签署申报主体法定代表人姓名和加盖公章，并在侧面加盖骑缝章后于2022年3月15日前报所在市（州）知识产权局。</w:t>
      </w:r>
    </w:p>
    <w:p>
      <w:pPr>
        <w:ind w:firstLine="642" w:firstLineChars="200"/>
        <w:rPr>
          <w:rFonts w:hint="eastAsia" w:ascii="仿宋" w:hAnsi="仿宋" w:eastAsia="仿宋"/>
          <w:kern w:val="0"/>
          <w:sz w:val="32"/>
          <w:szCs w:val="32"/>
          <w:lang w:eastAsia="zh-CN"/>
        </w:rPr>
      </w:pPr>
      <w:r>
        <w:rPr>
          <w:rFonts w:hint="eastAsia" w:ascii="方正楷体_GBK" w:hAnsi="方正楷体_GBK" w:eastAsia="方正楷体_GBK" w:cs="方正楷体_GBK"/>
          <w:b/>
          <w:bCs/>
          <w:kern w:val="0"/>
          <w:sz w:val="32"/>
          <w:szCs w:val="32"/>
          <w:lang w:eastAsia="zh-CN"/>
        </w:rPr>
        <w:t>（四）严格初审把关。</w:t>
      </w:r>
      <w:r>
        <w:rPr>
          <w:rFonts w:hint="eastAsia" w:ascii="仿宋" w:hAnsi="仿宋" w:eastAsia="仿宋"/>
          <w:kern w:val="0"/>
          <w:sz w:val="32"/>
          <w:szCs w:val="32"/>
        </w:rPr>
        <w:t>各市（州）知识产权局对收到的项目申报资料重点围绕主体真实性、资料完整性、客体符合性以及数据合理性等进行初步审核把关，于2022年3月20日前按照分配的名额数量上限择优排序进行推荐，向省局出具推荐函并在申报书相应位置签署同意推荐的意见和加盖公章，同时将可编辑的电子版项目申报书（不含附件及印证资料）汇总后统一发送至shengzhiju@126.com</w:t>
      </w:r>
      <w:r>
        <w:t>。</w:t>
      </w:r>
      <w:r>
        <w:rPr>
          <w:rFonts w:hint="eastAsia" w:ascii="仿宋" w:hAnsi="仿宋" w:eastAsia="仿宋"/>
          <w:kern w:val="0"/>
          <w:sz w:val="32"/>
          <w:szCs w:val="32"/>
          <w:lang w:eastAsia="zh-CN"/>
        </w:rPr>
        <w:t>逾期我局不再接受申报。</w:t>
      </w:r>
    </w:p>
    <w:p>
      <w:pPr>
        <w:ind w:firstLine="640" w:firstLineChars="200"/>
        <w:rPr>
          <w:rFonts w:hint="eastAsia" w:ascii="CESI黑体-GB18030" w:hAnsi="CESI黑体-GB18030" w:eastAsia="CESI黑体-GB18030" w:cs="CESI黑体-GB18030"/>
          <w:b/>
          <w:kern w:val="0"/>
          <w:sz w:val="32"/>
          <w:szCs w:val="32"/>
        </w:rPr>
      </w:pPr>
      <w:r>
        <w:rPr>
          <w:rFonts w:hint="eastAsia" w:ascii="CESI黑体-GB18030" w:hAnsi="CESI黑体-GB18030" w:eastAsia="CESI黑体-GB18030" w:cs="CESI黑体-GB18030"/>
          <w:b/>
          <w:kern w:val="0"/>
          <w:sz w:val="32"/>
          <w:szCs w:val="32"/>
          <w:lang w:eastAsia="zh-CN"/>
        </w:rPr>
        <w:t>五、</w:t>
      </w:r>
      <w:r>
        <w:rPr>
          <w:rFonts w:hint="eastAsia" w:ascii="CESI黑体-GB18030" w:hAnsi="CESI黑体-GB18030" w:eastAsia="CESI黑体-GB18030" w:cs="CESI黑体-GB18030"/>
          <w:b/>
          <w:kern w:val="0"/>
          <w:sz w:val="32"/>
          <w:szCs w:val="32"/>
        </w:rPr>
        <w:t>相关要求</w:t>
      </w:r>
    </w:p>
    <w:p>
      <w:pPr>
        <w:ind w:firstLine="642" w:firstLineChars="200"/>
        <w:rPr>
          <w:rFonts w:ascii="仿宋" w:hAnsi="仿宋" w:eastAsia="仿宋" w:cs="仿宋_GB2312"/>
          <w:color w:val="000000"/>
          <w:kern w:val="0"/>
          <w:sz w:val="32"/>
          <w:szCs w:val="32"/>
        </w:rPr>
      </w:pPr>
      <w:r>
        <w:rPr>
          <w:rFonts w:hint="eastAsia" w:ascii="方正楷体_GBK" w:hAnsi="方正楷体_GBK" w:eastAsia="方正楷体_GBK" w:cs="方正楷体_GBK"/>
          <w:b/>
          <w:bCs/>
          <w:kern w:val="0"/>
          <w:sz w:val="32"/>
          <w:szCs w:val="32"/>
          <w:lang w:eastAsia="zh-CN"/>
        </w:rPr>
        <w:t>（一）广泛宣传动员。</w:t>
      </w:r>
      <w:r>
        <w:rPr>
          <w:rFonts w:hint="eastAsia" w:ascii="仿宋" w:hAnsi="仿宋" w:eastAsia="仿宋" w:cs="仿宋_GB2312"/>
          <w:color w:val="000000"/>
          <w:kern w:val="0"/>
          <w:sz w:val="32"/>
          <w:szCs w:val="32"/>
        </w:rPr>
        <w:t>各市</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州</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知识产权局要广泛宣传动员，牢固树立“抓项目就是抓经济、抓项目就是抓发展”的理念，积极组织辖区内知识产权工作基础条件较好、积极性较高的企事业单位进行申报，切实把好初审质量关，真正把“好”的项目择优推荐上来。</w:t>
      </w:r>
    </w:p>
    <w:p>
      <w:pPr>
        <w:ind w:firstLine="642" w:firstLineChars="200"/>
        <w:rPr>
          <w:rFonts w:ascii="仿宋" w:hAnsi="仿宋" w:eastAsia="仿宋" w:cs="仿宋_GB2312"/>
          <w:color w:val="000000"/>
          <w:kern w:val="0"/>
          <w:sz w:val="32"/>
          <w:szCs w:val="32"/>
        </w:rPr>
      </w:pPr>
      <w:r>
        <w:rPr>
          <w:rFonts w:hint="eastAsia" w:ascii="方正楷体_GBK" w:hAnsi="方正楷体_GBK" w:eastAsia="方正楷体_GBK" w:cs="方正楷体_GBK"/>
          <w:b/>
          <w:bCs/>
          <w:kern w:val="0"/>
          <w:sz w:val="32"/>
          <w:szCs w:val="32"/>
          <w:lang w:eastAsia="zh-CN"/>
        </w:rPr>
        <w:t>（二）据实规范申报。</w:t>
      </w:r>
      <w:r>
        <w:rPr>
          <w:rFonts w:hint="eastAsia" w:ascii="仿宋" w:hAnsi="仿宋" w:eastAsia="仿宋" w:cs="仿宋_GB2312"/>
          <w:color w:val="000000"/>
          <w:kern w:val="0"/>
          <w:sz w:val="32"/>
          <w:szCs w:val="32"/>
        </w:rPr>
        <w:t>各申报主体要仔细阅读领会</w:t>
      </w:r>
      <w:r>
        <w:rPr>
          <w:rFonts w:hint="eastAsia" w:ascii="仿宋" w:hAnsi="仿宋" w:eastAsia="仿宋" w:cs="仿宋_GB2312"/>
          <w:color w:val="000000"/>
          <w:kern w:val="0"/>
          <w:sz w:val="32"/>
          <w:szCs w:val="32"/>
          <w:lang w:eastAsia="zh-CN"/>
        </w:rPr>
        <w:t>“指南”各项要求</w:t>
      </w:r>
      <w:r>
        <w:rPr>
          <w:rFonts w:hint="eastAsia" w:ascii="仿宋" w:hAnsi="仿宋" w:eastAsia="仿宋" w:cs="仿宋_GB2312"/>
          <w:color w:val="000000"/>
          <w:kern w:val="0"/>
          <w:sz w:val="32"/>
          <w:szCs w:val="32"/>
        </w:rPr>
        <w:t>，认真填写“项目申报书”各项内容，据实填报知识产权工作现状与绩效、知识产权工作经费投入及实际使用等情况，“项目申报书”填报的数据及相关情况均需提供印证材料作为其附件一并胶装成册，并在申报书相应的位置签字和盖章。未按要求提供印证材料的，视为申报资料不合格。</w:t>
      </w:r>
      <w:r>
        <w:rPr>
          <w:rFonts w:hint="eastAsia" w:ascii="仿宋" w:hAnsi="仿宋" w:eastAsia="仿宋" w:cs="仿宋_GB2312"/>
          <w:color w:val="000000"/>
          <w:kern w:val="0"/>
          <w:sz w:val="32"/>
          <w:szCs w:val="32"/>
          <w:lang w:eastAsia="zh-CN"/>
        </w:rPr>
        <w:t>申报资料不合格的，不再进入下一阶段的评审。</w:t>
      </w:r>
      <w:r>
        <w:rPr>
          <w:rFonts w:hint="eastAsia" w:ascii="仿宋" w:hAnsi="仿宋" w:eastAsia="仿宋" w:cs="仿宋_GB2312"/>
          <w:color w:val="000000"/>
          <w:kern w:val="0"/>
          <w:sz w:val="32"/>
          <w:szCs w:val="32"/>
        </w:rPr>
        <w:t>针对印证资料特别说明：一是不得提供与所申报项目无关的印证资料进行充数；二是最近两年（2020-2021年）知识产权工作经费使用情况需要第三方机构出具专项审计报告。</w:t>
      </w:r>
    </w:p>
    <w:p>
      <w:pPr>
        <w:numPr>
          <w:numId w:val="0"/>
        </w:numPr>
        <w:ind w:firstLine="640" w:firstLineChars="200"/>
        <w:rPr>
          <w:rFonts w:hint="eastAsia" w:ascii="CESI黑体-GB18030" w:hAnsi="CESI黑体-GB18030" w:eastAsia="CESI黑体-GB18030" w:cs="CESI黑体-GB18030"/>
          <w:b/>
          <w:kern w:val="0"/>
          <w:sz w:val="32"/>
          <w:szCs w:val="32"/>
        </w:rPr>
      </w:pPr>
      <w:r>
        <w:rPr>
          <w:rFonts w:hint="eastAsia" w:ascii="CESI黑体-GB18030" w:hAnsi="CESI黑体-GB18030" w:eastAsia="CESI黑体-GB18030" w:cs="CESI黑体-GB18030"/>
          <w:b/>
          <w:kern w:val="0"/>
          <w:sz w:val="32"/>
          <w:szCs w:val="32"/>
          <w:lang w:eastAsia="zh-CN"/>
        </w:rPr>
        <w:t>六、</w:t>
      </w:r>
      <w:r>
        <w:rPr>
          <w:rFonts w:hint="eastAsia" w:ascii="CESI黑体-GB18030" w:hAnsi="CESI黑体-GB18030" w:eastAsia="CESI黑体-GB18030" w:cs="CESI黑体-GB18030"/>
          <w:b/>
          <w:kern w:val="0"/>
          <w:sz w:val="32"/>
          <w:szCs w:val="32"/>
        </w:rPr>
        <w:t>支持措施</w:t>
      </w:r>
    </w:p>
    <w:p>
      <w:pPr>
        <w:ind w:firstLine="642" w:firstLineChars="200"/>
        <w:rPr>
          <w:rFonts w:ascii="仿宋" w:hAnsi="仿宋" w:eastAsia="仿宋"/>
          <w:kern w:val="0"/>
          <w:sz w:val="32"/>
          <w:szCs w:val="32"/>
        </w:rPr>
      </w:pPr>
      <w:r>
        <w:rPr>
          <w:rFonts w:hint="eastAsia" w:ascii="方正楷体_GBK" w:hAnsi="方正楷体_GBK" w:eastAsia="方正楷体_GBK" w:cs="方正楷体_GBK"/>
          <w:b/>
          <w:bCs/>
          <w:kern w:val="0"/>
          <w:sz w:val="32"/>
          <w:szCs w:val="32"/>
          <w:lang w:eastAsia="zh-CN"/>
        </w:rPr>
        <w:t>（一）申报答疑解惑。</w:t>
      </w:r>
      <w:r>
        <w:rPr>
          <w:rFonts w:hint="eastAsia" w:ascii="仿宋" w:hAnsi="仿宋" w:eastAsia="仿宋"/>
          <w:kern w:val="0"/>
          <w:sz w:val="32"/>
          <w:szCs w:val="32"/>
        </w:rPr>
        <w:t>为帮助各地全面了解知识产权法律法规及相关政策，及时解答有关企事业单位在知识产权项目申报与实施过程中遇到的问题，省局申请备案了“2022年黔知项目申报交流QQ群”，群号：237849248，群员需要实名加入并遵守国家网络管理相关规定。必要时，省局还可根据</w:t>
      </w:r>
      <w:r>
        <w:rPr>
          <w:rFonts w:hint="eastAsia" w:ascii="仿宋" w:hAnsi="仿宋" w:eastAsia="仿宋" w:cs="仿宋_GB2312"/>
          <w:color w:val="000000"/>
          <w:kern w:val="0"/>
          <w:sz w:val="32"/>
          <w:szCs w:val="32"/>
        </w:rPr>
        <w:t>各市（州）知识产权局的需要派人进行现场指导和集中宣讲等，相关事宜可向省局知识产权运用促进处咨询</w:t>
      </w:r>
      <w:r>
        <w:rPr>
          <w:rFonts w:hint="eastAsia" w:ascii="仿宋" w:hAnsi="仿宋" w:eastAsia="仿宋" w:cs="仿宋_GB2312"/>
          <w:color w:val="000000"/>
          <w:kern w:val="0"/>
          <w:sz w:val="32"/>
          <w:szCs w:val="32"/>
          <w:lang w:eastAsia="zh-CN"/>
        </w:rPr>
        <w:t>。</w:t>
      </w:r>
      <w:r>
        <w:rPr>
          <w:rFonts w:hint="eastAsia" w:ascii="仿宋" w:hAnsi="仿宋" w:eastAsia="仿宋"/>
          <w:kern w:val="0"/>
          <w:sz w:val="32"/>
          <w:szCs w:val="32"/>
        </w:rPr>
        <w:t>联系人：王</w:t>
      </w:r>
      <w:r>
        <w:rPr>
          <w:rFonts w:hint="eastAsia" w:ascii="仿宋" w:hAnsi="仿宋" w:eastAsia="仿宋"/>
          <w:kern w:val="0"/>
          <w:sz w:val="32"/>
          <w:szCs w:val="32"/>
          <w:lang w:eastAsia="zh-CN"/>
        </w:rPr>
        <w:t>曰洪</w:t>
      </w:r>
      <w:r>
        <w:rPr>
          <w:rFonts w:hint="eastAsia" w:ascii="仿宋" w:hAnsi="仿宋" w:eastAsia="仿宋"/>
          <w:kern w:val="0"/>
          <w:sz w:val="32"/>
          <w:szCs w:val="32"/>
        </w:rPr>
        <w:t>、刘</w:t>
      </w:r>
      <w:r>
        <w:rPr>
          <w:rFonts w:hint="eastAsia" w:ascii="仿宋" w:hAnsi="仿宋" w:eastAsia="仿宋"/>
          <w:kern w:val="0"/>
          <w:sz w:val="32"/>
          <w:szCs w:val="32"/>
          <w:lang w:eastAsia="zh-CN"/>
        </w:rPr>
        <w:t>超；</w:t>
      </w:r>
      <w:r>
        <w:rPr>
          <w:rFonts w:hint="eastAsia" w:ascii="仿宋" w:hAnsi="仿宋" w:eastAsia="仿宋" w:cs="仿宋_GB2312"/>
          <w:color w:val="000000"/>
          <w:kern w:val="0"/>
          <w:sz w:val="32"/>
          <w:szCs w:val="32"/>
        </w:rPr>
        <w:t>电话：</w:t>
      </w:r>
      <w:r>
        <w:rPr>
          <w:rFonts w:hint="eastAsia" w:ascii="仿宋" w:hAnsi="仿宋" w:eastAsia="仿宋"/>
          <w:kern w:val="0"/>
          <w:sz w:val="32"/>
          <w:szCs w:val="32"/>
        </w:rPr>
        <w:t>0851-85850060、85825390。</w:t>
      </w:r>
    </w:p>
    <w:p>
      <w:pPr>
        <w:ind w:firstLine="642" w:firstLineChars="200"/>
        <w:rPr>
          <w:rFonts w:hint="default" w:ascii="仿宋" w:hAnsi="仿宋" w:eastAsia="仿宋"/>
          <w:kern w:val="0"/>
          <w:sz w:val="32"/>
          <w:szCs w:val="32"/>
          <w:lang w:val="en-US" w:eastAsia="zh-CN"/>
        </w:rPr>
      </w:pPr>
      <w:r>
        <w:rPr>
          <w:rFonts w:hint="eastAsia" w:ascii="方正楷体_GBK" w:hAnsi="方正楷体_GBK" w:eastAsia="方正楷体_GBK" w:cs="方正楷体_GBK"/>
          <w:b/>
          <w:bCs/>
          <w:kern w:val="0"/>
          <w:sz w:val="32"/>
          <w:szCs w:val="32"/>
          <w:lang w:eastAsia="zh-CN"/>
        </w:rPr>
        <w:t>（二）项目经费资助。</w:t>
      </w:r>
      <w:r>
        <w:rPr>
          <w:rFonts w:hint="eastAsia" w:ascii="仿宋" w:hAnsi="仿宋" w:eastAsia="仿宋"/>
          <w:kern w:val="0"/>
          <w:sz w:val="32"/>
          <w:szCs w:val="32"/>
        </w:rPr>
        <w:t>项目申报结束以后，省局将组织专家或委托第三方机构对项目申报单位提交的资料按照相应程序和标准进行评审打分，对择优入围的项目将按照</w:t>
      </w:r>
      <w:r>
        <w:rPr>
          <w:rFonts w:hint="eastAsia" w:ascii="仿宋" w:hAnsi="仿宋" w:eastAsia="仿宋"/>
          <w:sz w:val="32"/>
          <w:szCs w:val="32"/>
        </w:rPr>
        <w:t>《贵州省知识产权高质量发展资助办法》</w:t>
      </w:r>
      <w:r>
        <w:rPr>
          <w:rFonts w:hint="eastAsia" w:ascii="仿宋" w:hAnsi="仿宋" w:eastAsia="仿宋"/>
          <w:kern w:val="0"/>
          <w:sz w:val="32"/>
          <w:szCs w:val="32"/>
        </w:rPr>
        <w:t>（黔知发〔2021〕2号）的规定给予财政专项资金</w:t>
      </w:r>
      <w:r>
        <w:rPr>
          <w:rFonts w:hint="eastAsia" w:ascii="仿宋" w:hAnsi="仿宋" w:eastAsia="仿宋"/>
          <w:kern w:val="0"/>
          <w:sz w:val="32"/>
          <w:szCs w:val="32"/>
          <w:lang w:eastAsia="zh-CN"/>
        </w:rPr>
        <w:t>资</w:t>
      </w:r>
      <w:r>
        <w:rPr>
          <w:rFonts w:hint="eastAsia" w:ascii="仿宋" w:hAnsi="仿宋" w:eastAsia="仿宋"/>
          <w:kern w:val="0"/>
          <w:sz w:val="32"/>
          <w:szCs w:val="32"/>
        </w:rPr>
        <w:t>助。</w:t>
      </w:r>
      <w:r>
        <w:rPr>
          <w:rFonts w:hint="eastAsia" w:ascii="仿宋" w:hAnsi="仿宋" w:eastAsia="仿宋"/>
          <w:kern w:val="0"/>
          <w:sz w:val="32"/>
          <w:szCs w:val="32"/>
          <w:lang w:eastAsia="zh-CN"/>
        </w:rPr>
        <w:t>其中，贵州省专项导航项目，每个资助</w:t>
      </w:r>
      <w:r>
        <w:rPr>
          <w:rFonts w:hint="eastAsia" w:ascii="仿宋" w:hAnsi="仿宋" w:eastAsia="仿宋"/>
          <w:kern w:val="0"/>
          <w:sz w:val="32"/>
          <w:szCs w:val="32"/>
          <w:lang w:val="en-US" w:eastAsia="zh-CN"/>
        </w:rPr>
        <w:t>15万元；贵州省知识产权优势企业项目，每个资助20万元； 贵州省高价值核心专利项目，每个资助50万元。</w:t>
      </w:r>
    </w:p>
    <w:p>
      <w:pPr>
        <w:ind w:firstLine="642" w:firstLineChars="200"/>
        <w:rPr>
          <w:rFonts w:ascii="仿宋" w:hAnsi="仿宋" w:eastAsia="仿宋"/>
          <w:kern w:val="0"/>
          <w:sz w:val="32"/>
          <w:szCs w:val="32"/>
        </w:rPr>
      </w:pPr>
      <w:r>
        <w:rPr>
          <w:rFonts w:hint="eastAsia" w:ascii="方正楷体_GBK" w:hAnsi="方正楷体_GBK" w:eastAsia="方正楷体_GBK" w:cs="方正楷体_GBK"/>
          <w:b/>
          <w:bCs/>
          <w:kern w:val="0"/>
          <w:sz w:val="32"/>
          <w:szCs w:val="32"/>
          <w:lang w:eastAsia="zh-CN"/>
        </w:rPr>
        <w:t>（三）后续跟踪服务。</w:t>
      </w:r>
      <w:r>
        <w:rPr>
          <w:rFonts w:hint="eastAsia" w:ascii="仿宋" w:hAnsi="仿宋" w:eastAsia="仿宋"/>
          <w:kern w:val="0"/>
          <w:sz w:val="32"/>
          <w:szCs w:val="32"/>
        </w:rPr>
        <w:t>对于获得支持的项目单位，省局将会同所在</w:t>
      </w:r>
      <w:r>
        <w:rPr>
          <w:rFonts w:hint="eastAsia" w:ascii="仿宋" w:hAnsi="仿宋" w:eastAsia="仿宋" w:cs="仿宋_GB2312"/>
          <w:color w:val="000000"/>
          <w:kern w:val="0"/>
          <w:sz w:val="32"/>
          <w:szCs w:val="32"/>
        </w:rPr>
        <w:t>市（州）知识产权部门</w:t>
      </w:r>
      <w:r>
        <w:rPr>
          <w:rFonts w:hint="eastAsia" w:ascii="仿宋" w:hAnsi="仿宋" w:eastAsia="仿宋"/>
          <w:kern w:val="0"/>
          <w:sz w:val="32"/>
          <w:szCs w:val="32"/>
        </w:rPr>
        <w:t>开展为期两年的持续跟踪服务与指导，包括定期举办知识产权培训、推送知识产权动态信息、接受知识产权专业事务咨询、给予知识产权培训师资支持、根据需要组织开展</w:t>
      </w:r>
      <w:r>
        <w:rPr>
          <w:rFonts w:hint="eastAsia" w:ascii="仿宋" w:hAnsi="仿宋" w:eastAsia="仿宋"/>
          <w:kern w:val="0"/>
          <w:sz w:val="32"/>
          <w:szCs w:val="32"/>
          <w:lang w:eastAsia="zh-CN"/>
        </w:rPr>
        <w:t>“</w:t>
      </w:r>
      <w:r>
        <w:rPr>
          <w:rFonts w:hint="eastAsia" w:ascii="仿宋" w:hAnsi="仿宋" w:eastAsia="仿宋"/>
          <w:kern w:val="0"/>
          <w:sz w:val="32"/>
          <w:szCs w:val="32"/>
        </w:rPr>
        <w:t>知识产权面对面服务</w:t>
      </w:r>
      <w:r>
        <w:rPr>
          <w:rFonts w:hint="eastAsia" w:ascii="仿宋" w:hAnsi="仿宋" w:eastAsia="仿宋"/>
          <w:kern w:val="0"/>
          <w:sz w:val="32"/>
          <w:szCs w:val="32"/>
          <w:lang w:eastAsia="zh-CN"/>
        </w:rPr>
        <w:t>”活动</w:t>
      </w:r>
      <w:r>
        <w:rPr>
          <w:rFonts w:hint="eastAsia" w:ascii="仿宋" w:hAnsi="仿宋" w:eastAsia="仿宋"/>
          <w:kern w:val="0"/>
          <w:sz w:val="32"/>
          <w:szCs w:val="32"/>
        </w:rPr>
        <w:t>等</w:t>
      </w:r>
      <w:bookmarkStart w:id="0" w:name="_GoBack"/>
      <w:bookmarkEnd w:id="0"/>
      <w:r>
        <w:rPr>
          <w:rFonts w:hint="eastAsia" w:ascii="仿宋" w:hAnsi="仿宋" w:eastAsia="仿宋"/>
          <w:kern w:val="0"/>
          <w:sz w:val="32"/>
          <w:szCs w:val="32"/>
          <w:lang w:eastAsia="zh-CN"/>
        </w:rPr>
        <w:t>服务</w:t>
      </w:r>
      <w:r>
        <w:rPr>
          <w:rFonts w:hint="eastAsia" w:ascii="仿宋" w:hAnsi="仿宋" w:eastAsia="仿宋"/>
          <w:kern w:val="0"/>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 w:name="CESI黑体-GB18030">
    <w:panose1 w:val="02000500000000000000"/>
    <w:charset w:val="86"/>
    <w:family w:val="auto"/>
    <w:pitch w:val="default"/>
    <w:sig w:usb0="A00002BF" w:usb1="38C77CFA" w:usb2="00000016" w:usb3="00000000" w:csb0="0004000F" w:csb1="0000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9383821"/>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A5"/>
    <w:rsid w:val="0000158B"/>
    <w:rsid w:val="0000245E"/>
    <w:rsid w:val="00002CF6"/>
    <w:rsid w:val="00002DF1"/>
    <w:rsid w:val="00012D05"/>
    <w:rsid w:val="00013727"/>
    <w:rsid w:val="0001790F"/>
    <w:rsid w:val="00020803"/>
    <w:rsid w:val="00021289"/>
    <w:rsid w:val="00026332"/>
    <w:rsid w:val="00032167"/>
    <w:rsid w:val="00036BD9"/>
    <w:rsid w:val="00046661"/>
    <w:rsid w:val="000477E5"/>
    <w:rsid w:val="00047CB2"/>
    <w:rsid w:val="00052629"/>
    <w:rsid w:val="00053B1C"/>
    <w:rsid w:val="0005644F"/>
    <w:rsid w:val="00056EE1"/>
    <w:rsid w:val="00057A33"/>
    <w:rsid w:val="00071C3C"/>
    <w:rsid w:val="00073977"/>
    <w:rsid w:val="000769C8"/>
    <w:rsid w:val="00082A39"/>
    <w:rsid w:val="00083803"/>
    <w:rsid w:val="0008477F"/>
    <w:rsid w:val="00085E53"/>
    <w:rsid w:val="000907F7"/>
    <w:rsid w:val="00094BA4"/>
    <w:rsid w:val="00095632"/>
    <w:rsid w:val="00096E59"/>
    <w:rsid w:val="000A1A0D"/>
    <w:rsid w:val="000A2CFE"/>
    <w:rsid w:val="000A673A"/>
    <w:rsid w:val="000C24EC"/>
    <w:rsid w:val="000C2ADC"/>
    <w:rsid w:val="000D1857"/>
    <w:rsid w:val="000D1F80"/>
    <w:rsid w:val="000D56AC"/>
    <w:rsid w:val="000D5E18"/>
    <w:rsid w:val="000D7505"/>
    <w:rsid w:val="000E1A65"/>
    <w:rsid w:val="000E2177"/>
    <w:rsid w:val="000E5576"/>
    <w:rsid w:val="000F1C12"/>
    <w:rsid w:val="00106607"/>
    <w:rsid w:val="00106E57"/>
    <w:rsid w:val="00114462"/>
    <w:rsid w:val="0011462C"/>
    <w:rsid w:val="00114ACA"/>
    <w:rsid w:val="00114D95"/>
    <w:rsid w:val="00124A2A"/>
    <w:rsid w:val="00124DD3"/>
    <w:rsid w:val="00125F2B"/>
    <w:rsid w:val="00127FD3"/>
    <w:rsid w:val="00134900"/>
    <w:rsid w:val="00135022"/>
    <w:rsid w:val="001350A4"/>
    <w:rsid w:val="00145761"/>
    <w:rsid w:val="001568CB"/>
    <w:rsid w:val="00163DFE"/>
    <w:rsid w:val="001649A9"/>
    <w:rsid w:val="00175492"/>
    <w:rsid w:val="001755C8"/>
    <w:rsid w:val="00180DD1"/>
    <w:rsid w:val="001825D1"/>
    <w:rsid w:val="00186386"/>
    <w:rsid w:val="00193671"/>
    <w:rsid w:val="00194181"/>
    <w:rsid w:val="00196E68"/>
    <w:rsid w:val="0019746F"/>
    <w:rsid w:val="00197D8F"/>
    <w:rsid w:val="001A126E"/>
    <w:rsid w:val="001A1503"/>
    <w:rsid w:val="001A2B9B"/>
    <w:rsid w:val="001A4531"/>
    <w:rsid w:val="001A6945"/>
    <w:rsid w:val="001B65CC"/>
    <w:rsid w:val="001B6F0F"/>
    <w:rsid w:val="001B7461"/>
    <w:rsid w:val="001C0946"/>
    <w:rsid w:val="001C1361"/>
    <w:rsid w:val="001C6B74"/>
    <w:rsid w:val="001D3878"/>
    <w:rsid w:val="001D51B5"/>
    <w:rsid w:val="001D53CA"/>
    <w:rsid w:val="001D7B90"/>
    <w:rsid w:val="001E4BD6"/>
    <w:rsid w:val="001F1F33"/>
    <w:rsid w:val="001F2A27"/>
    <w:rsid w:val="001F488D"/>
    <w:rsid w:val="001F7E72"/>
    <w:rsid w:val="002015C9"/>
    <w:rsid w:val="002046E1"/>
    <w:rsid w:val="002055FE"/>
    <w:rsid w:val="00211858"/>
    <w:rsid w:val="00211A7D"/>
    <w:rsid w:val="002128C6"/>
    <w:rsid w:val="002268F8"/>
    <w:rsid w:val="002369B6"/>
    <w:rsid w:val="00240540"/>
    <w:rsid w:val="00242E2E"/>
    <w:rsid w:val="00251986"/>
    <w:rsid w:val="00251A6A"/>
    <w:rsid w:val="0025259F"/>
    <w:rsid w:val="00252A76"/>
    <w:rsid w:val="00254D11"/>
    <w:rsid w:val="00256F97"/>
    <w:rsid w:val="00260D8F"/>
    <w:rsid w:val="00264E4C"/>
    <w:rsid w:val="00282152"/>
    <w:rsid w:val="002866CA"/>
    <w:rsid w:val="00293840"/>
    <w:rsid w:val="0029689D"/>
    <w:rsid w:val="00297887"/>
    <w:rsid w:val="002A22FA"/>
    <w:rsid w:val="002A25E5"/>
    <w:rsid w:val="002A3E70"/>
    <w:rsid w:val="002A5D4C"/>
    <w:rsid w:val="002A64D4"/>
    <w:rsid w:val="002A6DED"/>
    <w:rsid w:val="002B572C"/>
    <w:rsid w:val="002B6CF2"/>
    <w:rsid w:val="002B6D38"/>
    <w:rsid w:val="002C4EC3"/>
    <w:rsid w:val="002E1662"/>
    <w:rsid w:val="002E3A8D"/>
    <w:rsid w:val="002F3B3F"/>
    <w:rsid w:val="002F7157"/>
    <w:rsid w:val="003009E6"/>
    <w:rsid w:val="003031C0"/>
    <w:rsid w:val="00303513"/>
    <w:rsid w:val="00305059"/>
    <w:rsid w:val="00307568"/>
    <w:rsid w:val="0031299F"/>
    <w:rsid w:val="00313914"/>
    <w:rsid w:val="00313C71"/>
    <w:rsid w:val="00316F91"/>
    <w:rsid w:val="003176BE"/>
    <w:rsid w:val="00321D5A"/>
    <w:rsid w:val="00322CC8"/>
    <w:rsid w:val="00324E5B"/>
    <w:rsid w:val="00330AB7"/>
    <w:rsid w:val="0034236A"/>
    <w:rsid w:val="0034475A"/>
    <w:rsid w:val="00344859"/>
    <w:rsid w:val="00345869"/>
    <w:rsid w:val="00351EF2"/>
    <w:rsid w:val="00353830"/>
    <w:rsid w:val="00357E62"/>
    <w:rsid w:val="003726AD"/>
    <w:rsid w:val="00373C5D"/>
    <w:rsid w:val="00381536"/>
    <w:rsid w:val="00390AE8"/>
    <w:rsid w:val="00391A04"/>
    <w:rsid w:val="0039369C"/>
    <w:rsid w:val="003955A1"/>
    <w:rsid w:val="00395E92"/>
    <w:rsid w:val="003A2496"/>
    <w:rsid w:val="003A3F0A"/>
    <w:rsid w:val="003A4F45"/>
    <w:rsid w:val="003A7B2B"/>
    <w:rsid w:val="003B2324"/>
    <w:rsid w:val="003B5124"/>
    <w:rsid w:val="003B5772"/>
    <w:rsid w:val="003B5CD0"/>
    <w:rsid w:val="003B67EF"/>
    <w:rsid w:val="003B7221"/>
    <w:rsid w:val="003B759A"/>
    <w:rsid w:val="003C3ADB"/>
    <w:rsid w:val="003C4E4A"/>
    <w:rsid w:val="003C7DB7"/>
    <w:rsid w:val="003D04B0"/>
    <w:rsid w:val="003D520E"/>
    <w:rsid w:val="003D592B"/>
    <w:rsid w:val="003F692C"/>
    <w:rsid w:val="003F7BA9"/>
    <w:rsid w:val="00402101"/>
    <w:rsid w:val="00406AC6"/>
    <w:rsid w:val="00411041"/>
    <w:rsid w:val="00413786"/>
    <w:rsid w:val="00420F0A"/>
    <w:rsid w:val="00421FBC"/>
    <w:rsid w:val="00432E8C"/>
    <w:rsid w:val="00433DAB"/>
    <w:rsid w:val="00441C9B"/>
    <w:rsid w:val="004568FE"/>
    <w:rsid w:val="00457CE3"/>
    <w:rsid w:val="00467135"/>
    <w:rsid w:val="00470491"/>
    <w:rsid w:val="004754A5"/>
    <w:rsid w:val="00476FD2"/>
    <w:rsid w:val="004805F5"/>
    <w:rsid w:val="00481526"/>
    <w:rsid w:val="00486D23"/>
    <w:rsid w:val="004971B9"/>
    <w:rsid w:val="004A58E1"/>
    <w:rsid w:val="004A606B"/>
    <w:rsid w:val="004A777E"/>
    <w:rsid w:val="004B2D88"/>
    <w:rsid w:val="004B2E0C"/>
    <w:rsid w:val="004B3A40"/>
    <w:rsid w:val="004C16BF"/>
    <w:rsid w:val="004C2A69"/>
    <w:rsid w:val="004C4C21"/>
    <w:rsid w:val="004C5571"/>
    <w:rsid w:val="004C781B"/>
    <w:rsid w:val="004D33A3"/>
    <w:rsid w:val="004E2394"/>
    <w:rsid w:val="004E47B6"/>
    <w:rsid w:val="004F22A0"/>
    <w:rsid w:val="004F2E1C"/>
    <w:rsid w:val="0050336E"/>
    <w:rsid w:val="00504AF0"/>
    <w:rsid w:val="00506DFC"/>
    <w:rsid w:val="00507D9B"/>
    <w:rsid w:val="0051116F"/>
    <w:rsid w:val="0051504F"/>
    <w:rsid w:val="00516F12"/>
    <w:rsid w:val="00517BDF"/>
    <w:rsid w:val="0052573E"/>
    <w:rsid w:val="005258A6"/>
    <w:rsid w:val="00525919"/>
    <w:rsid w:val="00531354"/>
    <w:rsid w:val="005379B4"/>
    <w:rsid w:val="00537CFE"/>
    <w:rsid w:val="005440BB"/>
    <w:rsid w:val="00544C8A"/>
    <w:rsid w:val="00553909"/>
    <w:rsid w:val="0056172F"/>
    <w:rsid w:val="00562FB4"/>
    <w:rsid w:val="0056395E"/>
    <w:rsid w:val="00564D9A"/>
    <w:rsid w:val="00570584"/>
    <w:rsid w:val="00572A07"/>
    <w:rsid w:val="00586549"/>
    <w:rsid w:val="005876BA"/>
    <w:rsid w:val="0059232B"/>
    <w:rsid w:val="00594C68"/>
    <w:rsid w:val="00595C97"/>
    <w:rsid w:val="0059674E"/>
    <w:rsid w:val="005A0133"/>
    <w:rsid w:val="005A40CF"/>
    <w:rsid w:val="005A4F0E"/>
    <w:rsid w:val="005A6D01"/>
    <w:rsid w:val="005A6D94"/>
    <w:rsid w:val="005B1BA5"/>
    <w:rsid w:val="005B571E"/>
    <w:rsid w:val="005B704D"/>
    <w:rsid w:val="005C1111"/>
    <w:rsid w:val="005C25AD"/>
    <w:rsid w:val="005C7180"/>
    <w:rsid w:val="005C7ED7"/>
    <w:rsid w:val="005D20D4"/>
    <w:rsid w:val="005D3750"/>
    <w:rsid w:val="005D4F82"/>
    <w:rsid w:val="005D55DC"/>
    <w:rsid w:val="005D700B"/>
    <w:rsid w:val="005E154F"/>
    <w:rsid w:val="005E32D5"/>
    <w:rsid w:val="005E6FB4"/>
    <w:rsid w:val="005F0D63"/>
    <w:rsid w:val="005F5932"/>
    <w:rsid w:val="005F6ED5"/>
    <w:rsid w:val="006005A9"/>
    <w:rsid w:val="00604A38"/>
    <w:rsid w:val="00606E5F"/>
    <w:rsid w:val="006130C7"/>
    <w:rsid w:val="006202B6"/>
    <w:rsid w:val="006211E3"/>
    <w:rsid w:val="0063312A"/>
    <w:rsid w:val="0063337F"/>
    <w:rsid w:val="006411EC"/>
    <w:rsid w:val="0064514E"/>
    <w:rsid w:val="00646449"/>
    <w:rsid w:val="00651B7D"/>
    <w:rsid w:val="00653D5E"/>
    <w:rsid w:val="006555A1"/>
    <w:rsid w:val="006634F6"/>
    <w:rsid w:val="006645EA"/>
    <w:rsid w:val="00665ADB"/>
    <w:rsid w:val="00667940"/>
    <w:rsid w:val="00674168"/>
    <w:rsid w:val="00676C2A"/>
    <w:rsid w:val="00683305"/>
    <w:rsid w:val="0068347D"/>
    <w:rsid w:val="00683A0B"/>
    <w:rsid w:val="00690168"/>
    <w:rsid w:val="00690A6A"/>
    <w:rsid w:val="00694968"/>
    <w:rsid w:val="006A467A"/>
    <w:rsid w:val="006B11ED"/>
    <w:rsid w:val="006B1FFB"/>
    <w:rsid w:val="006B504F"/>
    <w:rsid w:val="006B521C"/>
    <w:rsid w:val="006C086B"/>
    <w:rsid w:val="006C1C40"/>
    <w:rsid w:val="006C1F4A"/>
    <w:rsid w:val="006C2A0E"/>
    <w:rsid w:val="006C390E"/>
    <w:rsid w:val="006C58E8"/>
    <w:rsid w:val="006D4C63"/>
    <w:rsid w:val="006D63CD"/>
    <w:rsid w:val="006D66C6"/>
    <w:rsid w:val="006E2B16"/>
    <w:rsid w:val="006E5200"/>
    <w:rsid w:val="006F1ADF"/>
    <w:rsid w:val="006F2AEE"/>
    <w:rsid w:val="006F3240"/>
    <w:rsid w:val="00701D8E"/>
    <w:rsid w:val="00706B33"/>
    <w:rsid w:val="0071019A"/>
    <w:rsid w:val="00750C75"/>
    <w:rsid w:val="00753D14"/>
    <w:rsid w:val="00754F73"/>
    <w:rsid w:val="00757731"/>
    <w:rsid w:val="00761E59"/>
    <w:rsid w:val="00763E2C"/>
    <w:rsid w:val="00770BB8"/>
    <w:rsid w:val="00777482"/>
    <w:rsid w:val="00785781"/>
    <w:rsid w:val="007859B0"/>
    <w:rsid w:val="00787E68"/>
    <w:rsid w:val="007910A7"/>
    <w:rsid w:val="007915D1"/>
    <w:rsid w:val="00792BFA"/>
    <w:rsid w:val="007A0246"/>
    <w:rsid w:val="007A0CE0"/>
    <w:rsid w:val="007A4AEA"/>
    <w:rsid w:val="007C0450"/>
    <w:rsid w:val="007C2712"/>
    <w:rsid w:val="007C2714"/>
    <w:rsid w:val="007D1111"/>
    <w:rsid w:val="007D1A07"/>
    <w:rsid w:val="007D28BB"/>
    <w:rsid w:val="007D2B0E"/>
    <w:rsid w:val="007D3230"/>
    <w:rsid w:val="007D5C4F"/>
    <w:rsid w:val="007D7A3F"/>
    <w:rsid w:val="007D7BA5"/>
    <w:rsid w:val="007E55C7"/>
    <w:rsid w:val="007F4C71"/>
    <w:rsid w:val="00803D09"/>
    <w:rsid w:val="00804948"/>
    <w:rsid w:val="00804AB5"/>
    <w:rsid w:val="0081789A"/>
    <w:rsid w:val="0083031E"/>
    <w:rsid w:val="00830F97"/>
    <w:rsid w:val="00832661"/>
    <w:rsid w:val="00834D98"/>
    <w:rsid w:val="00836F9F"/>
    <w:rsid w:val="00842407"/>
    <w:rsid w:val="0084370B"/>
    <w:rsid w:val="00845E1F"/>
    <w:rsid w:val="00847836"/>
    <w:rsid w:val="00851D52"/>
    <w:rsid w:val="00855F7E"/>
    <w:rsid w:val="0085660A"/>
    <w:rsid w:val="0086107B"/>
    <w:rsid w:val="008651F8"/>
    <w:rsid w:val="008653AB"/>
    <w:rsid w:val="0086642B"/>
    <w:rsid w:val="008759DB"/>
    <w:rsid w:val="008763B4"/>
    <w:rsid w:val="00876AF4"/>
    <w:rsid w:val="00880C2B"/>
    <w:rsid w:val="0088264A"/>
    <w:rsid w:val="00882EF5"/>
    <w:rsid w:val="0088471A"/>
    <w:rsid w:val="00887257"/>
    <w:rsid w:val="00891ADF"/>
    <w:rsid w:val="00892CFE"/>
    <w:rsid w:val="00893972"/>
    <w:rsid w:val="00894878"/>
    <w:rsid w:val="008A3CE5"/>
    <w:rsid w:val="008A5C0D"/>
    <w:rsid w:val="008A6EF1"/>
    <w:rsid w:val="008A7589"/>
    <w:rsid w:val="008B7F1F"/>
    <w:rsid w:val="008C0CB1"/>
    <w:rsid w:val="008C3D8F"/>
    <w:rsid w:val="008C6BFB"/>
    <w:rsid w:val="008D7352"/>
    <w:rsid w:val="008E351C"/>
    <w:rsid w:val="008E37D5"/>
    <w:rsid w:val="008F131D"/>
    <w:rsid w:val="008F1EA6"/>
    <w:rsid w:val="008F789F"/>
    <w:rsid w:val="009049CA"/>
    <w:rsid w:val="0090786D"/>
    <w:rsid w:val="00907A4E"/>
    <w:rsid w:val="00920B28"/>
    <w:rsid w:val="00924683"/>
    <w:rsid w:val="00932BCA"/>
    <w:rsid w:val="0094217D"/>
    <w:rsid w:val="009456A0"/>
    <w:rsid w:val="00945CCB"/>
    <w:rsid w:val="00946654"/>
    <w:rsid w:val="0094719B"/>
    <w:rsid w:val="00950199"/>
    <w:rsid w:val="00956608"/>
    <w:rsid w:val="00957EF2"/>
    <w:rsid w:val="00960F0F"/>
    <w:rsid w:val="00975AF7"/>
    <w:rsid w:val="00983C48"/>
    <w:rsid w:val="00987B65"/>
    <w:rsid w:val="00987D5F"/>
    <w:rsid w:val="009A2E51"/>
    <w:rsid w:val="009A3887"/>
    <w:rsid w:val="009A69D5"/>
    <w:rsid w:val="009B0A62"/>
    <w:rsid w:val="009B0BA6"/>
    <w:rsid w:val="009B13A7"/>
    <w:rsid w:val="009B239E"/>
    <w:rsid w:val="009B407D"/>
    <w:rsid w:val="009B4122"/>
    <w:rsid w:val="009B5364"/>
    <w:rsid w:val="009B5F78"/>
    <w:rsid w:val="009B72D3"/>
    <w:rsid w:val="009B7751"/>
    <w:rsid w:val="009C53A7"/>
    <w:rsid w:val="009C564B"/>
    <w:rsid w:val="009D36F5"/>
    <w:rsid w:val="009D4E35"/>
    <w:rsid w:val="009D5EC4"/>
    <w:rsid w:val="009D6062"/>
    <w:rsid w:val="009D728E"/>
    <w:rsid w:val="009E0D47"/>
    <w:rsid w:val="009E4753"/>
    <w:rsid w:val="009E5A42"/>
    <w:rsid w:val="009F1004"/>
    <w:rsid w:val="009F183D"/>
    <w:rsid w:val="009F275C"/>
    <w:rsid w:val="00A01A1B"/>
    <w:rsid w:val="00A06249"/>
    <w:rsid w:val="00A1049F"/>
    <w:rsid w:val="00A1240D"/>
    <w:rsid w:val="00A1256E"/>
    <w:rsid w:val="00A20C61"/>
    <w:rsid w:val="00A2285E"/>
    <w:rsid w:val="00A22B67"/>
    <w:rsid w:val="00A2476F"/>
    <w:rsid w:val="00A262B8"/>
    <w:rsid w:val="00A27702"/>
    <w:rsid w:val="00A3192A"/>
    <w:rsid w:val="00A340F0"/>
    <w:rsid w:val="00A418FB"/>
    <w:rsid w:val="00A42CB3"/>
    <w:rsid w:val="00A44365"/>
    <w:rsid w:val="00A47B61"/>
    <w:rsid w:val="00A613B1"/>
    <w:rsid w:val="00A63EC3"/>
    <w:rsid w:val="00A70D1A"/>
    <w:rsid w:val="00A7263E"/>
    <w:rsid w:val="00A93030"/>
    <w:rsid w:val="00A94810"/>
    <w:rsid w:val="00AA1229"/>
    <w:rsid w:val="00AA3720"/>
    <w:rsid w:val="00AA7360"/>
    <w:rsid w:val="00AB0D62"/>
    <w:rsid w:val="00AB3BF9"/>
    <w:rsid w:val="00AB5832"/>
    <w:rsid w:val="00AB5BE3"/>
    <w:rsid w:val="00AB644C"/>
    <w:rsid w:val="00AC72AC"/>
    <w:rsid w:val="00AD47BB"/>
    <w:rsid w:val="00AD5C11"/>
    <w:rsid w:val="00AE2CD6"/>
    <w:rsid w:val="00AE3FB2"/>
    <w:rsid w:val="00AF0B3F"/>
    <w:rsid w:val="00AF125E"/>
    <w:rsid w:val="00AF4CAB"/>
    <w:rsid w:val="00B03F37"/>
    <w:rsid w:val="00B07E75"/>
    <w:rsid w:val="00B106BC"/>
    <w:rsid w:val="00B11817"/>
    <w:rsid w:val="00B123F3"/>
    <w:rsid w:val="00B13A4D"/>
    <w:rsid w:val="00B15D73"/>
    <w:rsid w:val="00B22FBD"/>
    <w:rsid w:val="00B31A8D"/>
    <w:rsid w:val="00B51780"/>
    <w:rsid w:val="00B526F2"/>
    <w:rsid w:val="00B54A21"/>
    <w:rsid w:val="00B56C97"/>
    <w:rsid w:val="00B64674"/>
    <w:rsid w:val="00B67CDA"/>
    <w:rsid w:val="00B75088"/>
    <w:rsid w:val="00B75476"/>
    <w:rsid w:val="00B8456F"/>
    <w:rsid w:val="00B87A8F"/>
    <w:rsid w:val="00B92D0E"/>
    <w:rsid w:val="00B93BE6"/>
    <w:rsid w:val="00B94163"/>
    <w:rsid w:val="00BA6D4F"/>
    <w:rsid w:val="00BB1214"/>
    <w:rsid w:val="00BB4480"/>
    <w:rsid w:val="00BB49A0"/>
    <w:rsid w:val="00BB572D"/>
    <w:rsid w:val="00BB5BB0"/>
    <w:rsid w:val="00BC1D95"/>
    <w:rsid w:val="00BD33B1"/>
    <w:rsid w:val="00BD3AAE"/>
    <w:rsid w:val="00BD7AD1"/>
    <w:rsid w:val="00BE002C"/>
    <w:rsid w:val="00BE2E02"/>
    <w:rsid w:val="00BE3C1C"/>
    <w:rsid w:val="00BE3D40"/>
    <w:rsid w:val="00BE3D91"/>
    <w:rsid w:val="00BE798F"/>
    <w:rsid w:val="00BF1489"/>
    <w:rsid w:val="00BF26F5"/>
    <w:rsid w:val="00BF7352"/>
    <w:rsid w:val="00C0037C"/>
    <w:rsid w:val="00C005F5"/>
    <w:rsid w:val="00C013E8"/>
    <w:rsid w:val="00C027F6"/>
    <w:rsid w:val="00C052B2"/>
    <w:rsid w:val="00C05C6C"/>
    <w:rsid w:val="00C07389"/>
    <w:rsid w:val="00C10B3F"/>
    <w:rsid w:val="00C22EBE"/>
    <w:rsid w:val="00C2523C"/>
    <w:rsid w:val="00C26E22"/>
    <w:rsid w:val="00C26E4E"/>
    <w:rsid w:val="00C37683"/>
    <w:rsid w:val="00C4140E"/>
    <w:rsid w:val="00C435E6"/>
    <w:rsid w:val="00C45F6C"/>
    <w:rsid w:val="00C466EF"/>
    <w:rsid w:val="00C476A9"/>
    <w:rsid w:val="00C555FC"/>
    <w:rsid w:val="00C6105B"/>
    <w:rsid w:val="00C653D2"/>
    <w:rsid w:val="00C70634"/>
    <w:rsid w:val="00C70A20"/>
    <w:rsid w:val="00C73CA1"/>
    <w:rsid w:val="00C75735"/>
    <w:rsid w:val="00C800B8"/>
    <w:rsid w:val="00C812F2"/>
    <w:rsid w:val="00C82CE3"/>
    <w:rsid w:val="00C83B2F"/>
    <w:rsid w:val="00C90C95"/>
    <w:rsid w:val="00CA1B99"/>
    <w:rsid w:val="00CA511E"/>
    <w:rsid w:val="00CB1B56"/>
    <w:rsid w:val="00CB55DA"/>
    <w:rsid w:val="00CB56E3"/>
    <w:rsid w:val="00CB7029"/>
    <w:rsid w:val="00CB7FBF"/>
    <w:rsid w:val="00CC1AED"/>
    <w:rsid w:val="00CC6576"/>
    <w:rsid w:val="00CD1D4E"/>
    <w:rsid w:val="00CD2394"/>
    <w:rsid w:val="00CD27A7"/>
    <w:rsid w:val="00CD4D1C"/>
    <w:rsid w:val="00CD5BD5"/>
    <w:rsid w:val="00CD6544"/>
    <w:rsid w:val="00CD7E28"/>
    <w:rsid w:val="00CD7FDF"/>
    <w:rsid w:val="00CE0ED1"/>
    <w:rsid w:val="00CE66A5"/>
    <w:rsid w:val="00CE78B4"/>
    <w:rsid w:val="00CF139D"/>
    <w:rsid w:val="00CF4C4E"/>
    <w:rsid w:val="00CF5913"/>
    <w:rsid w:val="00D03295"/>
    <w:rsid w:val="00D045DC"/>
    <w:rsid w:val="00D0595E"/>
    <w:rsid w:val="00D1404D"/>
    <w:rsid w:val="00D16EE7"/>
    <w:rsid w:val="00D22081"/>
    <w:rsid w:val="00D25DD0"/>
    <w:rsid w:val="00D26408"/>
    <w:rsid w:val="00D26FD5"/>
    <w:rsid w:val="00D33C87"/>
    <w:rsid w:val="00D36F57"/>
    <w:rsid w:val="00D37B23"/>
    <w:rsid w:val="00D431F5"/>
    <w:rsid w:val="00D4345B"/>
    <w:rsid w:val="00D44D76"/>
    <w:rsid w:val="00D45388"/>
    <w:rsid w:val="00D473BA"/>
    <w:rsid w:val="00D63460"/>
    <w:rsid w:val="00D63A68"/>
    <w:rsid w:val="00D74EF1"/>
    <w:rsid w:val="00D76092"/>
    <w:rsid w:val="00D81342"/>
    <w:rsid w:val="00D83286"/>
    <w:rsid w:val="00D86A82"/>
    <w:rsid w:val="00D875AE"/>
    <w:rsid w:val="00D87A4C"/>
    <w:rsid w:val="00DA238E"/>
    <w:rsid w:val="00DB0B6F"/>
    <w:rsid w:val="00DB27E3"/>
    <w:rsid w:val="00DB57C0"/>
    <w:rsid w:val="00DC6891"/>
    <w:rsid w:val="00DD3354"/>
    <w:rsid w:val="00DD6387"/>
    <w:rsid w:val="00DD6775"/>
    <w:rsid w:val="00DE78AE"/>
    <w:rsid w:val="00DF4CB0"/>
    <w:rsid w:val="00DF7C33"/>
    <w:rsid w:val="00E009F0"/>
    <w:rsid w:val="00E03D7A"/>
    <w:rsid w:val="00E06F1F"/>
    <w:rsid w:val="00E1450D"/>
    <w:rsid w:val="00E16233"/>
    <w:rsid w:val="00E178AB"/>
    <w:rsid w:val="00E211B2"/>
    <w:rsid w:val="00E21A0E"/>
    <w:rsid w:val="00E235CF"/>
    <w:rsid w:val="00E26BA2"/>
    <w:rsid w:val="00E31B30"/>
    <w:rsid w:val="00E34BF8"/>
    <w:rsid w:val="00E37260"/>
    <w:rsid w:val="00E40B2B"/>
    <w:rsid w:val="00E41B88"/>
    <w:rsid w:val="00E46808"/>
    <w:rsid w:val="00E544D9"/>
    <w:rsid w:val="00E57447"/>
    <w:rsid w:val="00E601B5"/>
    <w:rsid w:val="00E70840"/>
    <w:rsid w:val="00E71E37"/>
    <w:rsid w:val="00E83671"/>
    <w:rsid w:val="00E862F1"/>
    <w:rsid w:val="00E8734F"/>
    <w:rsid w:val="00E87BDD"/>
    <w:rsid w:val="00E94704"/>
    <w:rsid w:val="00EA2E77"/>
    <w:rsid w:val="00EB0BE9"/>
    <w:rsid w:val="00EC0067"/>
    <w:rsid w:val="00EC1EB3"/>
    <w:rsid w:val="00ED0BBA"/>
    <w:rsid w:val="00ED20C8"/>
    <w:rsid w:val="00ED4253"/>
    <w:rsid w:val="00EE0626"/>
    <w:rsid w:val="00EE7B09"/>
    <w:rsid w:val="00EF159F"/>
    <w:rsid w:val="00EF625A"/>
    <w:rsid w:val="00F01F53"/>
    <w:rsid w:val="00F02038"/>
    <w:rsid w:val="00F0765F"/>
    <w:rsid w:val="00F1326E"/>
    <w:rsid w:val="00F134CC"/>
    <w:rsid w:val="00F13804"/>
    <w:rsid w:val="00F16695"/>
    <w:rsid w:val="00F17F26"/>
    <w:rsid w:val="00F2083F"/>
    <w:rsid w:val="00F2217B"/>
    <w:rsid w:val="00F41452"/>
    <w:rsid w:val="00F51837"/>
    <w:rsid w:val="00F66DEE"/>
    <w:rsid w:val="00F67E18"/>
    <w:rsid w:val="00F72A3A"/>
    <w:rsid w:val="00F75A5A"/>
    <w:rsid w:val="00F91B41"/>
    <w:rsid w:val="00FA0503"/>
    <w:rsid w:val="00FA5090"/>
    <w:rsid w:val="00FA57A5"/>
    <w:rsid w:val="00FA67C8"/>
    <w:rsid w:val="00FC250F"/>
    <w:rsid w:val="00FC2C6E"/>
    <w:rsid w:val="00FC798B"/>
    <w:rsid w:val="00FD02E1"/>
    <w:rsid w:val="00FD602D"/>
    <w:rsid w:val="00FD7E24"/>
    <w:rsid w:val="00FE3065"/>
    <w:rsid w:val="00FF1DEB"/>
    <w:rsid w:val="00FF3EB0"/>
    <w:rsid w:val="00FF50BF"/>
    <w:rsid w:val="00FF52A8"/>
    <w:rsid w:val="00FF6A6A"/>
    <w:rsid w:val="0FBDE412"/>
    <w:rsid w:val="1F3F1592"/>
    <w:rsid w:val="1FDFFCE6"/>
    <w:rsid w:val="2FBF76BE"/>
    <w:rsid w:val="2FEFAF66"/>
    <w:rsid w:val="3DE2FBD7"/>
    <w:rsid w:val="3E7D1036"/>
    <w:rsid w:val="3EE7570B"/>
    <w:rsid w:val="3EFF5C1F"/>
    <w:rsid w:val="3F7F90F4"/>
    <w:rsid w:val="3FCC6C54"/>
    <w:rsid w:val="3FEFAE92"/>
    <w:rsid w:val="3FFF5B19"/>
    <w:rsid w:val="45F01541"/>
    <w:rsid w:val="4BF6B27E"/>
    <w:rsid w:val="4F3F61E1"/>
    <w:rsid w:val="57BFDBF1"/>
    <w:rsid w:val="5BBE6396"/>
    <w:rsid w:val="5CFF66C2"/>
    <w:rsid w:val="5F7EE7E2"/>
    <w:rsid w:val="5F94985C"/>
    <w:rsid w:val="5FAF12D0"/>
    <w:rsid w:val="67FCD528"/>
    <w:rsid w:val="6BE7287D"/>
    <w:rsid w:val="6FAA50A5"/>
    <w:rsid w:val="6FD54495"/>
    <w:rsid w:val="6FFF4FBB"/>
    <w:rsid w:val="75BE22D7"/>
    <w:rsid w:val="79FE0E61"/>
    <w:rsid w:val="7AFD02EE"/>
    <w:rsid w:val="7CFEC27A"/>
    <w:rsid w:val="7DBF21DA"/>
    <w:rsid w:val="7DC69E5A"/>
    <w:rsid w:val="7EF7B5C1"/>
    <w:rsid w:val="7F7330FD"/>
    <w:rsid w:val="7FF7FF0A"/>
    <w:rsid w:val="7FFD5C82"/>
    <w:rsid w:val="7FFE1002"/>
    <w:rsid w:val="95B5508C"/>
    <w:rsid w:val="A3FF249D"/>
    <w:rsid w:val="AFDC6829"/>
    <w:rsid w:val="B7CE0D28"/>
    <w:rsid w:val="B9BF5D5D"/>
    <w:rsid w:val="BADD52BB"/>
    <w:rsid w:val="BBFEDAB5"/>
    <w:rsid w:val="BE7FC27A"/>
    <w:rsid w:val="BFFF6C8F"/>
    <w:rsid w:val="C5F58A09"/>
    <w:rsid w:val="CBFB2C9A"/>
    <w:rsid w:val="CDBFBE31"/>
    <w:rsid w:val="D2B68AB5"/>
    <w:rsid w:val="D7A920A7"/>
    <w:rsid w:val="D7CDC445"/>
    <w:rsid w:val="DAFB5DB2"/>
    <w:rsid w:val="DBFB8621"/>
    <w:rsid w:val="DDF957AE"/>
    <w:rsid w:val="DFAB51D7"/>
    <w:rsid w:val="DFF774E8"/>
    <w:rsid w:val="DFFA4F90"/>
    <w:rsid w:val="E7EB546D"/>
    <w:rsid w:val="E7FDE070"/>
    <w:rsid w:val="EB2F4AC1"/>
    <w:rsid w:val="EBFFBE81"/>
    <w:rsid w:val="EFBF3E92"/>
    <w:rsid w:val="EFE7C01A"/>
    <w:rsid w:val="F2DE2559"/>
    <w:rsid w:val="F757EE17"/>
    <w:rsid w:val="F7F36585"/>
    <w:rsid w:val="F7FC4A21"/>
    <w:rsid w:val="FAFCC817"/>
    <w:rsid w:val="FDD5F5C1"/>
    <w:rsid w:val="FDEF86D7"/>
    <w:rsid w:val="FEEF039E"/>
    <w:rsid w:val="FF5F73E4"/>
    <w:rsid w:val="FF7F9F49"/>
    <w:rsid w:val="FFA7D790"/>
    <w:rsid w:val="FFB641C7"/>
    <w:rsid w:val="FFFF9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customStyle="1" w:styleId="9">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贵州省工商行政管理局</Company>
  <Pages>9</Pages>
  <Words>644</Words>
  <Characters>3675</Characters>
  <Lines>30</Lines>
  <Paragraphs>8</Paragraphs>
  <TotalTime>1</TotalTime>
  <ScaleCrop>false</ScaleCrop>
  <LinksUpToDate>false</LinksUpToDate>
  <CharactersWithSpaces>4311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2021-01-31T17:23:00Z</dcterms:created>
  <dc:creator>王曰洪</dc:creator>
  <cp:lastModifiedBy>ysgz</cp:lastModifiedBy>
  <dcterms:modified xsi:type="dcterms:W3CDTF">2021-12-31T15:45:23Z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