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A5" w:rsidRPr="001A3FA5" w:rsidRDefault="001A3FA5" w:rsidP="001A3FA5">
      <w:pPr>
        <w:spacing w:line="520" w:lineRule="exact"/>
        <w:jc w:val="left"/>
        <w:rPr>
          <w:rFonts w:ascii="黑体" w:eastAsia="黑体" w:hAnsi="黑体" w:cs="黑体"/>
          <w:kern w:val="21"/>
          <w:sz w:val="32"/>
          <w:szCs w:val="32"/>
        </w:rPr>
      </w:pPr>
      <w:bookmarkStart w:id="0" w:name="_GoBack"/>
      <w:bookmarkEnd w:id="0"/>
      <w:r w:rsidRPr="001A3FA5">
        <w:rPr>
          <w:rFonts w:ascii="黑体" w:eastAsia="黑体" w:hAnsi="黑体" w:cs="黑体" w:hint="eastAsia"/>
          <w:kern w:val="21"/>
          <w:sz w:val="32"/>
          <w:szCs w:val="32"/>
        </w:rPr>
        <w:t>附件</w:t>
      </w:r>
      <w:r>
        <w:rPr>
          <w:rFonts w:ascii="黑体" w:eastAsia="黑体" w:hAnsi="黑体" w:cs="黑体" w:hint="eastAsia"/>
          <w:kern w:val="21"/>
          <w:sz w:val="32"/>
          <w:szCs w:val="32"/>
        </w:rPr>
        <w:t>3</w:t>
      </w:r>
    </w:p>
    <w:p w:rsidR="001A3FA5" w:rsidRDefault="001A3FA5" w:rsidP="00711008">
      <w:pPr>
        <w:spacing w:line="560" w:lineRule="exact"/>
        <w:ind w:firstLineChars="200" w:firstLine="723"/>
        <w:jc w:val="center"/>
        <w:rPr>
          <w:rFonts w:asciiTheme="majorEastAsia" w:eastAsiaTheme="majorEastAsia" w:hAnsiTheme="majorEastAsia" w:cstheme="majorEastAsia"/>
          <w:b/>
          <w:bCs/>
          <w:sz w:val="36"/>
          <w:szCs w:val="36"/>
        </w:rPr>
      </w:pPr>
    </w:p>
    <w:p w:rsidR="000332BD" w:rsidRPr="006F2082" w:rsidRDefault="00C566E6" w:rsidP="006F2082">
      <w:pPr>
        <w:spacing w:line="560" w:lineRule="exact"/>
        <w:ind w:firstLine="880"/>
        <w:jc w:val="center"/>
        <w:rPr>
          <w:rFonts w:ascii="方正小标宋_GBK" w:eastAsia="方正小标宋_GBK" w:hAnsiTheme="majorEastAsia" w:cstheme="majorEastAsia"/>
          <w:b/>
          <w:bCs/>
          <w:sz w:val="44"/>
          <w:szCs w:val="44"/>
        </w:rPr>
      </w:pPr>
      <w:r w:rsidRPr="006F2082">
        <w:rPr>
          <w:rFonts w:ascii="方正小标宋_GBK" w:eastAsia="方正小标宋_GBK" w:hAnsiTheme="majorEastAsia" w:cstheme="majorEastAsia" w:hint="eastAsia"/>
          <w:bCs/>
          <w:sz w:val="44"/>
          <w:szCs w:val="44"/>
        </w:rPr>
        <w:t>贵州省知识产权局数据知识产权服务机构管理</w:t>
      </w:r>
      <w:r w:rsidR="00711008" w:rsidRPr="006F2082">
        <w:rPr>
          <w:rFonts w:ascii="方正小标宋_GBK" w:eastAsia="方正小标宋_GBK" w:hAnsiTheme="majorEastAsia" w:cstheme="majorEastAsia" w:hint="eastAsia"/>
          <w:bCs/>
          <w:sz w:val="44"/>
          <w:szCs w:val="44"/>
        </w:rPr>
        <w:t>办法</w:t>
      </w:r>
      <w:r w:rsidRPr="006F2082">
        <w:rPr>
          <w:rFonts w:ascii="方正小标宋_GBK" w:eastAsia="方正小标宋_GBK" w:hAnsiTheme="majorEastAsia" w:cstheme="majorEastAsia" w:hint="eastAsia"/>
          <w:bCs/>
          <w:sz w:val="44"/>
          <w:szCs w:val="44"/>
        </w:rPr>
        <w:t>（试行）</w:t>
      </w:r>
    </w:p>
    <w:p w:rsidR="000332BD" w:rsidRPr="006F2082" w:rsidRDefault="00C566E6" w:rsidP="006F2082">
      <w:pPr>
        <w:spacing w:line="520" w:lineRule="exact"/>
        <w:jc w:val="center"/>
        <w:rPr>
          <w:rFonts w:ascii="楷体_GB2312" w:eastAsia="楷体_GB2312" w:hAnsi="楷体_GB2312" w:cs="楷体_GB2312"/>
          <w:kern w:val="21"/>
          <w:sz w:val="32"/>
          <w:szCs w:val="32"/>
        </w:rPr>
      </w:pPr>
      <w:r w:rsidRPr="006F2082">
        <w:rPr>
          <w:rFonts w:ascii="楷体_GB2312" w:eastAsia="楷体_GB2312" w:hAnsi="楷体_GB2312" w:cs="楷体_GB2312" w:hint="eastAsia"/>
          <w:kern w:val="21"/>
          <w:sz w:val="32"/>
          <w:szCs w:val="32"/>
        </w:rPr>
        <w:t>（征求意见稿）</w:t>
      </w:r>
    </w:p>
    <w:p w:rsidR="000332BD" w:rsidRDefault="00C566E6" w:rsidP="00711008">
      <w:pPr>
        <w:pStyle w:val="2"/>
        <w:spacing w:line="560" w:lineRule="exact"/>
        <w:rPr>
          <w:sz w:val="32"/>
          <w:szCs w:val="32"/>
        </w:rPr>
      </w:pPr>
      <w:r>
        <w:rPr>
          <w:rFonts w:hint="eastAsia"/>
          <w:sz w:val="32"/>
          <w:szCs w:val="32"/>
        </w:rPr>
        <w:t>第一章</w:t>
      </w:r>
      <w:r>
        <w:rPr>
          <w:rFonts w:hint="eastAsia"/>
          <w:sz w:val="32"/>
          <w:szCs w:val="32"/>
        </w:rPr>
        <w:t xml:space="preserve"> </w:t>
      </w:r>
      <w:r>
        <w:rPr>
          <w:rFonts w:hint="eastAsia"/>
          <w:sz w:val="32"/>
          <w:szCs w:val="32"/>
        </w:rPr>
        <w:t>总</w:t>
      </w:r>
      <w:r>
        <w:rPr>
          <w:rFonts w:hint="eastAsia"/>
          <w:sz w:val="32"/>
          <w:szCs w:val="32"/>
        </w:rPr>
        <w:t xml:space="preserve"> </w:t>
      </w:r>
      <w:r>
        <w:rPr>
          <w:rFonts w:hint="eastAsia"/>
          <w:sz w:val="32"/>
          <w:szCs w:val="32"/>
        </w:rPr>
        <w:t>则</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第一条 </w:t>
      </w:r>
      <w:r>
        <w:rPr>
          <w:rFonts w:ascii="仿宋" w:eastAsia="仿宋" w:hAnsi="仿宋" w:cs="仿宋" w:hint="eastAsia"/>
          <w:sz w:val="32"/>
          <w:szCs w:val="32"/>
        </w:rPr>
        <w:t>为发展培育数据知识产权服务机构群体，规范数据知识产权服务机构行为，建立合法、公平、可行的数据知识产权全链条服务秩序，更好发挥知识产权制度在丰富数据产品供给、促进数据要素流通、深化数据融合应用等方面的激励作用，赋能新质生产力发展，特制定本指引。</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第二条 </w:t>
      </w:r>
      <w:r>
        <w:rPr>
          <w:rFonts w:ascii="仿宋" w:eastAsia="仿宋" w:hAnsi="仿宋" w:cs="仿宋" w:hint="eastAsia"/>
          <w:sz w:val="32"/>
          <w:szCs w:val="32"/>
        </w:rPr>
        <w:t>根据《国家知识产权局数据知识产权地方试点工作指引（试行）》《贵州省数据流通交易促进条例》《贵州省公共数据授权运营管理办法（试行）》等法律法规制定本指引。</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第三条 </w:t>
      </w:r>
      <w:r>
        <w:rPr>
          <w:rFonts w:ascii="仿宋" w:eastAsia="仿宋" w:hAnsi="仿宋" w:cs="仿宋" w:hint="eastAsia"/>
          <w:sz w:val="32"/>
          <w:szCs w:val="32"/>
        </w:rPr>
        <w:t>本指引对数据知识产权服务机构主要准入机制、运营管理机制、退出机制等予以规定，数据知识产权服务机构在相关业务开展中需严格遵循本指引。</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本指引所称数据知识产权服务机构是指依法依规从事数据集成、数据经纪、合规认证、安全审计、数据公证、质量评估、数据保险、数据托管、资产评估、争议仲裁、风险评估、人才培训等工作的中介机构。</w:t>
      </w:r>
    </w:p>
    <w:p w:rsidR="000332BD" w:rsidRDefault="00C566E6" w:rsidP="00711008">
      <w:pPr>
        <w:pStyle w:val="2"/>
        <w:spacing w:line="560" w:lineRule="exact"/>
        <w:rPr>
          <w:sz w:val="32"/>
          <w:szCs w:val="32"/>
        </w:rPr>
      </w:pPr>
      <w:r>
        <w:rPr>
          <w:rFonts w:hint="eastAsia"/>
          <w:sz w:val="32"/>
          <w:szCs w:val="32"/>
        </w:rPr>
        <w:lastRenderedPageBreak/>
        <w:t>第二章</w:t>
      </w:r>
      <w:r>
        <w:rPr>
          <w:rFonts w:hint="eastAsia"/>
          <w:sz w:val="32"/>
          <w:szCs w:val="32"/>
        </w:rPr>
        <w:t xml:space="preserve"> </w:t>
      </w:r>
      <w:r>
        <w:rPr>
          <w:rFonts w:hint="eastAsia"/>
          <w:sz w:val="32"/>
          <w:szCs w:val="32"/>
        </w:rPr>
        <w:t>数据知识产权服务机构准入</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第五条 </w:t>
      </w:r>
      <w:r>
        <w:rPr>
          <w:rFonts w:ascii="仿宋" w:eastAsia="仿宋" w:hAnsi="仿宋" w:cs="仿宋" w:hint="eastAsia"/>
          <w:sz w:val="32"/>
          <w:szCs w:val="32"/>
        </w:rPr>
        <w:t>数据知识产权服务机构基本资质：</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（一）贵州省行政区域内具有独立法人资格，遵守国家、贵州省数据相关法律法规、政策规定和数据知识产权相关制度规则；</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（二）股东信誉良好，在信用、质量、安全、环保等方面无不良记录；</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（三）有合格的经营场所和业务设施，具有一定的经营规模，近三年业务运营持续稳定，财务状况良好。开展相关数据服务1年以上；</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（四）具备从事数据知识产权创造、培育、登记、运用、保护等相关环节服务的业务能力、数据安全保护能力、个人信息保护能力、数据知识产权交易流通及多场景应用过程可控能力；</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（五）具有国家法律法规和从事贵州省数据集成、数据经纪、合规认证、安全审计、数据公证、质量评估、数据保险、数据托管、资产评估、争议仲裁、风险评估、人才培训等数据知识产权相关业务的专业资质；</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（六）其他满足监管机构根据市场发展情况和审慎监管原则规定的要求。</w:t>
      </w:r>
    </w:p>
    <w:p w:rsidR="000332BD" w:rsidRDefault="00C566E6" w:rsidP="00711008">
      <w:pPr>
        <w:widowControl/>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第六条 </w:t>
      </w:r>
      <w:r>
        <w:rPr>
          <w:rFonts w:ascii="仿宋" w:eastAsia="仿宋" w:hAnsi="仿宋" w:cs="仿宋" w:hint="eastAsia"/>
          <w:sz w:val="32"/>
          <w:szCs w:val="32"/>
        </w:rPr>
        <w:t>满足以上数据知识产权服务机构基本资质要求，可向贵州省知识产权局申请成为贵州省数据知识产权服务机构。申请提交材料包括但不限于以下内容：</w:t>
      </w:r>
    </w:p>
    <w:p w:rsidR="000332BD" w:rsidRDefault="00C566E6" w:rsidP="00711008">
      <w:pPr>
        <w:keepNext/>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（一）承诺书；</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（二）营业执照（三证合一）复印件并加盖单位公章；</w:t>
      </w:r>
    </w:p>
    <w:p w:rsidR="000332BD" w:rsidRDefault="00C566E6" w:rsidP="00711008">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（三）持有5%以上股权的股东、实际控制人的名称、出资额、持股比例、业务范围、注册资本、注册地址、法定代表人等信息；</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（四）银行开户许可证复印件；</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（五）近一年的审计报告或财务报告（非第三方正式报告需单位法人代表签字并加盖单位公章）；</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（六）信用中国出具的信用报告（七天内）；</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（七）数据知识产权服务相关主营业务及主要产品或项目简介；</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（八）专项资质证明材料；</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（九）其他必要的证明文件。</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贵州省知识产权局收到全部证明材料后，按照法律法规和贵州省数据知识产权制度要求审核，并将审核结果及时通知申请方。</w:t>
      </w:r>
    </w:p>
    <w:p w:rsidR="000332BD" w:rsidRDefault="00C566E6" w:rsidP="00711008">
      <w:pPr>
        <w:widowControl/>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第七条 </w:t>
      </w:r>
      <w:r>
        <w:rPr>
          <w:rFonts w:ascii="仿宋" w:eastAsia="仿宋" w:hAnsi="仿宋" w:cs="仿宋" w:hint="eastAsia"/>
          <w:sz w:val="32"/>
          <w:szCs w:val="32"/>
        </w:rPr>
        <w:t>贵州省知识产权局负责数据知识产权服务机构资格认定，对符合要求的数据知识产权服务机构将通过贵州省数据知识产权登记平台、贵州省市场监管局（知识产权局）网站等平台进行公告，并进入贵州省数据知识产权服务机构供应库进行统一管理。</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第八条 </w:t>
      </w:r>
      <w:r>
        <w:rPr>
          <w:rFonts w:ascii="仿宋" w:eastAsia="仿宋" w:hAnsi="仿宋" w:cs="仿宋" w:hint="eastAsia"/>
          <w:sz w:val="32"/>
          <w:szCs w:val="32"/>
        </w:rPr>
        <w:t>数据知识产权服务机构享有以下权利：</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（一）数据知识产权服务机构按国家、贵州法律法规开展数据集成、数据经纪、合规认证、安全审计、数据公证、质量</w:t>
      </w:r>
      <w:r>
        <w:rPr>
          <w:rFonts w:ascii="仿宋" w:eastAsia="仿宋" w:hAnsi="仿宋" w:cs="仿宋" w:hint="eastAsia"/>
          <w:sz w:val="32"/>
          <w:szCs w:val="32"/>
        </w:rPr>
        <w:lastRenderedPageBreak/>
        <w:t>评估、数据保险、数据托管、资产评估、争议仲裁、风险评估、人才培训等数据知识产权相关业务；</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数据知识产权服务机构可自主或依托贵州省数据知识产权登记平台等服务平台为创新主体和社会公众开展数据知识产权相关服务。服务平台为数据知识产权服务机构提供业务支持和咨询服务，包括拓展数据知识产权服务机构生态合作、参与制定行业标准、共享行业研报、开展交流活动等；</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（三）对贵州省数据知识产权登记平台等服务平台组织的数据知识产权相关服务工作提出意见和建议、对其他数据知识产权服务机构的平台活动进行相互监督，贵州省知识产权局提供意见和监督通道；</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（四）贵州省知识产权局及贵州省数据知识产权登记平台等服务平台规定的其他权利。</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第九条 </w:t>
      </w:r>
      <w:r>
        <w:rPr>
          <w:rFonts w:ascii="仿宋" w:eastAsia="仿宋" w:hAnsi="仿宋" w:cs="仿宋" w:hint="eastAsia"/>
          <w:sz w:val="32"/>
          <w:szCs w:val="32"/>
        </w:rPr>
        <w:t>数据知识产权服务机构应承担以下义务：</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（一）严格遵守贵州省知识产权局、贵州省数据知识产权登记平台等载体的相关章程、业务规则，接受相关管理；</w:t>
      </w:r>
    </w:p>
    <w:p w:rsidR="000332BD" w:rsidRDefault="00C566E6" w:rsidP="00711008">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（二）遵守相关法律、行政法规和部门规章，依法依规开展数据知识产权交易流通及多场景应用；</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（三）对自身涉及的数据知识产权相关服务承担责任，防范违规行为和异常风险；</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（四）维护数据知识产权交易流通及多场景应用市场的稳定发展；</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（五）贵州省知识产权局及贵州省数据知识产权登记平台等服务平台规定的其他义务。</w:t>
      </w:r>
    </w:p>
    <w:p w:rsidR="000332BD" w:rsidRDefault="00C566E6" w:rsidP="00711008">
      <w:pPr>
        <w:pStyle w:val="2"/>
        <w:spacing w:line="560" w:lineRule="exact"/>
        <w:rPr>
          <w:sz w:val="32"/>
          <w:szCs w:val="32"/>
        </w:rPr>
      </w:pPr>
      <w:r>
        <w:rPr>
          <w:rFonts w:hint="eastAsia"/>
          <w:sz w:val="32"/>
          <w:szCs w:val="32"/>
        </w:rPr>
        <w:lastRenderedPageBreak/>
        <w:t>第三章</w:t>
      </w:r>
      <w:r>
        <w:rPr>
          <w:rFonts w:hint="eastAsia"/>
          <w:sz w:val="32"/>
          <w:szCs w:val="32"/>
        </w:rPr>
        <w:t xml:space="preserve"> </w:t>
      </w:r>
      <w:r>
        <w:rPr>
          <w:rFonts w:hint="eastAsia"/>
          <w:sz w:val="32"/>
          <w:szCs w:val="32"/>
        </w:rPr>
        <w:t>数据知识产权服务机构运营管理</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数据知识产权服务机构应当建立健全数据安全分类分级管理、员工访问权限管理、供应商资质管理等保护管理措施、监测预警与应急处置机制，及时开展风险评估，制定数据安全应急预案。数据知识产权服务机构应当定期对经营管理、业务行为以及贵州省知识产权局、贵州省数据知识产权登记平台等规定的相关事项执行情况进行自检自查，并按要求提交专项自查报告。</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贵州省数据知识产权公共服务平台（网点）依据数据知识产权服务机构从事数据知识产权交易流通及多场景应用情况建立评价机制（包括用户评价、外部评价等），按期将评价情况上报贵州省知识产权局。</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贵州省知识产权局建立数据知识产权服务机构红白榜晾晒机制，制定资助激励措施。</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xml:space="preserve"> 出现重大业务风险，或者其他不可抗力、意外事件可能影响正常数据知识产权服务情形的，数据知识产权服务机构应当及时向贵州省知识产权局及相关服务平台报备。</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xml:space="preserve"> 鼓励数据知识产权服务机构加入相关行业协会等社会组织，发挥行业协会等社会组织的自律、协调作用，切实推动数据知识产权交易流通。</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xml:space="preserve"> 数据知识产权服务机构不得出现以下行为：</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（一）通过隐瞒事实、虚假宣传等方式拓展业务；</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（二）泄露贵州省数据知识产权登记平台等服务平台、数</w:t>
      </w:r>
      <w:r>
        <w:rPr>
          <w:rFonts w:ascii="仿宋" w:eastAsia="仿宋" w:hAnsi="仿宋" w:cs="仿宋" w:hint="eastAsia"/>
          <w:sz w:val="32"/>
          <w:szCs w:val="32"/>
        </w:rPr>
        <w:lastRenderedPageBreak/>
        <w:t>据知识产权相关服务供需方及其他数据知识产权服务机构的秘密数据或其他应当保密内容；</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（三）出具虚假、不实评估、审核、咨询等报告；</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（四）其他损害相关主体利益的不正当行为；</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（五）贵州省知识产权局及相关服务平台所认定的其他禁止行为。</w:t>
      </w:r>
    </w:p>
    <w:p w:rsidR="000332BD" w:rsidRDefault="00C566E6" w:rsidP="00711008">
      <w:pPr>
        <w:pStyle w:val="2"/>
        <w:spacing w:line="560" w:lineRule="exact"/>
        <w:rPr>
          <w:sz w:val="32"/>
          <w:szCs w:val="32"/>
        </w:rPr>
      </w:pPr>
      <w:r>
        <w:rPr>
          <w:rFonts w:hint="eastAsia"/>
          <w:sz w:val="32"/>
          <w:szCs w:val="32"/>
        </w:rPr>
        <w:t>第四章</w:t>
      </w:r>
      <w:r>
        <w:rPr>
          <w:rFonts w:hint="eastAsia"/>
          <w:sz w:val="32"/>
          <w:szCs w:val="32"/>
        </w:rPr>
        <w:t xml:space="preserve"> </w:t>
      </w:r>
      <w:r>
        <w:rPr>
          <w:rFonts w:hint="eastAsia"/>
          <w:sz w:val="32"/>
          <w:szCs w:val="32"/>
        </w:rPr>
        <w:t>数据知识产权服务机构退出</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第十六条 </w:t>
      </w:r>
      <w:r>
        <w:rPr>
          <w:rFonts w:ascii="仿宋" w:eastAsia="仿宋" w:hAnsi="仿宋" w:cs="仿宋" w:hint="eastAsia"/>
          <w:sz w:val="32"/>
          <w:szCs w:val="32"/>
        </w:rPr>
        <w:t>主动退出。数据知识产权服务机构因为自身原因需要退出贵州省数据知识产权登记平台等服务平台的，需提前10个工作日提出申请。</w:t>
      </w:r>
    </w:p>
    <w:p w:rsidR="000332BD" w:rsidRDefault="00C566E6" w:rsidP="00711008">
      <w:pPr>
        <w:widowControl/>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 xml:space="preserve"> 数据知识产权服务机构在从事相关业务过程中，出现下列情形之一，贵州省知识产权局将视情通报违法违规行为、暂停业务资格、强制清退等处理：</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（一）提供虚假注册资料、登记备案资料及其他证明材料，或进行虚假交易；</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（二）违反管理规定，包括未按照相关要求备案或者办理变更登记等；</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（三）数据知识产权服务机构存在披露虚假数据信息、泄露非公开信息、造成数据安全漏洞等；</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（四）出现重大经营风险，致使公司明显丧失持续经营能力、财务指标不符合标准或产生其他不适宜继续从事数据知识产权相关服务等；</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（五）不能正常完成业务，影响数据知识产权相关服务进</w:t>
      </w:r>
      <w:r>
        <w:rPr>
          <w:rFonts w:ascii="仿宋" w:eastAsia="仿宋" w:hAnsi="仿宋" w:cs="仿宋" w:hint="eastAsia"/>
          <w:sz w:val="32"/>
          <w:szCs w:val="32"/>
        </w:rPr>
        <w:lastRenderedPageBreak/>
        <w:t>行；</w:t>
      </w:r>
    </w:p>
    <w:p w:rsidR="000332BD" w:rsidRDefault="00C566E6" w:rsidP="0071100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（六）不遵守数据知识产权服务机构相关协议并造成严重影响；</w:t>
      </w:r>
    </w:p>
    <w:p w:rsidR="000332BD" w:rsidRDefault="00C566E6" w:rsidP="00711008">
      <w:pPr>
        <w:spacing w:line="560" w:lineRule="exact"/>
        <w:ind w:firstLineChars="200" w:firstLine="640"/>
        <w:rPr>
          <w:rFonts w:ascii="仿宋" w:eastAsia="仿宋" w:hAnsi="仿宋" w:cs="仿宋"/>
          <w:b/>
          <w:bCs/>
          <w:sz w:val="32"/>
          <w:szCs w:val="32"/>
          <w:highlight w:val="yellow"/>
        </w:rPr>
      </w:pPr>
      <w:r>
        <w:rPr>
          <w:rFonts w:ascii="仿宋" w:eastAsia="仿宋" w:hAnsi="仿宋" w:cs="仿宋" w:hint="eastAsia"/>
          <w:sz w:val="32"/>
          <w:szCs w:val="32"/>
        </w:rPr>
        <w:t>（七）其他违反诚信、公平、公正原则或扰乱数据知识产权全链条服务秩序的行为。</w:t>
      </w:r>
    </w:p>
    <w:p w:rsidR="000332BD" w:rsidRDefault="00C566E6" w:rsidP="00711008">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 xml:space="preserve">第十八条 </w:t>
      </w:r>
      <w:r>
        <w:rPr>
          <w:rFonts w:ascii="仿宋" w:eastAsia="仿宋" w:hAnsi="仿宋" w:cs="仿宋" w:hint="eastAsia"/>
          <w:sz w:val="32"/>
          <w:szCs w:val="32"/>
        </w:rPr>
        <w:t>执行相关处理措施前，应当提前10个工作日书面形式通知数据知识产权服务机构。数据知识产权服务机构对贵州省知识产权局所采取的处理措施有异议的，可以自收到通知之日起10个工作日内向贵州省知识产权局申请复核。复核期间不停止相关处理措施的执行。</w:t>
      </w:r>
    </w:p>
    <w:p w:rsidR="000332BD" w:rsidRDefault="00C566E6" w:rsidP="00711008">
      <w:pPr>
        <w:pStyle w:val="2"/>
        <w:spacing w:line="560" w:lineRule="exact"/>
        <w:rPr>
          <w:rFonts w:ascii="仿宋" w:eastAsia="仿宋" w:hAnsi="仿宋" w:cs="仿宋"/>
          <w:sz w:val="32"/>
          <w:szCs w:val="32"/>
        </w:rPr>
      </w:pPr>
      <w:r>
        <w:rPr>
          <w:rFonts w:hint="eastAsia"/>
          <w:sz w:val="32"/>
          <w:szCs w:val="32"/>
        </w:rPr>
        <w:t>第五章</w:t>
      </w:r>
      <w:r>
        <w:rPr>
          <w:rFonts w:hint="eastAsia"/>
          <w:sz w:val="32"/>
          <w:szCs w:val="32"/>
        </w:rPr>
        <w:t xml:space="preserve"> </w:t>
      </w:r>
      <w:r>
        <w:rPr>
          <w:rFonts w:hint="eastAsia"/>
          <w:sz w:val="32"/>
          <w:szCs w:val="32"/>
        </w:rPr>
        <w:t>附则</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第十九条 </w:t>
      </w:r>
      <w:r>
        <w:rPr>
          <w:rFonts w:ascii="仿宋" w:eastAsia="仿宋" w:hAnsi="仿宋" w:cs="仿宋" w:hint="eastAsia"/>
          <w:sz w:val="32"/>
          <w:szCs w:val="32"/>
        </w:rPr>
        <w:t>本指引根据法律法规和贵州省知识产权局相关内容的变动情况和工作实际要求，予以及时更新与修订。</w:t>
      </w:r>
    </w:p>
    <w:p w:rsidR="000332BD" w:rsidRDefault="00C566E6" w:rsidP="00711008">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第二十条 </w:t>
      </w:r>
      <w:r>
        <w:rPr>
          <w:rFonts w:ascii="仿宋" w:eastAsia="仿宋" w:hAnsi="仿宋" w:cs="仿宋" w:hint="eastAsia"/>
          <w:sz w:val="32"/>
          <w:szCs w:val="32"/>
        </w:rPr>
        <w:t>本指引由贵州省知识产权局负责解释，自发布之日起施行。</w:t>
      </w:r>
    </w:p>
    <w:p w:rsidR="000332BD" w:rsidRDefault="000332BD" w:rsidP="00711008">
      <w:pPr>
        <w:spacing w:line="560" w:lineRule="exact"/>
        <w:ind w:firstLineChars="200" w:firstLine="640"/>
        <w:rPr>
          <w:rFonts w:ascii="仿宋" w:eastAsia="仿宋" w:hAnsi="仿宋" w:cs="仿宋"/>
          <w:sz w:val="32"/>
          <w:szCs w:val="32"/>
        </w:rPr>
      </w:pPr>
    </w:p>
    <w:p w:rsidR="000332BD" w:rsidRPr="00962CDB" w:rsidRDefault="000332BD">
      <w:pPr>
        <w:spacing w:line="600" w:lineRule="exact"/>
        <w:rPr>
          <w:rFonts w:ascii="华文中宋" w:eastAsia="华文中宋" w:hAnsi="华文中宋" w:cs="华文中宋"/>
          <w:sz w:val="36"/>
          <w:szCs w:val="36"/>
        </w:rPr>
      </w:pPr>
    </w:p>
    <w:sectPr w:rsidR="000332BD" w:rsidRPr="00962CDB" w:rsidSect="00CD07A0">
      <w:footerReference w:type="default" r:id="rId8"/>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215" w:rsidRDefault="00F60215">
      <w:r>
        <w:separator/>
      </w:r>
    </w:p>
  </w:endnote>
  <w:endnote w:type="continuationSeparator" w:id="0">
    <w:p w:rsidR="00F60215" w:rsidRDefault="00F6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BD" w:rsidRDefault="00C566E6">
    <w:pPr>
      <w:pStyle w:val="a3"/>
    </w:pPr>
    <w:r>
      <w:rPr>
        <w:noProof/>
      </w:rPr>
      <mc:AlternateContent>
        <mc:Choice Requires="wps">
          <w:drawing>
            <wp:anchor distT="0" distB="0" distL="114300" distR="114300" simplePos="0" relativeHeight="251659264" behindDoc="0" locked="0" layoutInCell="1" allowOverlap="1" wp14:anchorId="7A086EEB" wp14:editId="30941E70">
              <wp:simplePos x="0" y="0"/>
              <wp:positionH relativeFrom="margin">
                <wp:align>center</wp:align>
              </wp:positionH>
              <wp:positionV relativeFrom="paragraph">
                <wp:posOffset>0</wp:posOffset>
              </wp:positionV>
              <wp:extent cx="287079"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28707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32BD" w:rsidRPr="00711008" w:rsidRDefault="00C566E6" w:rsidP="00711008">
                          <w:pPr>
                            <w:pStyle w:val="a3"/>
                            <w:jc w:val="center"/>
                            <w:rPr>
                              <w:rFonts w:ascii="仿宋_GB2312" w:eastAsia="仿宋_GB2312"/>
                              <w:sz w:val="32"/>
                              <w:szCs w:val="32"/>
                            </w:rPr>
                          </w:pPr>
                          <w:r w:rsidRPr="00711008">
                            <w:rPr>
                              <w:rFonts w:ascii="仿宋_GB2312" w:eastAsia="仿宋_GB2312"/>
                              <w:sz w:val="32"/>
                              <w:szCs w:val="32"/>
                            </w:rPr>
                            <w:fldChar w:fldCharType="begin"/>
                          </w:r>
                          <w:r w:rsidRPr="00711008">
                            <w:rPr>
                              <w:rFonts w:ascii="仿宋_GB2312" w:eastAsia="仿宋_GB2312"/>
                              <w:sz w:val="32"/>
                              <w:szCs w:val="32"/>
                            </w:rPr>
                            <w:instrText xml:space="preserve"> PAGE  \* MERGEFORMAT </w:instrText>
                          </w:r>
                          <w:r w:rsidRPr="00711008">
                            <w:rPr>
                              <w:rFonts w:ascii="仿宋_GB2312" w:eastAsia="仿宋_GB2312"/>
                              <w:sz w:val="32"/>
                              <w:szCs w:val="32"/>
                            </w:rPr>
                            <w:fldChar w:fldCharType="separate"/>
                          </w:r>
                          <w:r w:rsidR="006F2082">
                            <w:rPr>
                              <w:rFonts w:ascii="仿宋_GB2312" w:eastAsia="仿宋_GB2312"/>
                              <w:noProof/>
                              <w:sz w:val="32"/>
                              <w:szCs w:val="32"/>
                            </w:rPr>
                            <w:t>7</w:t>
                          </w:r>
                          <w:r w:rsidRPr="00711008">
                            <w:rPr>
                              <w:rFonts w:ascii="仿宋_GB2312" w:eastAsia="仿宋_GB2312"/>
                              <w:sz w:val="32"/>
                              <w:szCs w:val="32"/>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2.6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" filled="f" stroked="f" strokeweight=".5pt">
              <v:textbox style="mso-fit-shape-to-text:t" inset="0,0,0,0">
                <w:txbxContent>
                  <w:p w:rsidR="000332BD" w:rsidRPr="00711008" w:rsidRDefault="00C566E6" w:rsidP="00711008">
                    <w:pPr>
                      <w:pStyle w:val="a3"/>
                      <w:jc w:val="center"/>
                      <w:rPr>
                        <w:rFonts w:ascii="仿宋_GB2312" w:eastAsia="仿宋_GB2312"/>
                        <w:sz w:val="32"/>
                        <w:szCs w:val="32"/>
                      </w:rPr>
                    </w:pPr>
                    <w:r w:rsidRPr="00711008">
                      <w:rPr>
                        <w:rFonts w:ascii="仿宋_GB2312" w:eastAsia="仿宋_GB2312"/>
                        <w:sz w:val="32"/>
                        <w:szCs w:val="32"/>
                      </w:rPr>
                      <w:fldChar w:fldCharType="begin"/>
                    </w:r>
                    <w:r w:rsidRPr="00711008">
                      <w:rPr>
                        <w:rFonts w:ascii="仿宋_GB2312" w:eastAsia="仿宋_GB2312"/>
                        <w:sz w:val="32"/>
                        <w:szCs w:val="32"/>
                      </w:rPr>
                      <w:instrText xml:space="preserve"> PAGE  \* MERGEFORMAT </w:instrText>
                    </w:r>
                    <w:r w:rsidRPr="00711008">
                      <w:rPr>
                        <w:rFonts w:ascii="仿宋_GB2312" w:eastAsia="仿宋_GB2312"/>
                        <w:sz w:val="32"/>
                        <w:szCs w:val="32"/>
                      </w:rPr>
                      <w:fldChar w:fldCharType="separate"/>
                    </w:r>
                    <w:r w:rsidR="006F2082">
                      <w:rPr>
                        <w:rFonts w:ascii="仿宋_GB2312" w:eastAsia="仿宋_GB2312"/>
                        <w:noProof/>
                        <w:sz w:val="32"/>
                        <w:szCs w:val="32"/>
                      </w:rPr>
                      <w:t>7</w:t>
                    </w:r>
                    <w:r w:rsidRPr="00711008">
                      <w:rPr>
                        <w:rFonts w:ascii="仿宋_GB2312" w:eastAsia="仿宋_GB2312"/>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215" w:rsidRDefault="00F60215">
      <w:r>
        <w:separator/>
      </w:r>
    </w:p>
  </w:footnote>
  <w:footnote w:type="continuationSeparator" w:id="0">
    <w:p w:rsidR="00F60215" w:rsidRDefault="00F60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MWRkM2U5ZjRlZGVlNTEzODg2ZjE2MTY3NmM5NTQifQ=="/>
  </w:docVars>
  <w:rsids>
    <w:rsidRoot w:val="3BA00474"/>
    <w:rsid w:val="000332BD"/>
    <w:rsid w:val="001A3FA5"/>
    <w:rsid w:val="002012AF"/>
    <w:rsid w:val="002C1CB2"/>
    <w:rsid w:val="00481C25"/>
    <w:rsid w:val="004907D9"/>
    <w:rsid w:val="006F2082"/>
    <w:rsid w:val="00711008"/>
    <w:rsid w:val="008129FC"/>
    <w:rsid w:val="00880992"/>
    <w:rsid w:val="00962CDB"/>
    <w:rsid w:val="00BF6FA8"/>
    <w:rsid w:val="00C566E6"/>
    <w:rsid w:val="00C647B4"/>
    <w:rsid w:val="00CD07A0"/>
    <w:rsid w:val="00F60215"/>
    <w:rsid w:val="03903A69"/>
    <w:rsid w:val="039C1238"/>
    <w:rsid w:val="0D2C34D3"/>
    <w:rsid w:val="0DFF7052"/>
    <w:rsid w:val="0EAB443E"/>
    <w:rsid w:val="0EE80D86"/>
    <w:rsid w:val="106875EE"/>
    <w:rsid w:val="11984DEC"/>
    <w:rsid w:val="11C411E2"/>
    <w:rsid w:val="1452073E"/>
    <w:rsid w:val="148324DA"/>
    <w:rsid w:val="14C16CBF"/>
    <w:rsid w:val="160D0B3E"/>
    <w:rsid w:val="1A291B3D"/>
    <w:rsid w:val="1E5E42DD"/>
    <w:rsid w:val="225A1888"/>
    <w:rsid w:val="226E4F8A"/>
    <w:rsid w:val="23440C8D"/>
    <w:rsid w:val="24A73F1B"/>
    <w:rsid w:val="25942838"/>
    <w:rsid w:val="27E3503E"/>
    <w:rsid w:val="33C83183"/>
    <w:rsid w:val="3B190530"/>
    <w:rsid w:val="3B7C2169"/>
    <w:rsid w:val="3BA00474"/>
    <w:rsid w:val="3DD56617"/>
    <w:rsid w:val="416B56CB"/>
    <w:rsid w:val="44E560D9"/>
    <w:rsid w:val="47D00801"/>
    <w:rsid w:val="4EDE0854"/>
    <w:rsid w:val="547F2B6F"/>
    <w:rsid w:val="54B57C0A"/>
    <w:rsid w:val="54E9135D"/>
    <w:rsid w:val="586E5408"/>
    <w:rsid w:val="5C8A283C"/>
    <w:rsid w:val="5F0E388F"/>
    <w:rsid w:val="65976B33"/>
    <w:rsid w:val="6C7D3D20"/>
    <w:rsid w:val="6DD540BF"/>
    <w:rsid w:val="72CF290E"/>
    <w:rsid w:val="735B0C3A"/>
    <w:rsid w:val="748E490B"/>
    <w:rsid w:val="75E503E9"/>
    <w:rsid w:val="76FB49C3"/>
    <w:rsid w:val="775B2110"/>
    <w:rsid w:val="7A762B6D"/>
    <w:rsid w:val="7B5754EB"/>
    <w:rsid w:val="7F0F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jc w:val="center"/>
      <w:outlineLvl w:val="1"/>
    </w:pPr>
    <w:rPr>
      <w:rFonts w:ascii="Arial" w:eastAsia="黑体" w:hAnsi="Arial"/>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index 9"/>
    <w:basedOn w:val="a"/>
    <w:next w:val="a"/>
    <w:uiPriority w:val="99"/>
    <w:qFormat/>
    <w:pPr>
      <w:ind w:left="3360"/>
    </w:pPr>
  </w:style>
  <w:style w:type="paragraph" w:styleId="a5">
    <w:name w:val="Normal (Web)"/>
    <w:basedOn w:val="a"/>
    <w:next w:val="9"/>
    <w:qFormat/>
    <w:pPr>
      <w:spacing w:beforeAutospacing="1" w:afterAutospacing="1"/>
      <w:jc w:val="left"/>
    </w:pPr>
    <w:rPr>
      <w:kern w:val="0"/>
      <w:sz w:val="24"/>
    </w:rPr>
  </w:style>
  <w:style w:type="paragraph" w:customStyle="1" w:styleId="-1">
    <w:name w:val="正文-公1"/>
    <w:basedOn w:val="NewNewNewNewNewNewNewNewNewNewNewNewNewNewNewNewNewNewNewNewNewNewNewNewNewNewNewNewNewNewNewNewNewNewNewNewNewNewNewNewNewNewNewNewNewNewNewNewNewNewNewNewNewNewNewNewNewNewNewNewNewNewN"/>
    <w:next w:val="a5"/>
    <w:uiPriority w:val="99"/>
    <w:qFormat/>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next w:val="-1"/>
    <w:uiPriority w:val="99"/>
    <w:qFormat/>
    <w:pPr>
      <w:widowControl w:val="0"/>
      <w:jc w:val="both"/>
    </w:pPr>
    <w:rPr>
      <w:rFonts w:ascii="Calibri" w:hAnsi="Calibri" w:cs="Calibri"/>
      <w:kern w:val="2"/>
      <w:sz w:val="21"/>
      <w:szCs w:val="21"/>
    </w:rPr>
  </w:style>
  <w:style w:type="character" w:customStyle="1" w:styleId="font21">
    <w:name w:val="font21"/>
    <w:qFormat/>
    <w:rPr>
      <w:rFonts w:ascii="Times New Roman" w:hAnsi="Times New Roman" w:cs="Times New Roman" w:hint="default"/>
      <w:color w:val="000000"/>
      <w:sz w:val="19"/>
      <w:szCs w:val="19"/>
      <w:u w:val="none"/>
    </w:rPr>
  </w:style>
  <w:style w:type="character" w:customStyle="1" w:styleId="font31">
    <w:name w:val="font31"/>
    <w:qFormat/>
    <w:rPr>
      <w:rFonts w:ascii="宋体" w:eastAsia="宋体" w:hAnsi="宋体" w:cs="宋体" w:hint="eastAsia"/>
      <w:color w:val="000000"/>
      <w:sz w:val="19"/>
      <w:szCs w:val="19"/>
      <w:u w:val="none"/>
    </w:rPr>
  </w:style>
  <w:style w:type="paragraph" w:styleId="a6">
    <w:name w:val="Balloon Text"/>
    <w:basedOn w:val="a"/>
    <w:link w:val="Char"/>
    <w:rsid w:val="00CD07A0"/>
    <w:rPr>
      <w:sz w:val="18"/>
      <w:szCs w:val="18"/>
    </w:rPr>
  </w:style>
  <w:style w:type="character" w:customStyle="1" w:styleId="Char">
    <w:name w:val="批注框文本 Char"/>
    <w:basedOn w:val="a0"/>
    <w:link w:val="a6"/>
    <w:rsid w:val="00CD07A0"/>
    <w:rPr>
      <w:rFonts w:asciiTheme="minorHAnsi" w:eastAsiaTheme="minorEastAsia" w:hAnsiTheme="minorHAnsi" w:cstheme="minorBidi"/>
      <w:kern w:val="2"/>
      <w:sz w:val="18"/>
      <w:szCs w:val="18"/>
    </w:rPr>
  </w:style>
  <w:style w:type="paragraph" w:styleId="a7">
    <w:name w:val="Revision"/>
    <w:hidden/>
    <w:uiPriority w:val="99"/>
    <w:unhideWhenUsed/>
    <w:rsid w:val="001A3FA5"/>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jc w:val="center"/>
      <w:outlineLvl w:val="1"/>
    </w:pPr>
    <w:rPr>
      <w:rFonts w:ascii="Arial" w:eastAsia="黑体" w:hAnsi="Arial"/>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9">
    <w:name w:val="index 9"/>
    <w:basedOn w:val="a"/>
    <w:next w:val="a"/>
    <w:uiPriority w:val="99"/>
    <w:qFormat/>
    <w:pPr>
      <w:ind w:left="3360"/>
    </w:pPr>
  </w:style>
  <w:style w:type="paragraph" w:styleId="a5">
    <w:name w:val="Normal (Web)"/>
    <w:basedOn w:val="a"/>
    <w:next w:val="9"/>
    <w:qFormat/>
    <w:pPr>
      <w:spacing w:beforeAutospacing="1" w:afterAutospacing="1"/>
      <w:jc w:val="left"/>
    </w:pPr>
    <w:rPr>
      <w:kern w:val="0"/>
      <w:sz w:val="24"/>
    </w:rPr>
  </w:style>
  <w:style w:type="paragraph" w:customStyle="1" w:styleId="-1">
    <w:name w:val="正文-公1"/>
    <w:basedOn w:val="NewNewNewNewNewNewNewNewNewNewNewNewNewNewNewNewNewNewNewNewNewNewNewNewNewNewNewNewNewNewNewNewNewNewNewNewNewNewNewNewNewNewNewNewNewNewNewNewNewNewNewNewNewNewNewNewNewNewNewNewNewNewN"/>
    <w:next w:val="a5"/>
    <w:uiPriority w:val="99"/>
    <w:qFormat/>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next w:val="-1"/>
    <w:uiPriority w:val="99"/>
    <w:qFormat/>
    <w:pPr>
      <w:widowControl w:val="0"/>
      <w:jc w:val="both"/>
    </w:pPr>
    <w:rPr>
      <w:rFonts w:ascii="Calibri" w:hAnsi="Calibri" w:cs="Calibri"/>
      <w:kern w:val="2"/>
      <w:sz w:val="21"/>
      <w:szCs w:val="21"/>
    </w:rPr>
  </w:style>
  <w:style w:type="character" w:customStyle="1" w:styleId="font21">
    <w:name w:val="font21"/>
    <w:qFormat/>
    <w:rPr>
      <w:rFonts w:ascii="Times New Roman" w:hAnsi="Times New Roman" w:cs="Times New Roman" w:hint="default"/>
      <w:color w:val="000000"/>
      <w:sz w:val="19"/>
      <w:szCs w:val="19"/>
      <w:u w:val="none"/>
    </w:rPr>
  </w:style>
  <w:style w:type="character" w:customStyle="1" w:styleId="font31">
    <w:name w:val="font31"/>
    <w:qFormat/>
    <w:rPr>
      <w:rFonts w:ascii="宋体" w:eastAsia="宋体" w:hAnsi="宋体" w:cs="宋体" w:hint="eastAsia"/>
      <w:color w:val="000000"/>
      <w:sz w:val="19"/>
      <w:szCs w:val="19"/>
      <w:u w:val="none"/>
    </w:rPr>
  </w:style>
  <w:style w:type="paragraph" w:styleId="a6">
    <w:name w:val="Balloon Text"/>
    <w:basedOn w:val="a"/>
    <w:link w:val="Char"/>
    <w:rsid w:val="00CD07A0"/>
    <w:rPr>
      <w:sz w:val="18"/>
      <w:szCs w:val="18"/>
    </w:rPr>
  </w:style>
  <w:style w:type="character" w:customStyle="1" w:styleId="Char">
    <w:name w:val="批注框文本 Char"/>
    <w:basedOn w:val="a0"/>
    <w:link w:val="a6"/>
    <w:rsid w:val="00CD07A0"/>
    <w:rPr>
      <w:rFonts w:asciiTheme="minorHAnsi" w:eastAsiaTheme="minorEastAsia" w:hAnsiTheme="minorHAnsi" w:cstheme="minorBidi"/>
      <w:kern w:val="2"/>
      <w:sz w:val="18"/>
      <w:szCs w:val="18"/>
    </w:rPr>
  </w:style>
  <w:style w:type="paragraph" w:styleId="a7">
    <w:name w:val="Revision"/>
    <w:hidden/>
    <w:uiPriority w:val="99"/>
    <w:unhideWhenUsed/>
    <w:rsid w:val="001A3FA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474</Words>
  <Characters>2705</Characters>
  <Application>Microsoft Office Word</Application>
  <DocSecurity>0</DocSecurity>
  <Lines>22</Lines>
  <Paragraphs>6</Paragraphs>
  <ScaleCrop>false</ScaleCrop>
  <Company>贵州省工商行政管理局</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牧云</dc:creator>
  <cp:lastModifiedBy>罗婕</cp:lastModifiedBy>
  <cp:revision>8</cp:revision>
  <cp:lastPrinted>2024-10-21T07:51:00Z</cp:lastPrinted>
  <dcterms:created xsi:type="dcterms:W3CDTF">2024-10-22T06:21:00Z</dcterms:created>
  <dcterms:modified xsi:type="dcterms:W3CDTF">2024-10-23T00:48:00Z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1713643A2DB241D88A6E5BB33D41E512_13</vt:lpwstr>
  </property>
</Properties>
</file>