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left"/>
        <w:rPr>
          <w:rFonts w:ascii="黑体" w:hAnsi="黑体" w:eastAsia="黑体" w:cs="方正小标宋简体"/>
          <w:bCs/>
          <w:szCs w:val="32"/>
        </w:rPr>
      </w:pPr>
      <w:bookmarkStart w:id="0" w:name="OLE_LINK6"/>
      <w:bookmarkStart w:id="1" w:name="OLE_LINK5"/>
      <w:r>
        <w:rPr>
          <w:rFonts w:hint="eastAsia" w:ascii="黑体" w:hAnsi="黑体" w:eastAsia="黑体" w:cs="方正小标宋简体"/>
          <w:bCs/>
          <w:szCs w:val="32"/>
        </w:rPr>
        <w:t>附件1</w:t>
      </w:r>
    </w:p>
    <w:p>
      <w:pPr>
        <w:widowControl/>
        <w:snapToGrid w:val="0"/>
        <w:spacing w:line="480" w:lineRule="exact"/>
        <w:jc w:val="center"/>
        <w:rPr>
          <w:rFonts w:ascii="方正小标宋简体" w:hAnsi="方正小标宋简体" w:eastAsia="方正小标宋简体" w:cs="方正小标宋简体"/>
          <w:bCs/>
          <w:sz w:val="44"/>
          <w:szCs w:val="44"/>
        </w:rPr>
      </w:pPr>
    </w:p>
    <w:p>
      <w:pPr>
        <w:adjustRightInd w:val="0"/>
        <w:snapToGrid w:val="0"/>
        <w:spacing w:line="48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2026年度贵州省知识产权公共服务能力</w:t>
      </w:r>
    </w:p>
    <w:p>
      <w:pPr>
        <w:adjustRightInd w:val="0"/>
        <w:snapToGrid w:val="0"/>
        <w:spacing w:line="48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提升项目（省级）申报指南</w:t>
      </w:r>
    </w:p>
    <w:p>
      <w:pPr>
        <w:adjustRightInd w:val="0"/>
        <w:snapToGrid w:val="0"/>
        <w:spacing w:line="480" w:lineRule="exact"/>
        <w:rPr>
          <w:szCs w:val="32"/>
          <w:shd w:val="clear" w:color="auto" w:fill="FFFFFF"/>
        </w:rPr>
      </w:pPr>
    </w:p>
    <w:p>
      <w:pPr>
        <w:spacing w:line="580" w:lineRule="atLeast"/>
        <w:ind w:firstLine="616" w:firstLineChars="200"/>
        <w:rPr>
          <w:rFonts w:hint="eastAsia" w:ascii="黑体" w:hAnsi="黑体" w:eastAsia="黑体" w:cs="仿宋_GB2312"/>
          <w:szCs w:val="32"/>
        </w:rPr>
      </w:pPr>
      <w:r>
        <w:rPr>
          <w:rFonts w:hint="eastAsia" w:ascii="黑体" w:hAnsi="黑体" w:eastAsia="黑体" w:cs="仿宋_GB2312"/>
          <w:szCs w:val="32"/>
        </w:rPr>
        <w:t>一、</w:t>
      </w:r>
      <w:r>
        <w:rPr>
          <w:rFonts w:ascii="黑体" w:hAnsi="黑体" w:eastAsia="黑体" w:cs="仿宋_GB2312"/>
          <w:szCs w:val="32"/>
        </w:rPr>
        <w:t>目标任务</w:t>
      </w:r>
    </w:p>
    <w:p>
      <w:pPr>
        <w:spacing w:line="580" w:lineRule="atLeast"/>
        <w:ind w:firstLine="616" w:firstLineChars="200"/>
        <w:rPr>
          <w:rFonts w:ascii="仿宋_GB2312" w:hAnsi="仿宋_GB2312" w:cs="仿宋_GB2312"/>
          <w:color w:val="FF0000"/>
          <w:szCs w:val="32"/>
        </w:rPr>
      </w:pPr>
      <w:r>
        <w:rPr>
          <w:rFonts w:hint="eastAsia" w:ascii="仿宋_GB2312" w:hAnsi="仿宋_GB2312" w:cs="仿宋_GB2312"/>
          <w:szCs w:val="32"/>
        </w:rPr>
        <w:t>提升知识产权公共服务支撑保障能力，</w:t>
      </w:r>
      <w:r>
        <w:rPr>
          <w:rFonts w:hint="eastAsia" w:ascii="仿宋_GB2312" w:hAnsi="仿宋_GB2312" w:cs="仿宋_GB2312"/>
          <w:szCs w:val="32"/>
        </w:rPr>
        <w:t>持续做优知识产权公共服务</w:t>
      </w:r>
      <w:r>
        <w:rPr>
          <w:rFonts w:hint="eastAsia" w:ascii="仿宋_GB2312" w:hAnsi="仿宋_GB2312" w:cs="仿宋_GB2312"/>
          <w:szCs w:val="32"/>
          <w:lang w:eastAsia="zh-CN"/>
        </w:rPr>
        <w:t>。</w:t>
      </w:r>
      <w:r>
        <w:rPr>
          <w:rFonts w:hint="eastAsia" w:ascii="仿宋_GB2312" w:hAnsi="仿宋_GB2312" w:cs="仿宋_GB2312"/>
          <w:szCs w:val="32"/>
        </w:rPr>
        <w:t>推动《关于培育壮大经营者主体的若干政策措施》及《贵州省市场监管领域服务壮大经营主体工作方案》实施，为进一步激发各类经营主体活力和推动经营主体培育壮大提供知识产权服务支撑。</w:t>
      </w:r>
    </w:p>
    <w:p>
      <w:pPr>
        <w:spacing w:line="580" w:lineRule="atLeast"/>
        <w:ind w:firstLine="616" w:firstLineChars="200"/>
        <w:outlineLvl w:val="1"/>
        <w:rPr>
          <w:rFonts w:ascii="黑体" w:hAnsi="黑体" w:eastAsia="黑体" w:cs="仿宋_GB2312"/>
          <w:szCs w:val="32"/>
        </w:rPr>
      </w:pPr>
      <w:r>
        <w:rPr>
          <w:rFonts w:hint="eastAsia" w:ascii="黑体" w:hAnsi="黑体" w:eastAsia="黑体" w:cs="仿宋_GB2312"/>
          <w:szCs w:val="32"/>
        </w:rPr>
        <w:t>二、项目申报主体及条件</w:t>
      </w:r>
    </w:p>
    <w:p>
      <w:pPr>
        <w:suppressAutoHyphens/>
        <w:adjustRightInd w:val="0"/>
        <w:snapToGrid w:val="0"/>
        <w:spacing w:line="580" w:lineRule="atLeast"/>
        <w:ind w:firstLine="616" w:firstLineChars="200"/>
        <w:rPr>
          <w:rFonts w:ascii="楷体_GB2312" w:hAnsi="宋体" w:eastAsia="楷体_GB2312"/>
          <w:kern w:val="0"/>
          <w:szCs w:val="32"/>
        </w:rPr>
      </w:pPr>
      <w:r>
        <w:rPr>
          <w:rFonts w:hint="eastAsia" w:ascii="楷体_GB2312" w:hAnsi="宋体" w:eastAsia="楷体_GB2312"/>
          <w:kern w:val="0"/>
          <w:szCs w:val="32"/>
        </w:rPr>
        <w:t>（一）项目申报主体</w:t>
      </w:r>
    </w:p>
    <w:p>
      <w:pPr>
        <w:spacing w:line="580" w:lineRule="atLeast"/>
        <w:ind w:firstLine="616" w:firstLineChars="200"/>
        <w:rPr>
          <w:rFonts w:ascii="仿宋_GB2312" w:hAnsi="仿宋_GB2312" w:cs="仿宋_GB2312"/>
          <w:szCs w:val="32"/>
        </w:rPr>
      </w:pPr>
      <w:r>
        <w:rPr>
          <w:rFonts w:hint="eastAsia" w:ascii="仿宋_GB2312" w:hAnsi="仿宋_GB2312" w:cs="仿宋_GB2312"/>
          <w:szCs w:val="32"/>
        </w:rPr>
        <w:t>在中华人民共和国境内注册，具有独立法人资格</w:t>
      </w:r>
      <w:r>
        <w:rPr>
          <w:rFonts w:hint="eastAsia" w:ascii="仿宋_GB2312" w:hAnsi="仿宋_GB2312" w:cs="仿宋_GB2312"/>
          <w:szCs w:val="32"/>
          <w:lang w:eastAsia="zh-Hans"/>
        </w:rPr>
        <w:t>、系从事我省知识产权创造、运用、保护、管理和服务的企</w:t>
      </w:r>
      <w:r>
        <w:rPr>
          <w:rFonts w:hint="eastAsia" w:ascii="仿宋_GB2312" w:hAnsi="仿宋_GB2312" w:cs="仿宋_GB2312"/>
          <w:szCs w:val="32"/>
        </w:rPr>
        <w:t>事业单位或</w:t>
      </w:r>
      <w:r>
        <w:rPr>
          <w:rFonts w:hint="eastAsia" w:ascii="仿宋_GB2312" w:hAnsi="仿宋_GB2312" w:cs="仿宋_GB2312"/>
          <w:szCs w:val="32"/>
          <w:lang w:eastAsia="zh-Hans"/>
        </w:rPr>
        <w:t>行业组织，</w:t>
      </w:r>
      <w:r>
        <w:rPr>
          <w:rFonts w:hint="eastAsia" w:ascii="仿宋_GB2312" w:hAnsi="仿宋_GB2312" w:cs="仿宋_GB2312"/>
          <w:szCs w:val="32"/>
        </w:rPr>
        <w:t>且无违法违规行为，在“国家企业信用信息公示系统”中的“行政处罚信息”“列入经营异常名录信息”“列入严重违法失信企业名单（黑名单）信息”栏目中无记录</w:t>
      </w:r>
      <w:r>
        <w:rPr>
          <w:rFonts w:hint="eastAsia" w:ascii="仿宋_GB2312" w:hAnsi="仿宋_GB2312" w:cs="仿宋_GB2312"/>
          <w:szCs w:val="32"/>
          <w:lang w:eastAsia="zh-Hans"/>
        </w:rPr>
        <w:t>，无其</w:t>
      </w:r>
      <w:r>
        <w:rPr>
          <w:rFonts w:hint="eastAsia" w:ascii="仿宋_GB2312" w:hAnsi="仿宋_GB2312" w:cs="仿宋_GB2312"/>
          <w:szCs w:val="32"/>
        </w:rPr>
        <w:t>他不符合申报条件的情形。</w:t>
      </w:r>
    </w:p>
    <w:p>
      <w:pPr>
        <w:suppressAutoHyphens/>
        <w:adjustRightInd w:val="0"/>
        <w:snapToGrid w:val="0"/>
        <w:spacing w:line="580" w:lineRule="atLeast"/>
        <w:ind w:firstLine="616" w:firstLineChars="200"/>
        <w:rPr>
          <w:rFonts w:ascii="楷体_GB2312" w:hAnsi="宋体" w:eastAsia="楷体_GB2312"/>
          <w:kern w:val="0"/>
          <w:szCs w:val="32"/>
        </w:rPr>
      </w:pPr>
      <w:r>
        <w:rPr>
          <w:rFonts w:hint="eastAsia" w:ascii="楷体_GB2312" w:hAnsi="宋体" w:eastAsia="楷体_GB2312"/>
          <w:kern w:val="0"/>
          <w:szCs w:val="32"/>
        </w:rPr>
        <w:t>（二）申报基本条件</w:t>
      </w:r>
    </w:p>
    <w:p>
      <w:pPr>
        <w:spacing w:line="580" w:lineRule="atLeast"/>
        <w:ind w:firstLine="616" w:firstLineChars="200"/>
        <w:rPr>
          <w:rFonts w:ascii="仿宋_GB2312" w:hAnsi="仿宋_GB2312" w:cs="仿宋_GB2312"/>
          <w:szCs w:val="32"/>
        </w:rPr>
      </w:pPr>
      <w:r>
        <w:rPr>
          <w:rFonts w:ascii="仿宋_GB2312" w:hAnsi="仿宋_GB2312" w:cs="仿宋_GB2312"/>
          <w:szCs w:val="32"/>
        </w:rPr>
        <w:t>1.申报主体有固定办公（经营）场所，经营状况良好；具有从事知识产权相关业务服务人员，人员业务素质强；具有支撑知识产权公共服务</w:t>
      </w:r>
      <w:r>
        <w:rPr>
          <w:rFonts w:hint="eastAsia" w:ascii="仿宋_GB2312" w:hAnsi="仿宋_GB2312" w:cs="仿宋_GB2312"/>
          <w:szCs w:val="32"/>
          <w:lang w:eastAsia="zh-Hans"/>
        </w:rPr>
        <w:t>的专业</w:t>
      </w:r>
      <w:r>
        <w:rPr>
          <w:rFonts w:hint="eastAsia" w:ascii="仿宋_GB2312" w:hAnsi="仿宋_GB2312" w:cs="仿宋_GB2312"/>
          <w:szCs w:val="32"/>
        </w:rPr>
        <w:t>资源、工具、能力；</w:t>
      </w:r>
      <w:r>
        <w:rPr>
          <w:rFonts w:hint="eastAsia" w:ascii="仿宋_GB2312" w:hAnsi="仿宋_GB2312" w:cs="仿宋_GB2312"/>
          <w:szCs w:val="32"/>
          <w:lang w:eastAsia="zh-Hans"/>
        </w:rPr>
        <w:t>具备为</w:t>
      </w:r>
      <w:r>
        <w:rPr>
          <w:rFonts w:hint="eastAsia" w:ascii="仿宋_GB2312" w:hAnsi="仿宋_GB2312" w:cs="仿宋_GB2312"/>
          <w:szCs w:val="32"/>
        </w:rPr>
        <w:t>经营主体</w:t>
      </w:r>
      <w:r>
        <w:rPr>
          <w:rFonts w:hint="eastAsia" w:ascii="仿宋_GB2312" w:hAnsi="仿宋_GB2312" w:cs="仿宋_GB2312"/>
          <w:szCs w:val="32"/>
          <w:lang w:eastAsia="zh-Hans"/>
        </w:rPr>
        <w:t>提供</w:t>
      </w:r>
      <w:r>
        <w:rPr>
          <w:rFonts w:hint="eastAsia" w:ascii="仿宋_GB2312" w:hAnsi="仿宋_GB2312" w:cs="仿宋_GB2312"/>
          <w:szCs w:val="32"/>
        </w:rPr>
        <w:t>知识产权服务</w:t>
      </w:r>
      <w:r>
        <w:rPr>
          <w:rFonts w:hint="eastAsia" w:ascii="仿宋_GB2312" w:hAnsi="仿宋_GB2312" w:cs="仿宋_GB2312"/>
          <w:szCs w:val="32"/>
          <w:lang w:eastAsia="zh-Hans"/>
        </w:rPr>
        <w:t>能力。</w:t>
      </w:r>
      <w:r>
        <w:rPr>
          <w:rFonts w:hint="eastAsia" w:ascii="仿宋_GB2312" w:hAnsi="仿宋_GB2312" w:cs="仿宋_GB2312"/>
          <w:szCs w:val="32"/>
        </w:rPr>
        <w:t>知识产权公共服务取得较好成绩，有成功案例、丰富经验和良好</w:t>
      </w:r>
      <w:r>
        <w:rPr>
          <w:rFonts w:hint="eastAsia" w:ascii="仿宋_GB2312" w:hAnsi="仿宋_GB2312" w:cs="仿宋_GB2312"/>
          <w:szCs w:val="32"/>
          <w:lang w:eastAsia="zh-Hans"/>
        </w:rPr>
        <w:t>的经济</w:t>
      </w:r>
      <w:r>
        <w:rPr>
          <w:rFonts w:hint="eastAsia" w:ascii="仿宋_GB2312" w:hAnsi="仿宋_GB2312" w:cs="仿宋_GB2312"/>
          <w:szCs w:val="32"/>
        </w:rPr>
        <w:t>、</w:t>
      </w:r>
      <w:r>
        <w:rPr>
          <w:rFonts w:hint="eastAsia" w:ascii="仿宋_GB2312" w:hAnsi="仿宋_GB2312" w:cs="仿宋_GB2312"/>
          <w:szCs w:val="32"/>
          <w:lang w:eastAsia="zh-Hans"/>
        </w:rPr>
        <w:t>社会效益</w:t>
      </w:r>
      <w:r>
        <w:rPr>
          <w:rFonts w:hint="eastAsia" w:ascii="仿宋_GB2312" w:hAnsi="仿宋_GB2312" w:cs="仿宋_GB2312"/>
          <w:szCs w:val="32"/>
        </w:rPr>
        <w:t>。</w:t>
      </w:r>
    </w:p>
    <w:p>
      <w:pPr>
        <w:spacing w:line="580" w:lineRule="atLeast"/>
        <w:ind w:firstLine="616" w:firstLineChars="200"/>
        <w:outlineLvl w:val="1"/>
        <w:rPr>
          <w:rFonts w:ascii="黑体" w:hAnsi="黑体" w:eastAsia="黑体" w:cs="仿宋_GB2312"/>
          <w:szCs w:val="32"/>
        </w:rPr>
      </w:pPr>
      <w:r>
        <w:rPr>
          <w:rFonts w:ascii="仿宋_GB2312" w:hAnsi="仿宋_GB2312" w:cs="仿宋_GB2312"/>
          <w:szCs w:val="32"/>
        </w:rPr>
        <w:t>2.</w:t>
      </w:r>
      <w:r>
        <w:rPr>
          <w:rFonts w:hint="eastAsia" w:ascii="仿宋_GB2312" w:hAnsi="仿宋_GB2312" w:cs="仿宋_GB2312"/>
          <w:szCs w:val="32"/>
        </w:rPr>
        <w:t>本</w:t>
      </w:r>
      <w:r>
        <w:rPr>
          <w:rFonts w:ascii="仿宋_GB2312" w:hAnsi="仿宋_GB2312" w:cs="仿宋_GB2312"/>
          <w:szCs w:val="32"/>
        </w:rPr>
        <w:t>项目需独立申报，不得联合申报。</w:t>
      </w:r>
    </w:p>
    <w:p>
      <w:pPr>
        <w:spacing w:line="580" w:lineRule="atLeast"/>
        <w:ind w:firstLine="616" w:firstLineChars="200"/>
        <w:outlineLvl w:val="1"/>
        <w:rPr>
          <w:rFonts w:ascii="黑体" w:hAnsi="黑体" w:eastAsia="黑体" w:cs="仿宋_GB2312"/>
          <w:szCs w:val="32"/>
        </w:rPr>
      </w:pPr>
      <w:r>
        <w:rPr>
          <w:rFonts w:hint="eastAsia" w:ascii="黑体" w:hAnsi="黑体" w:eastAsia="黑体" w:cs="仿宋_GB2312"/>
          <w:szCs w:val="32"/>
        </w:rPr>
        <w:t>三、项目实施主要内容</w:t>
      </w:r>
    </w:p>
    <w:p>
      <w:pPr>
        <w:spacing w:line="580" w:lineRule="atLeast"/>
        <w:ind w:firstLine="616" w:firstLineChars="200"/>
        <w:rPr>
          <w:rFonts w:hint="eastAsia" w:ascii="仿宋_GB2312" w:hAnsi="仿宋_GB2312" w:cs="仿宋_GB2312"/>
          <w:szCs w:val="32"/>
        </w:rPr>
      </w:pPr>
      <w:r>
        <w:rPr>
          <w:rFonts w:hint="eastAsia" w:ascii="楷体_GB2312" w:hAnsi="楷体_GB2312" w:eastAsia="楷体_GB2312" w:cs="楷体_GB2312"/>
          <w:szCs w:val="32"/>
        </w:rPr>
        <w:t>（一）支撑知识产权管理部门开展公共服务</w:t>
      </w:r>
      <w:r>
        <w:rPr>
          <w:rFonts w:hint="eastAsia" w:ascii="楷体_GB2312" w:hAnsi="楷体_GB2312" w:eastAsia="楷体_GB2312" w:cs="楷体_GB2312"/>
          <w:szCs w:val="32"/>
          <w:lang w:eastAsia="zh-CN"/>
        </w:rPr>
        <w:t>。</w:t>
      </w:r>
      <w:r>
        <w:rPr>
          <w:rFonts w:hint="eastAsia" w:ascii="仿宋_GB2312" w:hAnsi="仿宋_GB2312" w:cs="仿宋_GB2312"/>
          <w:szCs w:val="32"/>
          <w:lang w:eastAsia="zh-CN"/>
        </w:rPr>
        <w:t>为</w:t>
      </w:r>
      <w:r>
        <w:rPr>
          <w:rFonts w:hint="eastAsia" w:ascii="仿宋_GB2312" w:hAnsi="仿宋_GB2312" w:cs="仿宋_GB2312"/>
          <w:szCs w:val="32"/>
        </w:rPr>
        <w:t>知识产权</w:t>
      </w:r>
      <w:r>
        <w:rPr>
          <w:rFonts w:hint="eastAsia" w:ascii="仿宋_GB2312" w:hAnsi="仿宋_GB2312" w:cs="仿宋_GB2312"/>
          <w:szCs w:val="32"/>
          <w:lang w:eastAsia="zh-CN"/>
        </w:rPr>
        <w:t>主管部门提供</w:t>
      </w:r>
      <w:r>
        <w:rPr>
          <w:rFonts w:hint="eastAsia" w:ascii="仿宋_GB2312" w:hAnsi="仿宋_GB2312" w:cs="仿宋_GB2312"/>
          <w:szCs w:val="32"/>
        </w:rPr>
        <w:t>政策研究、信息传播利用、宣传推广、人才培养等服务支撑。</w:t>
      </w:r>
    </w:p>
    <w:p>
      <w:pPr>
        <w:spacing w:line="580" w:lineRule="atLeast"/>
        <w:ind w:firstLine="616" w:firstLineChars="200"/>
        <w:rPr>
          <w:rFonts w:hint="eastAsia" w:ascii="仿宋_GB2312" w:hAnsi="仿宋_GB2312" w:cs="仿宋_GB2312"/>
          <w:szCs w:val="32"/>
        </w:rPr>
      </w:pPr>
      <w:r>
        <w:rPr>
          <w:rFonts w:hint="eastAsia" w:ascii="楷体_GB2312" w:hAnsi="楷体_GB2312" w:eastAsia="楷体_GB2312" w:cs="楷体_GB2312"/>
          <w:szCs w:val="32"/>
          <w:lang w:eastAsia="zh-CN"/>
        </w:rPr>
        <w:t>（二）推动</w:t>
      </w:r>
      <w:r>
        <w:rPr>
          <w:rFonts w:hint="eastAsia" w:ascii="楷体_GB2312" w:hAnsi="楷体_GB2312" w:eastAsia="楷体_GB2312" w:cs="楷体_GB2312"/>
          <w:szCs w:val="32"/>
        </w:rPr>
        <w:t>知识产权公共服务机构</w:t>
      </w:r>
      <w:r>
        <w:rPr>
          <w:rFonts w:hint="eastAsia" w:ascii="楷体_GB2312" w:hAnsi="楷体_GB2312" w:eastAsia="楷体_GB2312" w:cs="楷体_GB2312"/>
          <w:szCs w:val="32"/>
          <w:lang w:eastAsia="zh-CN"/>
        </w:rPr>
        <w:t>提质增效。</w:t>
      </w:r>
      <w:r>
        <w:rPr>
          <w:rFonts w:hint="eastAsia" w:ascii="仿宋_GB2312" w:hAnsi="仿宋_GB2312" w:cs="仿宋_GB2312"/>
          <w:szCs w:val="32"/>
          <w:lang w:eastAsia="zh-CN"/>
        </w:rPr>
        <w:t>在服务资源调配、供需对接、人才培养等方面，帮助</w:t>
      </w:r>
      <w:r>
        <w:rPr>
          <w:rFonts w:hint="eastAsia" w:ascii="仿宋_GB2312" w:hAnsi="仿宋_GB2312" w:cs="仿宋_GB2312"/>
          <w:szCs w:val="32"/>
        </w:rPr>
        <w:t>各类知识产权公共服务机构</w:t>
      </w:r>
      <w:r>
        <w:rPr>
          <w:rFonts w:hint="eastAsia" w:ascii="仿宋_GB2312" w:hAnsi="仿宋_GB2312" w:cs="仿宋_GB2312"/>
          <w:szCs w:val="32"/>
          <w:lang w:eastAsia="zh-CN"/>
        </w:rPr>
        <w:t>提升运行管理能力和</w:t>
      </w:r>
      <w:r>
        <w:rPr>
          <w:rFonts w:hint="eastAsia" w:ascii="仿宋_GB2312" w:hAnsi="仿宋_GB2312" w:cs="仿宋_GB2312"/>
          <w:szCs w:val="32"/>
        </w:rPr>
        <w:t>服务质效。</w:t>
      </w:r>
    </w:p>
    <w:p>
      <w:pPr>
        <w:spacing w:line="580" w:lineRule="atLeast"/>
        <w:ind w:firstLine="616" w:firstLineChars="200"/>
        <w:rPr>
          <w:rFonts w:hint="eastAsia" w:ascii="仿宋_GB2312" w:hAnsi="仿宋_GB2312" w:cs="仿宋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开展</w:t>
      </w:r>
      <w:r>
        <w:rPr>
          <w:rFonts w:hint="eastAsia" w:ascii="楷体_GB2312" w:hAnsi="楷体_GB2312" w:eastAsia="楷体_GB2312" w:cs="楷体_GB2312"/>
          <w:szCs w:val="32"/>
        </w:rPr>
        <w:t>知识产权公共服务助企惠企行动。</w:t>
      </w:r>
      <w:r>
        <w:rPr>
          <w:rFonts w:hint="eastAsia" w:ascii="仿宋_GB2312" w:hAnsi="仿宋_GB2312" w:cs="仿宋_GB2312"/>
          <w:szCs w:val="32"/>
        </w:rPr>
        <w:t>加大</w:t>
      </w:r>
      <w:r>
        <w:rPr>
          <w:rFonts w:hint="eastAsia" w:ascii="仿宋_GB2312" w:hAnsi="仿宋_GB2312" w:cs="仿宋_GB2312"/>
          <w:szCs w:val="32"/>
          <w:lang w:eastAsia="zh-CN"/>
        </w:rPr>
        <w:t>知识产权</w:t>
      </w:r>
      <w:r>
        <w:rPr>
          <w:rFonts w:hint="eastAsia" w:ascii="仿宋_GB2312" w:hAnsi="仿宋_GB2312" w:cs="仿宋_GB2312"/>
          <w:szCs w:val="32"/>
        </w:rPr>
        <w:t>公共服务下沉力度，</w:t>
      </w:r>
      <w:r>
        <w:rPr>
          <w:rFonts w:hint="eastAsia" w:ascii="仿宋_GB2312" w:hAnsi="仿宋_GB2312" w:cs="仿宋_GB2312"/>
          <w:szCs w:val="32"/>
          <w:lang w:eastAsia="zh-CN"/>
        </w:rPr>
        <w:t>提升服务可得性和便利度</w:t>
      </w:r>
      <w:r>
        <w:rPr>
          <w:rFonts w:hint="eastAsia" w:ascii="仿宋_GB2312" w:hAnsi="仿宋_GB2312" w:cs="仿宋_GB2312"/>
          <w:szCs w:val="32"/>
        </w:rPr>
        <w:t>。</w:t>
      </w:r>
      <w:r>
        <w:rPr>
          <w:rFonts w:hint="eastAsia" w:ascii="仿宋_GB2312" w:hAnsi="仿宋_GB2312" w:cs="仿宋_GB2312"/>
          <w:szCs w:val="32"/>
          <w:lang w:eastAsia="zh-CN"/>
        </w:rPr>
        <w:t>帮助</w:t>
      </w:r>
      <w:r>
        <w:rPr>
          <w:rFonts w:hint="eastAsia" w:ascii="仿宋_GB2312" w:hAnsi="仿宋_GB2312" w:cs="仿宋_GB2312"/>
          <w:szCs w:val="32"/>
        </w:rPr>
        <w:t>“六大产业集群”“三大特色产业”链主企业、专精特新企业、科技领军企业、上市企业等</w:t>
      </w:r>
      <w:r>
        <w:rPr>
          <w:rFonts w:hint="eastAsia" w:ascii="仿宋_GB2312" w:hAnsi="仿宋_GB2312" w:cs="仿宋_GB2312"/>
          <w:szCs w:val="32"/>
          <w:lang w:eastAsia="zh-CN"/>
        </w:rPr>
        <w:t>主体，增强知识产权创造、运用、保护和管理能力。</w:t>
      </w:r>
    </w:p>
    <w:p>
      <w:pPr>
        <w:spacing w:line="580" w:lineRule="atLeast"/>
        <w:ind w:firstLine="616" w:firstLineChars="200"/>
        <w:rPr>
          <w:rFonts w:hint="eastAsia" w:ascii="仿宋_GB2312" w:hAnsi="仿宋_GB2312" w:cs="仿宋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四</w:t>
      </w:r>
      <w:r>
        <w:rPr>
          <w:rFonts w:hint="eastAsia" w:ascii="楷体_GB2312" w:hAnsi="楷体_GB2312" w:eastAsia="楷体_GB2312" w:cs="楷体_GB2312"/>
          <w:szCs w:val="32"/>
        </w:rPr>
        <w:t>）打造知识产权典型案例。</w:t>
      </w:r>
      <w:r>
        <w:rPr>
          <w:rFonts w:hint="eastAsia" w:ascii="仿宋_GB2312" w:hAnsi="仿宋_GB2312" w:cs="仿宋_GB2312"/>
          <w:szCs w:val="32"/>
        </w:rPr>
        <w:t>总结提炼</w:t>
      </w:r>
      <w:r>
        <w:rPr>
          <w:rFonts w:hint="eastAsia" w:ascii="仿宋_GB2312" w:hAnsi="仿宋_GB2312" w:cs="仿宋_GB2312"/>
          <w:szCs w:val="32"/>
          <w:lang w:eastAsia="zh-CN"/>
        </w:rPr>
        <w:t>成效、</w:t>
      </w:r>
      <w:r>
        <w:rPr>
          <w:rFonts w:hint="eastAsia" w:ascii="仿宋_GB2312" w:hAnsi="仿宋_GB2312" w:cs="仿宋_GB2312"/>
          <w:szCs w:val="32"/>
        </w:rPr>
        <w:t>创新举措及经验模式，形成1个以上知识产权典型案例，并在会议或媒体、平台推</w:t>
      </w:r>
      <w:bookmarkStart w:id="2" w:name="_GoBack"/>
      <w:bookmarkEnd w:id="2"/>
      <w:r>
        <w:rPr>
          <w:rFonts w:hint="eastAsia" w:ascii="仿宋_GB2312" w:hAnsi="仿宋_GB2312" w:cs="仿宋_GB2312"/>
          <w:szCs w:val="32"/>
        </w:rPr>
        <w:t>广经验。</w:t>
      </w:r>
    </w:p>
    <w:p>
      <w:pPr>
        <w:pStyle w:val="10"/>
        <w:widowControl/>
        <w:adjustRightInd w:val="0"/>
        <w:snapToGrid w:val="0"/>
        <w:spacing w:beforeAutospacing="0" w:afterAutospacing="0" w:line="580" w:lineRule="atLeast"/>
        <w:ind w:firstLine="620"/>
        <w:jc w:val="both"/>
        <w:rPr>
          <w:rFonts w:eastAsia="黑体"/>
          <w:sz w:val="32"/>
          <w:szCs w:val="32"/>
        </w:rPr>
      </w:pPr>
      <w:r>
        <w:rPr>
          <w:rFonts w:hint="eastAsia" w:eastAsia="黑体"/>
          <w:sz w:val="32"/>
          <w:szCs w:val="32"/>
        </w:rPr>
        <w:t>四、项目数量及支持额度</w:t>
      </w:r>
    </w:p>
    <w:p>
      <w:pPr>
        <w:spacing w:line="580" w:lineRule="atLeast"/>
        <w:ind w:firstLine="640" w:firstLineChars="200"/>
        <w:rPr>
          <w:rFonts w:ascii="仿宋_GB2312" w:hAnsi="方正仿宋_GB2312" w:cs="方正仿宋_GB2312"/>
          <w:spacing w:val="0"/>
          <w:szCs w:val="32"/>
        </w:rPr>
      </w:pPr>
      <w:r>
        <w:rPr>
          <w:rFonts w:hint="eastAsia" w:ascii="仿宋_GB2312" w:hAnsi="方正仿宋_GB2312" w:cs="方正仿宋_GB2312"/>
          <w:spacing w:val="0"/>
          <w:szCs w:val="32"/>
        </w:rPr>
        <w:t>2026年度贵州省知识产权公共服务能力</w:t>
      </w:r>
      <w:r>
        <w:rPr>
          <w:rFonts w:hint="eastAsia" w:ascii="仿宋_GB2312" w:hAnsi="方正仿宋_GB2312" w:cs="方正仿宋_GB2312"/>
          <w:color w:val="000000"/>
          <w:spacing w:val="0"/>
          <w:szCs w:val="32"/>
        </w:rPr>
        <w:t>提升项目（省级）</w:t>
      </w:r>
      <w:r>
        <w:rPr>
          <w:rFonts w:hint="eastAsia" w:ascii="仿宋_GB2312" w:hAnsi="方正仿宋_GB2312" w:cs="方正仿宋_GB2312"/>
          <w:spacing w:val="0"/>
          <w:szCs w:val="32"/>
        </w:rPr>
        <w:t>支持1项</w:t>
      </w:r>
      <w:r>
        <w:rPr>
          <w:rFonts w:hint="eastAsia" w:ascii="仿宋_GB2312" w:hAnsi="方正仿宋_GB2312" w:cs="方正仿宋_GB2312"/>
          <w:color w:val="000000"/>
          <w:spacing w:val="0"/>
          <w:szCs w:val="32"/>
        </w:rPr>
        <w:t>，工作经费30万元。</w:t>
      </w:r>
    </w:p>
    <w:p>
      <w:pPr>
        <w:spacing w:line="580" w:lineRule="atLeast"/>
        <w:ind w:firstLine="616" w:firstLineChars="200"/>
        <w:outlineLvl w:val="1"/>
        <w:rPr>
          <w:rFonts w:ascii="黑体" w:hAnsi="黑体" w:eastAsia="黑体" w:cs="仿宋_GB2312"/>
          <w:szCs w:val="32"/>
        </w:rPr>
      </w:pPr>
      <w:r>
        <w:rPr>
          <w:rFonts w:hint="eastAsia" w:ascii="黑体" w:hAnsi="黑体" w:eastAsia="黑体" w:cs="仿宋_GB2312"/>
          <w:szCs w:val="32"/>
        </w:rPr>
        <w:t>五、项目申报流程</w:t>
      </w:r>
    </w:p>
    <w:p>
      <w:pPr>
        <w:pStyle w:val="2"/>
        <w:spacing w:line="580" w:lineRule="atLeast"/>
        <w:ind w:firstLine="640" w:firstLineChars="200"/>
        <w:rPr>
          <w:rFonts w:hint="default" w:ascii="仿宋_GB2312" w:hAnsi="方正仿宋_GB2312" w:eastAsia="仿宋_GB2312" w:cs="方正仿宋_GB2312"/>
          <w:spacing w:val="0"/>
          <w:kern w:val="2"/>
          <w:lang w:eastAsia="zh-Hans"/>
        </w:rPr>
      </w:pPr>
      <w:r>
        <w:rPr>
          <w:rFonts w:ascii="仿宋_GB2312" w:hAnsi="方正仿宋_GB2312" w:eastAsia="仿宋_GB2312" w:cs="方正仿宋_GB2312"/>
          <w:spacing w:val="0"/>
          <w:kern w:val="2"/>
        </w:rPr>
        <w:t>（一）申报。申报单位按要求填写《贵州省知识产权公共服务能力提升项目（省级）申报书》（附表1）、《贵州省知识产权公共服务能力提升项目申报项目（省级）基本信息表》（附表2），并提交申报单位法人资格证明文件、成果等印证材料。</w:t>
      </w:r>
    </w:p>
    <w:p>
      <w:pPr>
        <w:suppressAutoHyphens/>
        <w:adjustRightInd w:val="0"/>
        <w:snapToGrid w:val="0"/>
        <w:spacing w:line="580" w:lineRule="atLeast"/>
        <w:ind w:firstLine="643" w:firstLineChars="201"/>
        <w:rPr>
          <w:rFonts w:ascii="仿宋_GB2312" w:hAnsi="方正仿宋_GB2312" w:cs="方正仿宋_GB2312"/>
          <w:spacing w:val="0"/>
          <w:szCs w:val="32"/>
        </w:rPr>
      </w:pPr>
      <w:r>
        <w:rPr>
          <w:rFonts w:hint="eastAsia" w:ascii="仿宋_GB2312" w:hAnsi="方正仿宋_GB2312" w:cs="方正仿宋_GB2312"/>
          <w:spacing w:val="0"/>
          <w:szCs w:val="32"/>
        </w:rPr>
        <w:t>（二）初审。申请单位按照要求将申报材料按时报送省知识产权局，由省知识产权局进行初审。</w:t>
      </w:r>
    </w:p>
    <w:p>
      <w:pPr>
        <w:suppressAutoHyphens/>
        <w:adjustRightInd w:val="0"/>
        <w:snapToGrid w:val="0"/>
        <w:spacing w:line="580" w:lineRule="atLeast"/>
        <w:ind w:firstLine="640" w:firstLineChars="200"/>
        <w:rPr>
          <w:rFonts w:ascii="仿宋_GB2312" w:hAnsi="方正仿宋_GB2312" w:cs="方正仿宋_GB2312"/>
          <w:spacing w:val="0"/>
          <w:szCs w:val="32"/>
        </w:rPr>
      </w:pPr>
      <w:r>
        <w:rPr>
          <w:rFonts w:hint="eastAsia" w:ascii="仿宋_GB2312" w:hAnsi="方正仿宋_GB2312" w:cs="方正仿宋_GB2312"/>
          <w:spacing w:val="0"/>
          <w:szCs w:val="32"/>
        </w:rPr>
        <w:t>（三）评审。省知识产权局组织专家对项目进行评审。</w:t>
      </w:r>
    </w:p>
    <w:p>
      <w:pPr>
        <w:suppressAutoHyphens/>
        <w:adjustRightInd w:val="0"/>
        <w:snapToGrid w:val="0"/>
        <w:spacing w:line="580" w:lineRule="atLeast"/>
        <w:ind w:firstLine="640" w:firstLineChars="200"/>
        <w:rPr>
          <w:rFonts w:ascii="仿宋_GB2312" w:hAnsi="方正仿宋_GB2312" w:cs="方正仿宋_GB2312"/>
          <w:spacing w:val="0"/>
          <w:szCs w:val="32"/>
        </w:rPr>
      </w:pPr>
      <w:r>
        <w:rPr>
          <w:rFonts w:hint="eastAsia" w:ascii="仿宋_GB2312" w:hAnsi="方正仿宋_GB2312" w:cs="方正仿宋_GB2312"/>
          <w:spacing w:val="0"/>
          <w:szCs w:val="32"/>
        </w:rPr>
        <w:t>（四）审议。省知识产权局参考评审情况，综合考虑项目实施目的、区域平衡等因素，择优提出立项建议名单，按程序报请研究审议。</w:t>
      </w:r>
    </w:p>
    <w:p>
      <w:pPr>
        <w:suppressAutoHyphens/>
        <w:adjustRightInd w:val="0"/>
        <w:snapToGrid w:val="0"/>
        <w:spacing w:line="580" w:lineRule="atLeast"/>
        <w:ind w:firstLine="640" w:firstLineChars="200"/>
        <w:rPr>
          <w:rFonts w:ascii="仿宋_GB2312" w:hAnsi="方正仿宋_GB2312" w:cs="方正仿宋_GB2312"/>
          <w:spacing w:val="0"/>
          <w:szCs w:val="32"/>
        </w:rPr>
      </w:pPr>
      <w:r>
        <w:rPr>
          <w:rFonts w:hint="eastAsia" w:ascii="仿宋_GB2312" w:hAnsi="方正仿宋_GB2312" w:cs="方正仿宋_GB2312"/>
          <w:spacing w:val="0"/>
          <w:szCs w:val="32"/>
        </w:rPr>
        <w:t>（五）公示。经省市场监管局党组会</w:t>
      </w:r>
      <w:r>
        <w:rPr>
          <w:rFonts w:hint="eastAsia" w:ascii="仿宋_GB2312" w:hAnsi="方正仿宋_GB2312" w:cs="方正仿宋_GB2312"/>
          <w:spacing w:val="0"/>
          <w:szCs w:val="32"/>
          <w:lang w:eastAsia="zh-CN"/>
        </w:rPr>
        <w:t>审议</w:t>
      </w:r>
      <w:r>
        <w:rPr>
          <w:rFonts w:hint="eastAsia" w:ascii="仿宋_GB2312" w:hAnsi="方正仿宋_GB2312" w:cs="方正仿宋_GB2312"/>
          <w:spacing w:val="0"/>
          <w:szCs w:val="32"/>
        </w:rPr>
        <w:t>通过后，项目拟立项名单在省市场监管局（省知识产权局）网站上公示5个工作日。公示无异议的，由省知识产权局下达项目立项通知。</w:t>
      </w:r>
    </w:p>
    <w:p>
      <w:pPr>
        <w:suppressAutoHyphens/>
        <w:adjustRightInd w:val="0"/>
        <w:snapToGrid w:val="0"/>
        <w:spacing w:line="580" w:lineRule="atLeast"/>
        <w:ind w:firstLine="640" w:firstLineChars="200"/>
        <w:rPr>
          <w:rFonts w:ascii="仿宋_GB2312" w:hAnsi="方正仿宋_GB2312" w:cs="方正仿宋_GB2312"/>
          <w:spacing w:val="0"/>
          <w:szCs w:val="32"/>
        </w:rPr>
      </w:pPr>
      <w:r>
        <w:rPr>
          <w:rFonts w:hint="eastAsia" w:ascii="仿宋_GB2312" w:hAnsi="方正仿宋_GB2312" w:cs="方正仿宋_GB2312"/>
          <w:spacing w:val="0"/>
          <w:szCs w:val="32"/>
        </w:rPr>
        <w:t xml:space="preserve">（六）合同签订和资金拨付。根据项目立项通知，省知识产权局与项目承担单位签订《贵州省知识产权公共服务能力提升项目（省级）计划任务书》，资金下达后，向项目承担单位拨付项目资金。 </w:t>
      </w:r>
    </w:p>
    <w:p>
      <w:pPr>
        <w:spacing w:line="580" w:lineRule="atLeast"/>
        <w:ind w:firstLine="616" w:firstLineChars="200"/>
        <w:outlineLvl w:val="1"/>
        <w:rPr>
          <w:rFonts w:ascii="黑体" w:hAnsi="黑体" w:eastAsia="黑体" w:cs="仿宋_GB2312"/>
          <w:szCs w:val="32"/>
        </w:rPr>
      </w:pPr>
      <w:r>
        <w:rPr>
          <w:rFonts w:hint="eastAsia" w:ascii="黑体" w:hAnsi="黑体" w:eastAsia="黑体" w:cs="仿宋_GB2312"/>
          <w:szCs w:val="32"/>
        </w:rPr>
        <w:t>六、项目管理要求</w:t>
      </w:r>
    </w:p>
    <w:p>
      <w:pPr>
        <w:spacing w:line="580" w:lineRule="atLeas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（一）项目实施期从《2026年度贵州省</w:t>
      </w:r>
      <w:r>
        <w:rPr>
          <w:rFonts w:ascii="仿宋_GB2312" w:hAnsi="仿宋_GB2312" w:cs="仿宋_GB2312"/>
          <w:color w:val="000000"/>
          <w:kern w:val="0"/>
          <w:szCs w:val="32"/>
        </w:rPr>
        <w:t>知识产权信息公共服务</w:t>
      </w:r>
      <w:r>
        <w:rPr>
          <w:rFonts w:hint="eastAsia" w:ascii="仿宋_GB2312" w:hAnsi="仿宋_GB2312" w:cs="仿宋_GB2312"/>
          <w:color w:val="000000"/>
          <w:kern w:val="0"/>
          <w:szCs w:val="32"/>
        </w:rPr>
        <w:t>能力提升项目</w:t>
      </w:r>
      <w:r>
        <w:rPr>
          <w:rFonts w:hint="eastAsia" w:ascii="仿宋_GB2312" w:hAnsi="方正仿宋_GB2312" w:cs="方正仿宋_GB2312"/>
          <w:spacing w:val="0"/>
          <w:szCs w:val="32"/>
        </w:rPr>
        <w:t>（省级）</w:t>
      </w:r>
      <w:r>
        <w:rPr>
          <w:rFonts w:hint="eastAsia" w:ascii="仿宋_GB2312" w:hAnsi="仿宋_GB2312" w:cs="仿宋_GB2312"/>
          <w:color w:val="000000"/>
          <w:kern w:val="0"/>
          <w:szCs w:val="32"/>
        </w:rPr>
        <w:t>计划任务书》下达之日起</w:t>
      </w:r>
      <w:r>
        <w:rPr>
          <w:rFonts w:hint="eastAsia" w:ascii="仿宋_GB2312" w:hAnsi="仿宋_GB2312" w:cs="仿宋_GB2312"/>
          <w:color w:val="000000"/>
          <w:kern w:val="0"/>
          <w:szCs w:val="32"/>
          <w:lang w:eastAsia="zh-CN"/>
        </w:rPr>
        <w:t>至</w:t>
      </w:r>
      <w:r>
        <w:rPr>
          <w:rFonts w:hint="eastAsia" w:ascii="仿宋_GB2312" w:hAnsi="仿宋_GB2312" w:cs="仿宋_GB2312"/>
          <w:color w:val="000000"/>
          <w:kern w:val="0"/>
          <w:szCs w:val="32"/>
          <w:lang w:val="en-US" w:eastAsia="zh-CN"/>
        </w:rPr>
        <w:t>2026年12月</w:t>
      </w:r>
      <w:r>
        <w:rPr>
          <w:rFonts w:hint="eastAsia" w:ascii="仿宋_GB2312" w:hAnsi="仿宋_GB2312" w:cs="仿宋_GB2312"/>
          <w:color w:val="000000"/>
          <w:kern w:val="0"/>
          <w:szCs w:val="32"/>
        </w:rPr>
        <w:t>。</w:t>
      </w:r>
    </w:p>
    <w:p>
      <w:pPr>
        <w:spacing w:line="580" w:lineRule="atLeas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（二）项目承担单位要严格按照项目计划任务书要求，组织项目实施和拨付工作经费，不得擅自调整、删减工作内容。</w:t>
      </w:r>
    </w:p>
    <w:p>
      <w:pPr>
        <w:spacing w:line="580" w:lineRule="atLeas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三）项目承担单位在项目完成后应及时向省知识产权局提出验收申请，总结实施情况和成效，编制项目经费决算报告，提交审计机构出具的项目经费使用审计报告。项目经费决算开支范围应当与项目经费预算的范围相一致，如实反映项目经费预算执行和项目实施的基本情况，不一致的应当说明合理理由。</w:t>
      </w:r>
    </w:p>
    <w:p>
      <w:pPr>
        <w:spacing w:line="580" w:lineRule="atLeas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（四）项目承担单位应按照</w:t>
      </w:r>
      <w:r>
        <w:rPr>
          <w:rFonts w:hint="eastAsia" w:ascii="仿宋_GB2312" w:hAnsi="仿宋_GB2312" w:cs="仿宋_GB2312"/>
          <w:szCs w:val="32"/>
        </w:rPr>
        <w:t>《贵州省支持知识产权高质量创造及运用专项资金管理办法》（黔财行〔2025〕75号）要求，</w:t>
      </w:r>
      <w:r>
        <w:rPr>
          <w:rFonts w:hint="eastAsia" w:ascii="仿宋_GB2312" w:hAnsi="仿宋_GB2312" w:cs="仿宋_GB2312"/>
          <w:color w:val="000000"/>
          <w:kern w:val="0"/>
          <w:szCs w:val="32"/>
        </w:rPr>
        <w:t>对项目资金实行专项管理、专账核算，并严格按照规定用途使用，不得截留、挤占、挪作他用。</w:t>
      </w:r>
    </w:p>
    <w:p>
      <w:pPr>
        <w:spacing w:line="580" w:lineRule="atLeas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（五）项目承担单位在项目申请、实施和验收过程中提供虚假材料或虚假证明文件的，取消其申请知识产权专项资金资格。</w:t>
      </w:r>
    </w:p>
    <w:p>
      <w:pPr>
        <w:spacing w:line="580" w:lineRule="atLeas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（六）省知识产权局</w:t>
      </w:r>
      <w:r>
        <w:rPr>
          <w:rFonts w:hint="eastAsia" w:ascii="仿宋_GB2312" w:hAnsi="仿宋_GB2312" w:cs="仿宋_GB2312"/>
          <w:szCs w:val="32"/>
        </w:rPr>
        <w:t>按照</w:t>
      </w:r>
      <w:r>
        <w:rPr>
          <w:rFonts w:hint="eastAsia" w:ascii="仿宋_GB2312" w:hAnsi="仿宋_GB2312" w:cs="仿宋_GB2312"/>
          <w:color w:val="000000"/>
          <w:kern w:val="0"/>
          <w:szCs w:val="32"/>
        </w:rPr>
        <w:t>项目计划任务书明确的任务和进度要求，定期对项目实施情况督查和指导，并委托第三方机构对项目实施情况和经费使用情况进行评价。项目承担单位应自觉接受有关方面监督和检查。</w:t>
      </w:r>
    </w:p>
    <w:p>
      <w:pPr>
        <w:spacing w:line="580" w:lineRule="atLeas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（七）省知识产权局将组织专家或委托第三方机构，依据项目计划任务书进行验收或评价，符合规定的，办理验收手续。</w:t>
      </w:r>
    </w:p>
    <w:p>
      <w:pPr>
        <w:spacing w:line="580" w:lineRule="atLeast"/>
        <w:ind w:firstLine="616" w:firstLineChars="200"/>
        <w:rPr>
          <w:rFonts w:ascii="黑体" w:hAnsi="黑体" w:eastAsia="黑体" w:cs="黑体"/>
          <w:color w:val="000000"/>
          <w:szCs w:val="32"/>
        </w:rPr>
      </w:pPr>
      <w:r>
        <w:rPr>
          <w:rFonts w:hint="eastAsia" w:ascii="黑体" w:hAnsi="黑体" w:eastAsia="黑体" w:cs="仿宋_GB2312"/>
          <w:szCs w:val="32"/>
        </w:rPr>
        <w:t>七、</w:t>
      </w:r>
      <w:r>
        <w:rPr>
          <w:rFonts w:hint="eastAsia" w:ascii="黑体" w:hAnsi="黑体" w:eastAsia="黑体" w:cs="黑体"/>
          <w:color w:val="000000"/>
          <w:szCs w:val="32"/>
        </w:rPr>
        <w:t>申报资料要求</w:t>
      </w:r>
    </w:p>
    <w:p>
      <w:pPr>
        <w:tabs>
          <w:tab w:val="center" w:pos="4213"/>
          <w:tab w:val="right" w:pos="8306"/>
        </w:tabs>
        <w:spacing w:line="580" w:lineRule="atLeast"/>
        <w:ind w:left="5" w:firstLine="612" w:firstLineChars="199"/>
        <w:rPr>
          <w:rFonts w:ascii="仿宋_GB2312" w:hAnsi="仿宋_GB2312" w:cs="仿宋_GB2312"/>
          <w:color w:val="000000"/>
          <w:kern w:val="0"/>
          <w:szCs w:val="32"/>
        </w:rPr>
      </w:pPr>
      <w:r>
        <w:rPr>
          <w:rFonts w:hint="eastAsia" w:ascii="仿宋_GB2312" w:hAnsi="仿宋_GB2312" w:cs="仿宋_GB2312"/>
          <w:color w:val="000000"/>
          <w:kern w:val="0"/>
          <w:szCs w:val="32"/>
        </w:rPr>
        <w:t>（一）《贵州省知识产权信息公共服务能力提升项目</w:t>
      </w:r>
      <w:r>
        <w:rPr>
          <w:rFonts w:hint="eastAsia" w:ascii="仿宋_GB2312" w:hAnsi="方正仿宋_GB2312" w:cs="方正仿宋_GB2312"/>
          <w:spacing w:val="0"/>
          <w:szCs w:val="32"/>
        </w:rPr>
        <w:t>（省级）</w:t>
      </w:r>
      <w:r>
        <w:rPr>
          <w:rFonts w:hint="eastAsia" w:ascii="仿宋_GB2312" w:hAnsi="仿宋_GB2312" w:cs="仿宋_GB2312"/>
          <w:szCs w:val="32"/>
        </w:rPr>
        <w:t>申报书</w:t>
      </w:r>
      <w:r>
        <w:rPr>
          <w:rFonts w:hint="eastAsia" w:ascii="仿宋_GB2312" w:hAnsi="仿宋_GB2312" w:cs="仿宋_GB2312"/>
          <w:color w:val="000000"/>
          <w:kern w:val="0"/>
          <w:szCs w:val="32"/>
        </w:rPr>
        <w:t>》《贵州省知识产权信息公共服务能力提升项目</w:t>
      </w:r>
      <w:r>
        <w:rPr>
          <w:rFonts w:hint="eastAsia" w:ascii="仿宋_GB2312" w:hAnsi="方正仿宋_GB2312" w:cs="方正仿宋_GB2312"/>
          <w:spacing w:val="0"/>
          <w:szCs w:val="32"/>
        </w:rPr>
        <w:t>（省级）</w:t>
      </w:r>
      <w:r>
        <w:rPr>
          <w:rFonts w:hint="eastAsia" w:ascii="仿宋_GB2312" w:hAnsi="仿宋_GB2312" w:cs="仿宋_GB2312"/>
          <w:color w:val="000000"/>
          <w:kern w:val="0"/>
          <w:szCs w:val="32"/>
        </w:rPr>
        <w:t>申报基本信息表》及相关印证材料扫描件发送至指定邮箱。压缩包文件名以“项目名称+申报单位名称”命名，电子邮件标题请注明“项目名称+申报单位名称”。</w:t>
      </w:r>
    </w:p>
    <w:p>
      <w:pPr>
        <w:spacing w:line="580" w:lineRule="atLeast"/>
        <w:ind w:left="5" w:firstLine="612" w:firstLineChars="199"/>
        <w:rPr>
          <w:rFonts w:ascii="仿宋_GB2312" w:hAnsi="仿宋_GB2312" w:cs="仿宋_GB2312"/>
          <w:color w:val="000000"/>
          <w:kern w:val="0"/>
          <w:szCs w:val="32"/>
        </w:rPr>
      </w:pPr>
      <w:r>
        <w:rPr>
          <w:rFonts w:hint="eastAsia" w:ascii="仿宋_GB2312" w:hAnsi="仿宋_GB2312" w:cs="仿宋_GB2312"/>
          <w:color w:val="000000"/>
          <w:kern w:val="0"/>
          <w:szCs w:val="32"/>
        </w:rPr>
        <w:t>（二）《贵州省知识产权公共服务能力提升项目</w:t>
      </w:r>
      <w:r>
        <w:rPr>
          <w:rFonts w:hint="eastAsia" w:ascii="仿宋_GB2312" w:hAnsi="方正仿宋_GB2312" w:cs="方正仿宋_GB2312"/>
          <w:spacing w:val="0"/>
          <w:szCs w:val="32"/>
        </w:rPr>
        <w:t>（省级）</w:t>
      </w:r>
      <w:r>
        <w:rPr>
          <w:rFonts w:hint="eastAsia" w:ascii="仿宋_GB2312" w:hAnsi="仿宋_GB2312" w:cs="仿宋_GB2312"/>
          <w:color w:val="000000"/>
          <w:kern w:val="0"/>
          <w:szCs w:val="32"/>
        </w:rPr>
        <w:t>申报书》纸质件请用A3纸打印中缝装订并加盖单位公章，相关印证材料A4纸打印装订成册，一式3份。</w:t>
      </w:r>
    </w:p>
    <w:p>
      <w:pPr>
        <w:spacing w:line="580" w:lineRule="atLeast"/>
        <w:ind w:left="5" w:firstLine="612" w:firstLineChars="199"/>
        <w:rPr>
          <w:rFonts w:ascii="仿宋_GB2312" w:hAnsi="仿宋_GB2312" w:cs="仿宋_GB2312"/>
          <w:strike/>
          <w:color w:val="FF0000"/>
          <w:kern w:val="0"/>
          <w:szCs w:val="32"/>
        </w:rPr>
      </w:pPr>
    </w:p>
    <w:p>
      <w:pPr>
        <w:spacing w:line="580" w:lineRule="atLeast"/>
        <w:ind w:firstLine="680" w:firstLineChars="221"/>
        <w:rPr>
          <w:rFonts w:ascii="仿宋_GB2312" w:hAnsi="仿宋_GB2312" w:cs="仿宋_GB2312"/>
          <w:b/>
          <w:bCs/>
          <w:kern w:val="0"/>
          <w:szCs w:val="32"/>
        </w:rPr>
      </w:pPr>
    </w:p>
    <w:bookmarkEnd w:id="0"/>
    <w:bookmarkEnd w:id="1"/>
    <w:p>
      <w:pPr>
        <w:spacing w:line="580" w:lineRule="atLeast"/>
        <w:rPr>
          <w:rFonts w:ascii="Calibri" w:hAnsi="Calibri" w:eastAsia="宋体"/>
          <w:strike/>
          <w:color w:val="FF0000"/>
          <w:spacing w:val="0"/>
          <w:sz w:val="21"/>
          <w:szCs w:val="24"/>
        </w:rPr>
      </w:pPr>
    </w:p>
    <w:sectPr>
      <w:headerReference r:id="rId5" w:type="default"/>
      <w:footerReference r:id="rId6" w:type="default"/>
      <w:pgSz w:w="11906" w:h="16838"/>
      <w:pgMar w:top="1440" w:right="1588" w:bottom="1440" w:left="1474" w:header="851" w:footer="992" w:gutter="0"/>
      <w:pgNumType w:fmt="numberInDash"/>
      <w:cols w:space="720"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- 2 -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- 2 -</w:t>
                    </w:r>
                    <w:r>
                      <w:rPr>
                        <w:rFonts w:ascii="仿宋_GB2312" w:hAnsi="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54"/>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704DF"/>
    <w:rsid w:val="00010A14"/>
    <w:rsid w:val="00011A93"/>
    <w:rsid w:val="000277B4"/>
    <w:rsid w:val="000307F3"/>
    <w:rsid w:val="00033302"/>
    <w:rsid w:val="00043BCE"/>
    <w:rsid w:val="00047A7B"/>
    <w:rsid w:val="00055FFC"/>
    <w:rsid w:val="000803C6"/>
    <w:rsid w:val="00081112"/>
    <w:rsid w:val="00084130"/>
    <w:rsid w:val="00094274"/>
    <w:rsid w:val="000A33FA"/>
    <w:rsid w:val="00106E84"/>
    <w:rsid w:val="00111CEA"/>
    <w:rsid w:val="001147DD"/>
    <w:rsid w:val="00116841"/>
    <w:rsid w:val="00126DB9"/>
    <w:rsid w:val="00130F1C"/>
    <w:rsid w:val="00150E3A"/>
    <w:rsid w:val="00154355"/>
    <w:rsid w:val="00166B4E"/>
    <w:rsid w:val="00174B99"/>
    <w:rsid w:val="001A034C"/>
    <w:rsid w:val="001B741F"/>
    <w:rsid w:val="001D5C55"/>
    <w:rsid w:val="00201159"/>
    <w:rsid w:val="002134EE"/>
    <w:rsid w:val="00220710"/>
    <w:rsid w:val="002271A7"/>
    <w:rsid w:val="00227F86"/>
    <w:rsid w:val="00237BBE"/>
    <w:rsid w:val="00250A11"/>
    <w:rsid w:val="0025459B"/>
    <w:rsid w:val="00255064"/>
    <w:rsid w:val="00271040"/>
    <w:rsid w:val="002760FE"/>
    <w:rsid w:val="002925C6"/>
    <w:rsid w:val="002A1D4D"/>
    <w:rsid w:val="002F07CD"/>
    <w:rsid w:val="0030290C"/>
    <w:rsid w:val="003323DE"/>
    <w:rsid w:val="00340E35"/>
    <w:rsid w:val="003429D9"/>
    <w:rsid w:val="003503FB"/>
    <w:rsid w:val="00354F2C"/>
    <w:rsid w:val="00364043"/>
    <w:rsid w:val="00365E5C"/>
    <w:rsid w:val="00370776"/>
    <w:rsid w:val="00387FA5"/>
    <w:rsid w:val="003A1604"/>
    <w:rsid w:val="003A3F78"/>
    <w:rsid w:val="003B4385"/>
    <w:rsid w:val="003B4763"/>
    <w:rsid w:val="003C1BC5"/>
    <w:rsid w:val="003E2D45"/>
    <w:rsid w:val="00404F80"/>
    <w:rsid w:val="00416411"/>
    <w:rsid w:val="00416511"/>
    <w:rsid w:val="00416DB6"/>
    <w:rsid w:val="004204C0"/>
    <w:rsid w:val="00425816"/>
    <w:rsid w:val="0044104D"/>
    <w:rsid w:val="004444FB"/>
    <w:rsid w:val="00444E9B"/>
    <w:rsid w:val="00445119"/>
    <w:rsid w:val="004452E3"/>
    <w:rsid w:val="004565F5"/>
    <w:rsid w:val="0047015C"/>
    <w:rsid w:val="00476347"/>
    <w:rsid w:val="00497284"/>
    <w:rsid w:val="00497F02"/>
    <w:rsid w:val="004A24FD"/>
    <w:rsid w:val="004C5076"/>
    <w:rsid w:val="00510BFC"/>
    <w:rsid w:val="00526C2E"/>
    <w:rsid w:val="00531920"/>
    <w:rsid w:val="00534496"/>
    <w:rsid w:val="00551BF1"/>
    <w:rsid w:val="00551DE7"/>
    <w:rsid w:val="005541D2"/>
    <w:rsid w:val="00554BD7"/>
    <w:rsid w:val="00563A42"/>
    <w:rsid w:val="00570439"/>
    <w:rsid w:val="00586175"/>
    <w:rsid w:val="005B3EEB"/>
    <w:rsid w:val="005B59A2"/>
    <w:rsid w:val="005C15D7"/>
    <w:rsid w:val="005D0DD3"/>
    <w:rsid w:val="00603A0F"/>
    <w:rsid w:val="0061602B"/>
    <w:rsid w:val="00621A5B"/>
    <w:rsid w:val="00652CC6"/>
    <w:rsid w:val="00664E35"/>
    <w:rsid w:val="00671F34"/>
    <w:rsid w:val="006823B5"/>
    <w:rsid w:val="00690360"/>
    <w:rsid w:val="006A157D"/>
    <w:rsid w:val="006B1712"/>
    <w:rsid w:val="006C0680"/>
    <w:rsid w:val="006E5858"/>
    <w:rsid w:val="00706063"/>
    <w:rsid w:val="00722A17"/>
    <w:rsid w:val="00723273"/>
    <w:rsid w:val="00736C3A"/>
    <w:rsid w:val="00751CA4"/>
    <w:rsid w:val="007655CB"/>
    <w:rsid w:val="007671B1"/>
    <w:rsid w:val="00771BBC"/>
    <w:rsid w:val="007750A4"/>
    <w:rsid w:val="0078635D"/>
    <w:rsid w:val="007910B5"/>
    <w:rsid w:val="007B071A"/>
    <w:rsid w:val="007C20E3"/>
    <w:rsid w:val="007C75AA"/>
    <w:rsid w:val="007D573C"/>
    <w:rsid w:val="007E397B"/>
    <w:rsid w:val="007E4F79"/>
    <w:rsid w:val="007F03F3"/>
    <w:rsid w:val="007F57A7"/>
    <w:rsid w:val="00801367"/>
    <w:rsid w:val="0080202A"/>
    <w:rsid w:val="008137F3"/>
    <w:rsid w:val="008207F5"/>
    <w:rsid w:val="008253FE"/>
    <w:rsid w:val="00827B92"/>
    <w:rsid w:val="00837A0C"/>
    <w:rsid w:val="00874AE3"/>
    <w:rsid w:val="008932FD"/>
    <w:rsid w:val="008A55EE"/>
    <w:rsid w:val="008D0E5F"/>
    <w:rsid w:val="008D55D4"/>
    <w:rsid w:val="008D77FA"/>
    <w:rsid w:val="0090537F"/>
    <w:rsid w:val="00907473"/>
    <w:rsid w:val="009149D9"/>
    <w:rsid w:val="009214B4"/>
    <w:rsid w:val="0094529F"/>
    <w:rsid w:val="00964308"/>
    <w:rsid w:val="009766C6"/>
    <w:rsid w:val="0098496E"/>
    <w:rsid w:val="009933B9"/>
    <w:rsid w:val="00995108"/>
    <w:rsid w:val="009A41C3"/>
    <w:rsid w:val="009B6D93"/>
    <w:rsid w:val="009C1506"/>
    <w:rsid w:val="009C5285"/>
    <w:rsid w:val="009E0192"/>
    <w:rsid w:val="009E09CE"/>
    <w:rsid w:val="00A00C83"/>
    <w:rsid w:val="00A0176E"/>
    <w:rsid w:val="00A16270"/>
    <w:rsid w:val="00A1739A"/>
    <w:rsid w:val="00A200F7"/>
    <w:rsid w:val="00A20700"/>
    <w:rsid w:val="00A24DA6"/>
    <w:rsid w:val="00A41D95"/>
    <w:rsid w:val="00A42CA1"/>
    <w:rsid w:val="00A458FC"/>
    <w:rsid w:val="00A51328"/>
    <w:rsid w:val="00A82D89"/>
    <w:rsid w:val="00A8394B"/>
    <w:rsid w:val="00A8484F"/>
    <w:rsid w:val="00A9474A"/>
    <w:rsid w:val="00AA26BF"/>
    <w:rsid w:val="00AA32C2"/>
    <w:rsid w:val="00AA6BA0"/>
    <w:rsid w:val="00AD05D8"/>
    <w:rsid w:val="00AD628A"/>
    <w:rsid w:val="00AD67FA"/>
    <w:rsid w:val="00AE07C6"/>
    <w:rsid w:val="00B102B8"/>
    <w:rsid w:val="00B111A0"/>
    <w:rsid w:val="00B37AA9"/>
    <w:rsid w:val="00B8332B"/>
    <w:rsid w:val="00B874F9"/>
    <w:rsid w:val="00B9321E"/>
    <w:rsid w:val="00BB068C"/>
    <w:rsid w:val="00BB096C"/>
    <w:rsid w:val="00BB4490"/>
    <w:rsid w:val="00BB5E28"/>
    <w:rsid w:val="00BD148D"/>
    <w:rsid w:val="00BE1B08"/>
    <w:rsid w:val="00BE307E"/>
    <w:rsid w:val="00BF3EFD"/>
    <w:rsid w:val="00BF426F"/>
    <w:rsid w:val="00C008A7"/>
    <w:rsid w:val="00C11745"/>
    <w:rsid w:val="00C17C22"/>
    <w:rsid w:val="00C17DFB"/>
    <w:rsid w:val="00C267DE"/>
    <w:rsid w:val="00C46454"/>
    <w:rsid w:val="00C619B7"/>
    <w:rsid w:val="00C632CF"/>
    <w:rsid w:val="00C8038E"/>
    <w:rsid w:val="00C9360E"/>
    <w:rsid w:val="00CA357F"/>
    <w:rsid w:val="00CB3101"/>
    <w:rsid w:val="00CF0343"/>
    <w:rsid w:val="00D175AE"/>
    <w:rsid w:val="00D44893"/>
    <w:rsid w:val="00D45CB3"/>
    <w:rsid w:val="00D51E4A"/>
    <w:rsid w:val="00D74526"/>
    <w:rsid w:val="00D92046"/>
    <w:rsid w:val="00DB1242"/>
    <w:rsid w:val="00DB5EE3"/>
    <w:rsid w:val="00DC581C"/>
    <w:rsid w:val="00DC62AC"/>
    <w:rsid w:val="00DC7E3F"/>
    <w:rsid w:val="00DE60AE"/>
    <w:rsid w:val="00DE7C5D"/>
    <w:rsid w:val="00E07CC0"/>
    <w:rsid w:val="00E51193"/>
    <w:rsid w:val="00E53300"/>
    <w:rsid w:val="00E57A38"/>
    <w:rsid w:val="00E766B4"/>
    <w:rsid w:val="00E80C2B"/>
    <w:rsid w:val="00EB12C1"/>
    <w:rsid w:val="00EB27A5"/>
    <w:rsid w:val="00EB7190"/>
    <w:rsid w:val="00EC4065"/>
    <w:rsid w:val="00EC4C37"/>
    <w:rsid w:val="00EE49E4"/>
    <w:rsid w:val="00EE62FE"/>
    <w:rsid w:val="00F038DA"/>
    <w:rsid w:val="00F04032"/>
    <w:rsid w:val="00F27F88"/>
    <w:rsid w:val="00F34593"/>
    <w:rsid w:val="00F40521"/>
    <w:rsid w:val="00F43444"/>
    <w:rsid w:val="00F46129"/>
    <w:rsid w:val="00F46311"/>
    <w:rsid w:val="00F6448B"/>
    <w:rsid w:val="00F93A74"/>
    <w:rsid w:val="00FA22FF"/>
    <w:rsid w:val="00FA4EA4"/>
    <w:rsid w:val="00FB2D1E"/>
    <w:rsid w:val="00FC09F0"/>
    <w:rsid w:val="00FC23DB"/>
    <w:rsid w:val="00FC36A1"/>
    <w:rsid w:val="00FC499C"/>
    <w:rsid w:val="03D15EBF"/>
    <w:rsid w:val="0566711C"/>
    <w:rsid w:val="06E42523"/>
    <w:rsid w:val="0EFF99E7"/>
    <w:rsid w:val="12B411D4"/>
    <w:rsid w:val="1BDAA7FA"/>
    <w:rsid w:val="1C5007ED"/>
    <w:rsid w:val="1F716D8C"/>
    <w:rsid w:val="1FABD396"/>
    <w:rsid w:val="1FBB9236"/>
    <w:rsid w:val="211F77D0"/>
    <w:rsid w:val="2BE7ECB0"/>
    <w:rsid w:val="2E57B940"/>
    <w:rsid w:val="2EBF3250"/>
    <w:rsid w:val="339208E7"/>
    <w:rsid w:val="373E7503"/>
    <w:rsid w:val="378F4D1C"/>
    <w:rsid w:val="399F9E7D"/>
    <w:rsid w:val="3A485400"/>
    <w:rsid w:val="3B0350DF"/>
    <w:rsid w:val="3C221C81"/>
    <w:rsid w:val="3E5EA31E"/>
    <w:rsid w:val="3EDFDC16"/>
    <w:rsid w:val="3F7DAD7D"/>
    <w:rsid w:val="3F9F4A1E"/>
    <w:rsid w:val="3FBFEFF6"/>
    <w:rsid w:val="3FDEFBA1"/>
    <w:rsid w:val="403F5EA3"/>
    <w:rsid w:val="456A0921"/>
    <w:rsid w:val="467035DF"/>
    <w:rsid w:val="4ACE40A4"/>
    <w:rsid w:val="4F33E61C"/>
    <w:rsid w:val="50162A39"/>
    <w:rsid w:val="530F7C6E"/>
    <w:rsid w:val="5358EF10"/>
    <w:rsid w:val="53F66896"/>
    <w:rsid w:val="54DF3CE9"/>
    <w:rsid w:val="55014487"/>
    <w:rsid w:val="568B017C"/>
    <w:rsid w:val="58EF8AD3"/>
    <w:rsid w:val="5AB71FAB"/>
    <w:rsid w:val="5B9BB1E1"/>
    <w:rsid w:val="5BED775E"/>
    <w:rsid w:val="5EF90BBF"/>
    <w:rsid w:val="5FF787D6"/>
    <w:rsid w:val="61543928"/>
    <w:rsid w:val="61A916F1"/>
    <w:rsid w:val="61F71A53"/>
    <w:rsid w:val="623E413D"/>
    <w:rsid w:val="62B64D4D"/>
    <w:rsid w:val="63A36A05"/>
    <w:rsid w:val="65181CEF"/>
    <w:rsid w:val="65CBB8CA"/>
    <w:rsid w:val="675CFF8B"/>
    <w:rsid w:val="6978A393"/>
    <w:rsid w:val="698E7CB8"/>
    <w:rsid w:val="69DF5FF2"/>
    <w:rsid w:val="6BC970A2"/>
    <w:rsid w:val="6BDFB4E9"/>
    <w:rsid w:val="6CEC5571"/>
    <w:rsid w:val="6EF490B9"/>
    <w:rsid w:val="6F8723C9"/>
    <w:rsid w:val="737704DF"/>
    <w:rsid w:val="73EF74B4"/>
    <w:rsid w:val="75DFBBAF"/>
    <w:rsid w:val="76607052"/>
    <w:rsid w:val="76CA7F18"/>
    <w:rsid w:val="76FFAA5B"/>
    <w:rsid w:val="77DECC4B"/>
    <w:rsid w:val="7ACA96DC"/>
    <w:rsid w:val="7C3A3560"/>
    <w:rsid w:val="7C5B1420"/>
    <w:rsid w:val="7CDDEF6B"/>
    <w:rsid w:val="7CEF4AFE"/>
    <w:rsid w:val="7CFC6A5B"/>
    <w:rsid w:val="7DBA8029"/>
    <w:rsid w:val="7DE5A15B"/>
    <w:rsid w:val="7DEC2F26"/>
    <w:rsid w:val="7DF31C7D"/>
    <w:rsid w:val="7DFF49D4"/>
    <w:rsid w:val="7DFF5043"/>
    <w:rsid w:val="7E44676F"/>
    <w:rsid w:val="7E7BAB2A"/>
    <w:rsid w:val="7EF6E634"/>
    <w:rsid w:val="7EFFEFBD"/>
    <w:rsid w:val="7F097786"/>
    <w:rsid w:val="7F4DF5FB"/>
    <w:rsid w:val="7F5F5BBA"/>
    <w:rsid w:val="7FAEF6C9"/>
    <w:rsid w:val="7FB39FB0"/>
    <w:rsid w:val="7FBD38D5"/>
    <w:rsid w:val="7FCE35CE"/>
    <w:rsid w:val="7FEA80CD"/>
    <w:rsid w:val="7FEB3740"/>
    <w:rsid w:val="7FEF6A97"/>
    <w:rsid w:val="7FEFD4CA"/>
    <w:rsid w:val="7FF9BA14"/>
    <w:rsid w:val="7FFEF9FC"/>
    <w:rsid w:val="8CFF2C07"/>
    <w:rsid w:val="959F7939"/>
    <w:rsid w:val="96F75E24"/>
    <w:rsid w:val="9D83DD98"/>
    <w:rsid w:val="9FDECDAB"/>
    <w:rsid w:val="ABF74491"/>
    <w:rsid w:val="AEDC92E0"/>
    <w:rsid w:val="AFCFC9BD"/>
    <w:rsid w:val="B57A2A76"/>
    <w:rsid w:val="B6E7E6CA"/>
    <w:rsid w:val="B74D901A"/>
    <w:rsid w:val="B77F7426"/>
    <w:rsid w:val="B7F534C2"/>
    <w:rsid w:val="B7FA0F0F"/>
    <w:rsid w:val="B7FA650B"/>
    <w:rsid w:val="BF5BEE5F"/>
    <w:rsid w:val="BF5DE5C0"/>
    <w:rsid w:val="BFEA96F8"/>
    <w:rsid w:val="BFF3182B"/>
    <w:rsid w:val="BFF73E91"/>
    <w:rsid w:val="C3F98513"/>
    <w:rsid w:val="CBDF7767"/>
    <w:rsid w:val="CCFA74BB"/>
    <w:rsid w:val="CFA72577"/>
    <w:rsid w:val="D1F140C7"/>
    <w:rsid w:val="D5CF2006"/>
    <w:rsid w:val="D77F350F"/>
    <w:rsid w:val="DBB0273B"/>
    <w:rsid w:val="DBF5B06D"/>
    <w:rsid w:val="DE5DB51E"/>
    <w:rsid w:val="DE9D2ED1"/>
    <w:rsid w:val="DEFFBE6C"/>
    <w:rsid w:val="DF53F0FD"/>
    <w:rsid w:val="DF7357F2"/>
    <w:rsid w:val="DF7E99AF"/>
    <w:rsid w:val="DF7F7FF9"/>
    <w:rsid w:val="DF9D4D63"/>
    <w:rsid w:val="DF9FA05E"/>
    <w:rsid w:val="DFBDA545"/>
    <w:rsid w:val="DFED2427"/>
    <w:rsid w:val="DFFD74D7"/>
    <w:rsid w:val="E275BFDA"/>
    <w:rsid w:val="E3BBBAB5"/>
    <w:rsid w:val="E6FF1817"/>
    <w:rsid w:val="E78CA073"/>
    <w:rsid w:val="E7FB3964"/>
    <w:rsid w:val="E7FB999C"/>
    <w:rsid w:val="EB5FE3E8"/>
    <w:rsid w:val="EB6F191C"/>
    <w:rsid w:val="EB9E39D5"/>
    <w:rsid w:val="EBCF7286"/>
    <w:rsid w:val="ED722175"/>
    <w:rsid w:val="EDBFA030"/>
    <w:rsid w:val="EDEE4AEB"/>
    <w:rsid w:val="EDFFF79B"/>
    <w:rsid w:val="EE77D3EB"/>
    <w:rsid w:val="EEDF9A07"/>
    <w:rsid w:val="EF3D074A"/>
    <w:rsid w:val="EFF5AC06"/>
    <w:rsid w:val="EFFF3553"/>
    <w:rsid w:val="F4BB08FE"/>
    <w:rsid w:val="F5DF4E80"/>
    <w:rsid w:val="F76F9351"/>
    <w:rsid w:val="F96F3435"/>
    <w:rsid w:val="FBD0E814"/>
    <w:rsid w:val="FBDBD646"/>
    <w:rsid w:val="FBFFF9C5"/>
    <w:rsid w:val="FCDD9F39"/>
    <w:rsid w:val="FDBF0BD5"/>
    <w:rsid w:val="FDD7D140"/>
    <w:rsid w:val="FDDD3617"/>
    <w:rsid w:val="FDED1F3F"/>
    <w:rsid w:val="FDFF1FEB"/>
    <w:rsid w:val="FE6B790E"/>
    <w:rsid w:val="FE7FEA71"/>
    <w:rsid w:val="FEB7A5FA"/>
    <w:rsid w:val="FEC7802F"/>
    <w:rsid w:val="FF176D96"/>
    <w:rsid w:val="FF1F492C"/>
    <w:rsid w:val="FF4F23F2"/>
    <w:rsid w:val="FF5E87D5"/>
    <w:rsid w:val="FF7F88AF"/>
    <w:rsid w:val="FFB71A5D"/>
    <w:rsid w:val="FFBC9409"/>
    <w:rsid w:val="FFDFA435"/>
    <w:rsid w:val="FFEB48C9"/>
    <w:rsid w:val="FFEF2551"/>
    <w:rsid w:val="FFF14924"/>
    <w:rsid w:val="FFFD021A"/>
    <w:rsid w:val="FFFF56B6"/>
    <w:rsid w:val="FFFFE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jc w:val="left"/>
      <w:outlineLvl w:val="1"/>
    </w:pPr>
    <w:rPr>
      <w:rFonts w:hint="eastAsia" w:eastAsia="黑体"/>
      <w:kern w:val="0"/>
      <w:szCs w:val="32"/>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b/>
      <w:bCs/>
      <w:kern w:val="0"/>
      <w:sz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ody Text"/>
    <w:basedOn w:val="1"/>
    <w:unhideWhenUsed/>
    <w:qFormat/>
    <w:uiPriority w:val="99"/>
    <w:pPr>
      <w:spacing w:after="120"/>
    </w:pPr>
  </w:style>
  <w:style w:type="paragraph" w:styleId="6">
    <w:name w:val="Body Text Indent"/>
    <w:basedOn w:val="1"/>
    <w:unhideWhenUsed/>
    <w:qFormat/>
    <w:uiPriority w:val="99"/>
    <w:pPr>
      <w:spacing w:after="120"/>
      <w:ind w:left="420" w:leftChars="200"/>
    </w:pPr>
  </w:style>
  <w:style w:type="paragraph" w:styleId="7">
    <w:name w:val="Balloon Text"/>
    <w:basedOn w:val="1"/>
    <w:link w:val="20"/>
    <w:qFormat/>
    <w:uiPriority w:val="0"/>
    <w:pPr>
      <w:spacing w:line="240" w:lineRule="auto"/>
    </w:pPr>
    <w:rPr>
      <w:sz w:val="18"/>
      <w:szCs w:val="18"/>
    </w:rPr>
  </w:style>
  <w:style w:type="paragraph" w:styleId="8">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23"/>
    <w:qFormat/>
    <w:uiPriority w:val="0"/>
    <w:rPr>
      <w:b/>
      <w:bCs/>
    </w:rPr>
  </w:style>
  <w:style w:type="paragraph" w:styleId="12">
    <w:name w:val="Body Text First Indent 2"/>
    <w:basedOn w:val="6"/>
    <w:next w:val="1"/>
    <w:qFormat/>
    <w:uiPriority w:val="0"/>
    <w:pPr>
      <w:spacing w:after="0"/>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批注框文本 Char"/>
    <w:basedOn w:val="15"/>
    <w:link w:val="7"/>
    <w:qFormat/>
    <w:uiPriority w:val="0"/>
    <w:rPr>
      <w:rFonts w:eastAsia="仿宋_GB2312"/>
      <w:spacing w:val="-6"/>
      <w:kern w:val="2"/>
      <w:sz w:val="18"/>
      <w:szCs w:val="18"/>
    </w:rPr>
  </w:style>
  <w:style w:type="paragraph" w:styleId="21">
    <w:name w:val="List Paragraph"/>
    <w:basedOn w:val="1"/>
    <w:unhideWhenUsed/>
    <w:qFormat/>
    <w:uiPriority w:val="99"/>
    <w:pPr>
      <w:ind w:firstLine="420" w:firstLineChars="200"/>
    </w:pPr>
  </w:style>
  <w:style w:type="character" w:customStyle="1" w:styleId="22">
    <w:name w:val="批注文字 Char"/>
    <w:basedOn w:val="15"/>
    <w:link w:val="4"/>
    <w:qFormat/>
    <w:uiPriority w:val="0"/>
    <w:rPr>
      <w:rFonts w:eastAsia="仿宋_GB2312"/>
      <w:spacing w:val="-6"/>
      <w:kern w:val="2"/>
      <w:sz w:val="32"/>
    </w:rPr>
  </w:style>
  <w:style w:type="character" w:customStyle="1" w:styleId="23">
    <w:name w:val="批注主题 Char"/>
    <w:basedOn w:val="22"/>
    <w:link w:val="11"/>
    <w:qFormat/>
    <w:uiPriority w:val="0"/>
    <w:rPr>
      <w:rFonts w:eastAsia="仿宋_GB2312"/>
      <w:b/>
      <w:bCs/>
      <w:spacing w:val="-6"/>
      <w:kern w:val="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贵州省工商行政管理局</Company>
  <Pages>5</Pages>
  <Words>359</Words>
  <Characters>2050</Characters>
  <Lines>17</Lines>
  <Paragraphs>4</Paragraphs>
  <TotalTime>3</TotalTime>
  <ScaleCrop>false</ScaleCrop>
  <LinksUpToDate>false</LinksUpToDate>
  <CharactersWithSpaces>2405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2025-10-12T08:21:00Z</dcterms:created>
  <dc:creator>丹丹</dc:creator>
  <cp:lastModifiedBy>ysgz</cp:lastModifiedBy>
  <cp:lastPrinted>2025-10-16T00:25:00Z</cp:lastPrinted>
  <dcterms:modified xsi:type="dcterms:W3CDTF">2026-02-11T09:51:26Z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8C45056AD5B4484E9E0819972446A235_13</vt:lpwstr>
  </property>
  <property fmtid="{D5CDD505-2E9C-101B-9397-08002B2CF9AE}" pid="4" name="KSOTemplateDocerSaveRecord">
    <vt:lpwstr>eyJoZGlkIjoiMjQ1OTcyZDEzYmViODgwZTU0MWEyMTJiYTM1ZTkzYmIiLCJ1c2VySWQiOiI0ODk3NzM2NzYifQ==</vt:lpwstr>
  </property>
</Properties>
</file>