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A1" w:rsidRPr="00BA5F41" w:rsidRDefault="00D74AA1" w:rsidP="00D74AA1">
      <w:pPr>
        <w:spacing w:line="700" w:lineRule="atLeast"/>
        <w:ind w:right="400"/>
        <w:jc w:val="left"/>
        <w:rPr>
          <w:rFonts w:ascii="黑体" w:eastAsia="黑体" w:hAnsi="黑体" w:cs="FangSong"/>
          <w:bCs/>
          <w:color w:val="000000"/>
          <w:sz w:val="32"/>
          <w:szCs w:val="32"/>
        </w:rPr>
      </w:pPr>
      <w:r w:rsidRPr="00BA5F41">
        <w:rPr>
          <w:rFonts w:ascii="黑体" w:eastAsia="黑体" w:hAnsi="黑体" w:cs="FangSong" w:hint="eastAsia"/>
          <w:bCs/>
          <w:color w:val="000000"/>
          <w:sz w:val="32"/>
          <w:szCs w:val="32"/>
        </w:rPr>
        <w:t>附件3</w:t>
      </w:r>
    </w:p>
    <w:p w:rsidR="00D74AA1" w:rsidRPr="00BA5F41" w:rsidRDefault="00D74AA1" w:rsidP="00D74AA1">
      <w:pPr>
        <w:spacing w:line="700" w:lineRule="atLeast"/>
        <w:ind w:right="403"/>
        <w:jc w:val="center"/>
        <w:rPr>
          <w:rFonts w:ascii="方正小标宋简体" w:eastAsia="方正小标宋简体" w:hAnsi="黑体" w:cs="FangSong"/>
          <w:bCs/>
          <w:color w:val="000000"/>
          <w:sz w:val="32"/>
          <w:szCs w:val="32"/>
        </w:rPr>
      </w:pPr>
      <w:r w:rsidRPr="00BA5F41">
        <w:rPr>
          <w:rFonts w:ascii="方正小标宋简体" w:eastAsia="方正小标宋简体" w:hint="eastAsia"/>
          <w:color w:val="000000"/>
          <w:sz w:val="44"/>
          <w:szCs w:val="44"/>
        </w:rPr>
        <w:t>贵州省市场主体行业分布统计表</w:t>
      </w:r>
    </w:p>
    <w:p w:rsidR="00D74AA1" w:rsidRPr="00BA5F41" w:rsidRDefault="00D74AA1" w:rsidP="00D74AA1">
      <w:pPr>
        <w:spacing w:line="700" w:lineRule="atLeast"/>
        <w:ind w:right="400"/>
        <w:jc w:val="center"/>
        <w:rPr>
          <w:rFonts w:ascii="仿宋" w:eastAsia="仿宋" w:hAnsi="仿宋" w:cs="FangSong" w:hint="eastAsia"/>
          <w:bCs/>
          <w:color w:val="000000"/>
          <w:sz w:val="32"/>
          <w:szCs w:val="32"/>
        </w:rPr>
      </w:pPr>
      <w:r w:rsidRPr="00BA5F41">
        <w:rPr>
          <w:rFonts w:ascii="仿宋" w:eastAsia="仿宋" w:hAnsi="仿宋" w:cs="FangSong" w:hint="eastAsia"/>
          <w:bCs/>
          <w:color w:val="000000"/>
          <w:sz w:val="32"/>
          <w:szCs w:val="32"/>
        </w:rPr>
        <w:t xml:space="preserve">         </w:t>
      </w:r>
      <w:r>
        <w:rPr>
          <w:rFonts w:ascii="仿宋" w:eastAsia="仿宋" w:hAnsi="仿宋" w:cs="FangSong" w:hint="eastAsia"/>
          <w:bCs/>
          <w:color w:val="000000"/>
          <w:sz w:val="32"/>
          <w:szCs w:val="32"/>
        </w:rPr>
        <w:t xml:space="preserve">                         </w:t>
      </w:r>
      <w:r w:rsidRPr="00BA5F41">
        <w:rPr>
          <w:rFonts w:ascii="仿宋" w:eastAsia="仿宋" w:hAnsi="仿宋" w:cs="FangSong" w:hint="eastAsia"/>
          <w:bCs/>
          <w:color w:val="000000"/>
          <w:sz w:val="32"/>
          <w:szCs w:val="32"/>
        </w:rPr>
        <w:t xml:space="preserve"> </w:t>
      </w:r>
      <w:r w:rsidRPr="00BA5F41">
        <w:rPr>
          <w:rFonts w:ascii="仿宋" w:eastAsia="仿宋" w:hAnsi="仿宋" w:cs="FangSong"/>
          <w:bCs/>
          <w:color w:val="000000"/>
          <w:sz w:val="32"/>
          <w:szCs w:val="32"/>
        </w:rPr>
        <w:t>单位：户、亿元</w:t>
      </w:r>
    </w:p>
    <w:tbl>
      <w:tblPr>
        <w:tblpPr w:leftFromText="180" w:rightFromText="180" w:vertAnchor="text" w:horzAnchor="page" w:tblpX="1078" w:tblpY="470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066"/>
        <w:gridCol w:w="981"/>
        <w:gridCol w:w="992"/>
        <w:gridCol w:w="992"/>
        <w:gridCol w:w="1072"/>
        <w:gridCol w:w="1054"/>
        <w:gridCol w:w="993"/>
        <w:gridCol w:w="1134"/>
        <w:tblGridChange w:id="0">
          <w:tblGrid>
            <w:gridCol w:w="2161"/>
            <w:gridCol w:w="1066"/>
            <w:gridCol w:w="981"/>
            <w:gridCol w:w="992"/>
            <w:gridCol w:w="992"/>
            <w:gridCol w:w="1072"/>
            <w:gridCol w:w="1054"/>
            <w:gridCol w:w="993"/>
            <w:gridCol w:w="1134"/>
          </w:tblGrid>
        </w:tblGridChange>
      </w:tblGrid>
      <w:tr w:rsidR="00D74AA1" w:rsidRPr="00BA5F41" w:rsidTr="00541B02">
        <w:trPr>
          <w:trHeight w:val="300"/>
        </w:trPr>
        <w:tc>
          <w:tcPr>
            <w:tcW w:w="2161" w:type="dxa"/>
            <w:vMerge w:val="restart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行业</w:t>
            </w:r>
          </w:p>
        </w:tc>
        <w:tc>
          <w:tcPr>
            <w:tcW w:w="2047" w:type="dxa"/>
            <w:gridSpan w:val="2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总量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>
              <w:rPr>
                <w:rFonts w:ascii="黑体" w:eastAsia="黑体" w:hAnsi="黑体" w:cs="FangSong" w:hint="eastAsia"/>
                <w:color w:val="000000"/>
              </w:rPr>
              <w:t>期末</w:t>
            </w:r>
            <w:r w:rsidRPr="00BA5F41">
              <w:rPr>
                <w:rFonts w:ascii="黑体" w:eastAsia="黑体" w:hAnsi="黑体" w:cs="FangSong" w:hint="eastAsia"/>
                <w:color w:val="000000"/>
              </w:rPr>
              <w:t>实有数占比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>
              <w:rPr>
                <w:rFonts w:ascii="黑体" w:eastAsia="黑体" w:hAnsi="黑体" w:cs="FangSong" w:hint="eastAsia"/>
                <w:color w:val="000000"/>
              </w:rPr>
              <w:t>1月份</w:t>
            </w:r>
            <w:r w:rsidRPr="00BA5F41">
              <w:rPr>
                <w:rFonts w:ascii="黑体" w:eastAsia="黑体" w:hAnsi="黑体" w:cs="FangSong" w:hint="eastAsia"/>
                <w:color w:val="000000"/>
              </w:rPr>
              <w:t>新设立</w:t>
            </w:r>
            <w:r>
              <w:rPr>
                <w:rFonts w:ascii="黑体" w:eastAsia="黑体" w:hAnsi="黑体" w:cs="FangSong" w:hint="eastAsia"/>
                <w:color w:val="000000"/>
              </w:rPr>
              <w:t>数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>
              <w:rPr>
                <w:rFonts w:ascii="黑体" w:eastAsia="黑体" w:hAnsi="黑体" w:cs="FangSong" w:hint="eastAsia"/>
                <w:color w:val="000000"/>
              </w:rPr>
              <w:t>1月份</w:t>
            </w:r>
            <w:r w:rsidRPr="00BA5F41">
              <w:rPr>
                <w:rFonts w:ascii="黑体" w:eastAsia="黑体" w:hAnsi="黑体" w:cs="FangSong" w:hint="eastAsia"/>
                <w:color w:val="000000"/>
              </w:rPr>
              <w:t>新设立数占比</w:t>
            </w:r>
          </w:p>
        </w:tc>
      </w:tr>
      <w:tr w:rsidR="00D74AA1" w:rsidRPr="00BA5F41" w:rsidTr="00541B02">
        <w:trPr>
          <w:trHeight w:val="585"/>
        </w:trPr>
        <w:tc>
          <w:tcPr>
            <w:tcW w:w="2161" w:type="dxa"/>
            <w:vMerge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户数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D74AA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 w:hint="eastAsia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注册</w:t>
            </w:r>
          </w:p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资本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4AA1" w:rsidRDefault="00D74AA1" w:rsidP="00541B02">
            <w:pPr>
              <w:spacing w:line="320" w:lineRule="atLeast"/>
              <w:ind w:firstLineChars="49" w:firstLine="103"/>
              <w:rPr>
                <w:rFonts w:ascii="黑体" w:eastAsia="黑体" w:hAnsi="黑体" w:cs="FangSong" w:hint="eastAsia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注册</w:t>
            </w:r>
          </w:p>
          <w:p w:rsidR="00D74AA1" w:rsidRPr="00BA5F41" w:rsidRDefault="00D74AA1" w:rsidP="00541B02">
            <w:pPr>
              <w:spacing w:line="320" w:lineRule="atLeast"/>
              <w:ind w:firstLineChars="49" w:firstLine="103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资本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户数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注册资本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户数占比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4AA1" w:rsidRPr="00BA5F41" w:rsidRDefault="00D74AA1" w:rsidP="00541B02">
            <w:pPr>
              <w:spacing w:line="320" w:lineRule="atLeast"/>
              <w:jc w:val="center"/>
              <w:rPr>
                <w:rFonts w:ascii="黑体" w:eastAsia="黑体" w:hAnsi="黑体" w:cs="FangSong"/>
                <w:color w:val="000000"/>
              </w:rPr>
            </w:pPr>
            <w:r w:rsidRPr="00BA5F41">
              <w:rPr>
                <w:rFonts w:ascii="黑体" w:eastAsia="黑体" w:hAnsi="黑体" w:cs="FangSong" w:hint="eastAsia"/>
                <w:color w:val="000000"/>
              </w:rPr>
              <w:t>注册资本占比</w:t>
            </w:r>
          </w:p>
        </w:tc>
      </w:tr>
      <w:tr w:rsidR="00D74AA1" w:rsidRPr="00BA5F41" w:rsidTr="00541B02">
        <w:trPr>
          <w:trHeight w:val="337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批发和零售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1567589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9497.45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50.96%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12.75%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15256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74.63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46.37%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10.79%</w:t>
            </w:r>
          </w:p>
        </w:tc>
      </w:tr>
      <w:tr w:rsidR="00D74AA1" w:rsidRPr="00BA5F41" w:rsidTr="00541B02">
        <w:trPr>
          <w:trHeight w:val="175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住宿和餐饮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423936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858.61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13.78%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1.15%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4580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10.01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13.92%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1.45%</w:t>
            </w:r>
          </w:p>
        </w:tc>
      </w:tr>
      <w:tr w:rsidR="00D74AA1" w:rsidRPr="00BA5F41" w:rsidTr="00541B02">
        <w:trPr>
          <w:trHeight w:val="141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居民服务、修理和其他服务业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246642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1136.09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8.02%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1.53%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2649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21.17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8.05%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3.06%</w:t>
            </w:r>
          </w:p>
        </w:tc>
      </w:tr>
      <w:tr w:rsidR="00D74AA1" w:rsidRPr="00BA5F41" w:rsidTr="00541B02">
        <w:trPr>
          <w:trHeight w:val="607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农、林、牧、渔业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240899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4624.84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7.83%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6.21%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2376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35.58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7.22%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5.15%</w:t>
            </w:r>
          </w:p>
        </w:tc>
      </w:tr>
      <w:tr w:rsidR="00D74AA1" w:rsidRPr="00BA5F41" w:rsidTr="00541B02">
        <w:trPr>
          <w:trHeight w:val="585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租赁和商务服务业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129149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21252.5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4.20%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28.53%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2106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99.33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6.40%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14.37%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建筑业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73042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10211.05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2.37%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13.71%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1520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111.45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4.62%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16.12%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制造业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169215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4957.53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5.50%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6.65%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1130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34.35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3.43%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4.97%</w:t>
            </w:r>
          </w:p>
        </w:tc>
      </w:tr>
      <w:tr w:rsidR="00D74AA1" w:rsidRPr="00BA5F41" w:rsidTr="00541B02">
        <w:trPr>
          <w:trHeight w:val="417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交通运输、仓储和邮政业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47970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1401.57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1.56%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1.88%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731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5.87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2.22%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0.85%</w:t>
            </w:r>
          </w:p>
        </w:tc>
      </w:tr>
      <w:tr w:rsidR="00D74AA1" w:rsidRPr="00BA5F41" w:rsidTr="00541B02">
        <w:trPr>
          <w:trHeight w:val="87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信息传输、软件和信息技术服务业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50184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1730.88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1.63%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2.32%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672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29.75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2.04%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4.30%</w:t>
            </w:r>
          </w:p>
        </w:tc>
      </w:tr>
      <w:tr w:rsidR="00D74AA1" w:rsidRPr="00BA5F41" w:rsidTr="00541B02">
        <w:trPr>
          <w:trHeight w:val="393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科学技术研究和技术服务业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27340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2007.31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0.89%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2.69%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643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43.04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1.95%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6.23%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文化、体育和娱乐业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26553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1033.05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0.86%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1.39%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439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9.16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1.33%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1.32%</w:t>
            </w:r>
          </w:p>
        </w:tc>
      </w:tr>
      <w:tr w:rsidR="00D74AA1" w:rsidRPr="00BA5F41" w:rsidTr="00541B02">
        <w:trPr>
          <w:trHeight w:val="502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房地产业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22668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4255.04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0.74%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5.71%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295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56.55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0.90%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8.18%</w:t>
            </w:r>
          </w:p>
        </w:tc>
      </w:tr>
      <w:tr w:rsidR="00D74AA1" w:rsidRPr="00BA5F41" w:rsidTr="00541B02">
        <w:trPr>
          <w:trHeight w:val="585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教育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7340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162.62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0.24%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0.22%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228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11.59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0.69%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1.68%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卫生和社会工作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6996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269.17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0.36%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101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1.23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0.31%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0.18%</w:t>
            </w:r>
          </w:p>
        </w:tc>
      </w:tr>
      <w:tr w:rsidR="00D74AA1" w:rsidRPr="00BA5F41" w:rsidTr="00541B02">
        <w:trPr>
          <w:trHeight w:val="532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水利、环境和公共设施管理业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5485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1628.4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2.19%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57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6.2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0.90%</w:t>
            </w:r>
          </w:p>
        </w:tc>
      </w:tr>
      <w:tr w:rsidR="00D74AA1" w:rsidRPr="00BA5F41" w:rsidTr="00541B02">
        <w:trPr>
          <w:trHeight w:val="314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金融业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9584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4898.98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0.31%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6.58%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41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126.1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18.24%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电力、热力、燃气及水生产和供应业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4767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1553.09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2.08%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39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4.48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0.65%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采矿业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10037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1039.78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0.33%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1.40%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33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8.66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0.10%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1.25%</w:t>
            </w:r>
          </w:p>
        </w:tc>
      </w:tr>
      <w:tr w:rsidR="00D74AA1" w:rsidRPr="00BA5F41" w:rsidTr="00541B02">
        <w:trPr>
          <w:trHeight w:val="300"/>
        </w:trPr>
        <w:tc>
          <w:tcPr>
            <w:tcW w:w="216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仿宋" w:eastAsia="仿宋" w:hAnsi="仿宋" w:cs="FangSong"/>
                <w:color w:val="000000"/>
              </w:rPr>
            </w:pPr>
            <w:r w:rsidRPr="00D95AFD">
              <w:rPr>
                <w:rFonts w:ascii="仿宋" w:eastAsia="仿宋" w:hAnsi="仿宋" w:cs="FangSong" w:hint="eastAsia"/>
                <w:color w:val="000000"/>
              </w:rPr>
              <w:t>其他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6525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247.41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0.33%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000000" w:fill="FFFFFF"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/>
                <w:sz w:val="20"/>
                <w:szCs w:val="20"/>
              </w:rPr>
              <w:t>0.09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0.01%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4AA1" w:rsidRPr="00D95AFD" w:rsidRDefault="00D74AA1" w:rsidP="00541B02">
            <w:pPr>
              <w:jc w:val="center"/>
              <w:rPr>
                <w:rFonts w:ascii="FangSong" w:hAnsi="FangSong" w:cs="FangSong"/>
                <w:sz w:val="20"/>
                <w:szCs w:val="20"/>
              </w:rPr>
            </w:pPr>
            <w:r w:rsidRPr="00D95AFD">
              <w:rPr>
                <w:rFonts w:ascii="FangSong" w:hAnsi="FangSong" w:cs="FangSong" w:hint="eastAsia"/>
                <w:sz w:val="20"/>
                <w:szCs w:val="20"/>
              </w:rPr>
              <w:t>0.01%</w:t>
            </w:r>
          </w:p>
        </w:tc>
      </w:tr>
    </w:tbl>
    <w:p w:rsidR="00663582" w:rsidRDefault="00D74AA1"/>
    <w:sectPr w:rsidR="00663582" w:rsidSect="00FC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AA1"/>
    <w:rsid w:val="00B1528D"/>
    <w:rsid w:val="00C72A55"/>
    <w:rsid w:val="00D74AA1"/>
    <w:rsid w:val="00F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2020-02-26T03:22:00Z</dcterms:created>
  <dcterms:modified xsi:type="dcterms:W3CDTF">2020-02-26T03:23:00Z</dcterms:modified>
</cp:coreProperties>
</file>