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102" w:rsidRDefault="00C47D05">
      <w:pPr>
        <w:jc w:val="center"/>
        <w:rPr>
          <w:rFonts w:ascii="方正小标宋简体" w:eastAsia="方正小标宋简体"/>
          <w:sz w:val="44"/>
          <w:szCs w:val="44"/>
        </w:rPr>
      </w:pPr>
      <w:r>
        <w:rPr>
          <w:rFonts w:ascii="方正小标宋简体" w:eastAsia="方正小标宋简体" w:hint="eastAsia"/>
          <w:sz w:val="44"/>
          <w:szCs w:val="44"/>
        </w:rPr>
        <w:t>食品安全违法案件查处方案</w:t>
      </w:r>
    </w:p>
    <w:p w:rsidR="00446102" w:rsidRDefault="00C47D05">
      <w:pPr>
        <w:ind w:firstLineChars="221" w:firstLine="707"/>
        <w:rPr>
          <w:rFonts w:ascii="仿宋_GB2312" w:eastAsia="仿宋_GB2312"/>
          <w:sz w:val="32"/>
          <w:szCs w:val="32"/>
        </w:rPr>
      </w:pPr>
      <w:r>
        <w:rPr>
          <w:rFonts w:ascii="仿宋_GB2312" w:eastAsia="仿宋_GB2312" w:hint="eastAsia"/>
          <w:sz w:val="32"/>
          <w:szCs w:val="32"/>
        </w:rPr>
        <w:t>为落实国家市场监管总局《2021民生领域案件查办“铁拳”行动方案》</w:t>
      </w:r>
      <w:r w:rsidR="00640A02">
        <w:rPr>
          <w:rFonts w:ascii="仿宋_GB2312" w:eastAsia="仿宋_GB2312" w:hint="eastAsia"/>
          <w:sz w:val="32"/>
          <w:szCs w:val="32"/>
        </w:rPr>
        <w:t>关于</w:t>
      </w:r>
      <w:r>
        <w:rPr>
          <w:rFonts w:ascii="仿宋_GB2312" w:eastAsia="仿宋_GB2312" w:hint="eastAsia"/>
          <w:sz w:val="32"/>
          <w:szCs w:val="32"/>
        </w:rPr>
        <w:t>食品安全违法案件查处工作</w:t>
      </w:r>
      <w:r w:rsidR="00640A02">
        <w:rPr>
          <w:rFonts w:ascii="仿宋_GB2312" w:eastAsia="仿宋_GB2312" w:hint="eastAsia"/>
          <w:sz w:val="32"/>
          <w:szCs w:val="32"/>
        </w:rPr>
        <w:t>的</w:t>
      </w:r>
      <w:r>
        <w:rPr>
          <w:rFonts w:ascii="仿宋_GB2312" w:eastAsia="仿宋_GB2312" w:hint="eastAsia"/>
          <w:sz w:val="32"/>
          <w:szCs w:val="32"/>
        </w:rPr>
        <w:t>部署，结合我省实际制定本工作方案。</w:t>
      </w:r>
    </w:p>
    <w:p w:rsidR="00446102" w:rsidRDefault="00C47D05">
      <w:pPr>
        <w:ind w:firstLineChars="221" w:firstLine="707"/>
        <w:rPr>
          <w:rFonts w:ascii="黑体" w:eastAsia="黑体" w:hAnsi="黑体"/>
          <w:sz w:val="32"/>
          <w:szCs w:val="32"/>
        </w:rPr>
      </w:pPr>
      <w:r>
        <w:rPr>
          <w:rFonts w:ascii="黑体" w:eastAsia="黑体" w:hAnsi="黑体" w:hint="eastAsia"/>
          <w:sz w:val="32"/>
          <w:szCs w:val="32"/>
        </w:rPr>
        <w:t>一、工作重点</w:t>
      </w:r>
    </w:p>
    <w:p w:rsidR="00446102" w:rsidRDefault="00C47D05">
      <w:pPr>
        <w:ind w:firstLineChars="221" w:firstLine="707"/>
        <w:rPr>
          <w:rFonts w:ascii="仿宋_GB2312" w:eastAsia="仿宋_GB2312"/>
          <w:sz w:val="32"/>
          <w:szCs w:val="32"/>
        </w:rPr>
      </w:pPr>
      <w:r>
        <w:rPr>
          <w:rFonts w:ascii="仿宋_GB2312" w:eastAsia="仿宋_GB2312" w:hint="eastAsia"/>
          <w:sz w:val="32"/>
          <w:szCs w:val="32"/>
        </w:rPr>
        <w:t>（一）以食用农产品为重点，严厉查处农兽药残留超标、未按规定抽样检验和快速检测的违规行为；以畜、水产动物肉类及其制品为重点，严厉查处检出“瘦肉精”“孔雀石绿”等禁用兽药的违法行为。以冷链食品为重点，严厉查处生产销售未经检验检疫或检验检疫不合格的肉类及制品违法行为。</w:t>
      </w:r>
    </w:p>
    <w:p w:rsidR="00446102" w:rsidRDefault="00C47D05" w:rsidP="005A68E5">
      <w:pPr>
        <w:ind w:firstLineChars="221" w:firstLine="707"/>
        <w:rPr>
          <w:rFonts w:ascii="仿宋_GB2312" w:eastAsia="仿宋_GB2312"/>
          <w:sz w:val="32"/>
          <w:szCs w:val="32"/>
        </w:rPr>
      </w:pPr>
      <w:r>
        <w:rPr>
          <w:rFonts w:ascii="仿宋_GB2312" w:eastAsia="仿宋_GB2312" w:hint="eastAsia"/>
          <w:sz w:val="32"/>
          <w:szCs w:val="32"/>
        </w:rPr>
        <w:t>（二）聚焦农兽药残留超标、非法添加禁限用物质等高风险指标，组织开展食用农产品、畜产品、水产品、肉及肉制品、冷链食品等重点食品监督抽检，并与监管部门及时互通有关抽检信息。对抽检不合格食品，督促指导属地市场监管部门及时采取下架、封存、召回等风险防控措施，并依法开展核查处置。以粽子、月饼等节令食品为主，组织开展 “端午”、“国庆”、“中秋”等节日期间节令食品监督抽检，并及时发布抽检信息公告，督促指导食品生产经营者落实食品安全主体责任，</w:t>
      </w:r>
      <w:r w:rsidR="005A68E5">
        <w:rPr>
          <w:rFonts w:ascii="仿宋_GB2312" w:eastAsia="仿宋_GB2312" w:hint="eastAsia"/>
          <w:sz w:val="32"/>
          <w:szCs w:val="32"/>
        </w:rPr>
        <w:t>严厉查处食品安全、</w:t>
      </w:r>
      <w:r w:rsidR="005A68E5" w:rsidRPr="005A68E5">
        <w:rPr>
          <w:rFonts w:ascii="仿宋_GB2312" w:eastAsia="仿宋_GB2312" w:hint="eastAsia"/>
          <w:sz w:val="32"/>
          <w:szCs w:val="32"/>
        </w:rPr>
        <w:t>假冒</w:t>
      </w:r>
      <w:r w:rsidR="005A68E5">
        <w:rPr>
          <w:rFonts w:ascii="仿宋_GB2312" w:eastAsia="仿宋_GB2312" w:hint="eastAsia"/>
          <w:sz w:val="32"/>
          <w:szCs w:val="32"/>
        </w:rPr>
        <w:t>伪劣、商标</w:t>
      </w:r>
      <w:r w:rsidR="005A68E5" w:rsidRPr="005A68E5">
        <w:rPr>
          <w:rFonts w:ascii="仿宋_GB2312" w:eastAsia="仿宋_GB2312" w:hint="eastAsia"/>
          <w:sz w:val="32"/>
          <w:szCs w:val="32"/>
        </w:rPr>
        <w:t>侵权</w:t>
      </w:r>
      <w:r w:rsidR="005A68E5">
        <w:rPr>
          <w:rFonts w:ascii="仿宋_GB2312" w:eastAsia="仿宋_GB2312" w:hint="eastAsia"/>
          <w:sz w:val="32"/>
          <w:szCs w:val="32"/>
        </w:rPr>
        <w:t>等违法</w:t>
      </w:r>
      <w:r w:rsidR="005A68E5" w:rsidRPr="005A68E5">
        <w:rPr>
          <w:rFonts w:ascii="仿宋_GB2312" w:eastAsia="仿宋_GB2312" w:hint="eastAsia"/>
          <w:sz w:val="32"/>
          <w:szCs w:val="32"/>
        </w:rPr>
        <w:t>行为</w:t>
      </w:r>
      <w:r w:rsidR="005A68E5">
        <w:rPr>
          <w:rFonts w:ascii="仿宋_GB2312" w:eastAsia="仿宋_GB2312" w:hint="eastAsia"/>
          <w:sz w:val="32"/>
          <w:szCs w:val="32"/>
        </w:rPr>
        <w:t>,</w:t>
      </w:r>
      <w:r>
        <w:rPr>
          <w:rFonts w:ascii="仿宋_GB2312" w:eastAsia="仿宋_GB2312" w:hint="eastAsia"/>
          <w:sz w:val="32"/>
          <w:szCs w:val="32"/>
        </w:rPr>
        <w:t>引导节日消费。</w:t>
      </w:r>
    </w:p>
    <w:p w:rsidR="00446102" w:rsidRDefault="00C47D05">
      <w:pPr>
        <w:ind w:firstLineChars="221" w:firstLine="707"/>
        <w:rPr>
          <w:rFonts w:ascii="仿宋_GB2312" w:eastAsia="仿宋_GB2312"/>
          <w:sz w:val="32"/>
          <w:szCs w:val="32"/>
        </w:rPr>
      </w:pPr>
      <w:r>
        <w:rPr>
          <w:rFonts w:ascii="仿宋_GB2312" w:eastAsia="仿宋_GB2312" w:hint="eastAsia"/>
          <w:sz w:val="32"/>
          <w:szCs w:val="32"/>
        </w:rPr>
        <w:t>（三）以宣称减肥、降糖降脂等功能的食品（包括保健食</w:t>
      </w:r>
      <w:r>
        <w:rPr>
          <w:rFonts w:ascii="仿宋_GB2312" w:eastAsia="仿宋_GB2312" w:hint="eastAsia"/>
          <w:sz w:val="32"/>
          <w:szCs w:val="32"/>
        </w:rPr>
        <w:lastRenderedPageBreak/>
        <w:t>品）为重点，严厉查处非法添加非食用物质和药品、未经许可生产保健食品、不按照批准内容组织生产、非法声称疾病预防治疗功能等违法行为。</w:t>
      </w:r>
    </w:p>
    <w:p w:rsidR="00446102" w:rsidRDefault="00C47D05">
      <w:pPr>
        <w:ind w:firstLineChars="221" w:firstLine="707"/>
        <w:rPr>
          <w:rFonts w:ascii="仿宋_GB2312" w:eastAsia="仿宋_GB2312"/>
          <w:sz w:val="32"/>
          <w:szCs w:val="32"/>
        </w:rPr>
      </w:pPr>
      <w:r>
        <w:rPr>
          <w:rFonts w:ascii="仿宋_GB2312" w:eastAsia="仿宋_GB2312" w:hint="eastAsia"/>
          <w:sz w:val="32"/>
          <w:szCs w:val="32"/>
        </w:rPr>
        <w:t>（四）</w:t>
      </w:r>
      <w:r>
        <w:rPr>
          <w:rFonts w:ascii="仿宋_GB2312" w:eastAsia="仿宋_GB2312" w:cs="仿宋_GB2312"/>
          <w:color w:val="111111"/>
          <w:sz w:val="32"/>
          <w:szCs w:val="32"/>
          <w:shd w:val="clear" w:color="auto" w:fill="FFFFFF"/>
        </w:rPr>
        <w:t>以农贸市场、农批市场、大型超市为重点场所，严厉查处开办者不履行审查入场经营者资质、农产品抽样检测等食品安全</w:t>
      </w:r>
      <w:r>
        <w:rPr>
          <w:rFonts w:ascii="仿宋_GB2312" w:eastAsia="仿宋_GB2312" w:cs="仿宋_GB2312" w:hint="eastAsia"/>
          <w:color w:val="111111"/>
          <w:sz w:val="32"/>
          <w:szCs w:val="32"/>
          <w:shd w:val="clear" w:color="auto" w:fill="FFFFFF"/>
        </w:rPr>
        <w:t>主体</w:t>
      </w:r>
      <w:r>
        <w:rPr>
          <w:rFonts w:ascii="仿宋_GB2312" w:eastAsia="仿宋_GB2312" w:cs="仿宋_GB2312"/>
          <w:color w:val="111111"/>
          <w:sz w:val="32"/>
          <w:szCs w:val="32"/>
          <w:shd w:val="clear" w:color="auto" w:fill="FFFFFF"/>
        </w:rPr>
        <w:t>责任的违法行为</w:t>
      </w:r>
      <w:r>
        <w:rPr>
          <w:rFonts w:ascii="仿宋_GB2312" w:eastAsia="仿宋_GB2312" w:cs="仿宋_GB2312" w:hint="eastAsia"/>
          <w:color w:val="111111"/>
          <w:sz w:val="32"/>
          <w:szCs w:val="32"/>
          <w:shd w:val="clear" w:color="auto" w:fill="FFFFFF"/>
        </w:rPr>
        <w:t>；以药店为重点场所，严厉查处保健食品不设专区销售，产品不标注“保健食品不是药品，不能替代药物治疗疾病”的违法行为。</w:t>
      </w:r>
    </w:p>
    <w:p w:rsidR="00446102" w:rsidRDefault="00C47D05" w:rsidP="00347043">
      <w:pPr>
        <w:ind w:firstLineChars="221" w:firstLine="707"/>
        <w:rPr>
          <w:rFonts w:ascii="仿宋_GB2312" w:eastAsia="仿宋_GB2312"/>
          <w:sz w:val="32"/>
          <w:szCs w:val="32"/>
        </w:rPr>
      </w:pPr>
      <w:r>
        <w:rPr>
          <w:rFonts w:ascii="仿宋_GB2312" w:eastAsia="仿宋_GB2312" w:hint="eastAsia"/>
          <w:sz w:val="32"/>
          <w:szCs w:val="32"/>
        </w:rPr>
        <w:t>（五）以学校、托幼机构和养老机构食堂、学校集体用餐配送单位、中央厨房、涉旅餐饮服务单位等为重点对象，以网红饮品店、凉茶店、蛋糕店等餐饮服务企业、食品生产加工小作坊和食品摊贩、集体用餐单位以及集中交易市场等为重点环节，以山寨食品、冷链食品、直播带货食品等为重点品种，以农村地区、城乡结合部、校园周边为重点地区，组织开展执法检查。</w:t>
      </w:r>
    </w:p>
    <w:p w:rsidR="00446102" w:rsidRDefault="00C47D05">
      <w:pPr>
        <w:ind w:firstLineChars="221" w:firstLine="707"/>
        <w:rPr>
          <w:rFonts w:ascii="黑体" w:eastAsia="黑体" w:hAnsi="黑体"/>
          <w:sz w:val="32"/>
          <w:szCs w:val="32"/>
        </w:rPr>
      </w:pPr>
      <w:r>
        <w:rPr>
          <w:rFonts w:ascii="黑体" w:eastAsia="黑体" w:hAnsi="黑体" w:hint="eastAsia"/>
          <w:sz w:val="32"/>
          <w:szCs w:val="32"/>
        </w:rPr>
        <w:t>二、查处依据</w:t>
      </w:r>
    </w:p>
    <w:p w:rsidR="00446102" w:rsidRDefault="00C47D05">
      <w:pPr>
        <w:ind w:firstLineChars="221" w:firstLine="707"/>
        <w:rPr>
          <w:rFonts w:ascii="仿宋_GB2312" w:eastAsia="仿宋_GB2312"/>
          <w:sz w:val="32"/>
          <w:szCs w:val="32"/>
        </w:rPr>
      </w:pPr>
      <w:r>
        <w:rPr>
          <w:rFonts w:ascii="仿宋_GB2312" w:eastAsia="仿宋_GB2312" w:hint="eastAsia"/>
          <w:sz w:val="32"/>
          <w:szCs w:val="32"/>
        </w:rPr>
        <w:t>（一）《食品安全法》第一百二十三条、第一百二十四条、第一百二十五条。</w:t>
      </w:r>
    </w:p>
    <w:p w:rsidR="00446102" w:rsidRDefault="00C47D05">
      <w:pPr>
        <w:ind w:firstLineChars="221" w:firstLine="707"/>
        <w:rPr>
          <w:rFonts w:ascii="仿宋_GB2312" w:eastAsia="仿宋_GB2312"/>
          <w:sz w:val="32"/>
          <w:szCs w:val="32"/>
        </w:rPr>
      </w:pPr>
      <w:r>
        <w:rPr>
          <w:rFonts w:ascii="仿宋_GB2312" w:eastAsia="仿宋_GB2312" w:hint="eastAsia"/>
          <w:sz w:val="32"/>
          <w:szCs w:val="32"/>
        </w:rPr>
        <w:t>（二）《食用农产品市场销售质量安全监督管理办法》。</w:t>
      </w:r>
    </w:p>
    <w:p w:rsidR="00446102" w:rsidRDefault="00C47D05">
      <w:pPr>
        <w:ind w:firstLineChars="221" w:firstLine="707"/>
        <w:rPr>
          <w:rFonts w:ascii="仿宋_GB2312" w:eastAsia="仿宋_GB2312"/>
          <w:sz w:val="32"/>
          <w:szCs w:val="32"/>
        </w:rPr>
      </w:pPr>
      <w:r>
        <w:rPr>
          <w:rFonts w:ascii="仿宋_GB2312" w:eastAsia="仿宋_GB2312" w:hint="eastAsia"/>
          <w:sz w:val="32"/>
          <w:szCs w:val="32"/>
        </w:rPr>
        <w:t>（三）《食品中可能添加的非食用物质和易滥用的食品添加剂名单》（共6批）。</w:t>
      </w:r>
    </w:p>
    <w:p w:rsidR="00446102" w:rsidRDefault="00C47D05">
      <w:pPr>
        <w:ind w:firstLineChars="221" w:firstLine="707"/>
        <w:rPr>
          <w:rFonts w:ascii="仿宋_GB2312" w:eastAsia="仿宋_GB2312"/>
          <w:sz w:val="32"/>
          <w:szCs w:val="32"/>
        </w:rPr>
      </w:pPr>
      <w:r>
        <w:rPr>
          <w:rFonts w:ascii="仿宋_GB2312" w:eastAsia="仿宋_GB2312" w:hint="eastAsia"/>
          <w:sz w:val="32"/>
          <w:szCs w:val="32"/>
        </w:rPr>
        <w:lastRenderedPageBreak/>
        <w:t>（四）《食品药品监管总局 公安部 最高人民法院 最高人民检察院 国务院食品安全办关于印发&lt;食品药品行政执法与刑事司法衔接工作办法&gt;的通知》（食药监稽〔2015〕271号）。</w:t>
      </w:r>
    </w:p>
    <w:p w:rsidR="00446102" w:rsidRDefault="00C47D05">
      <w:pPr>
        <w:ind w:firstLineChars="221" w:firstLine="707"/>
        <w:rPr>
          <w:rFonts w:ascii="仿宋_GB2312" w:eastAsia="仿宋_GB2312"/>
          <w:sz w:val="32"/>
          <w:szCs w:val="32"/>
        </w:rPr>
      </w:pPr>
      <w:r>
        <w:rPr>
          <w:rFonts w:ascii="仿宋_GB2312" w:eastAsia="仿宋_GB2312" w:hint="eastAsia"/>
          <w:sz w:val="32"/>
          <w:szCs w:val="32"/>
        </w:rPr>
        <w:t>（五）《食品安全法实施条例》第七十五条</w:t>
      </w:r>
      <w:r w:rsidR="00B22C61">
        <w:rPr>
          <w:rFonts w:ascii="仿宋_GB2312" w:eastAsia="仿宋_GB2312" w:hint="eastAsia"/>
          <w:sz w:val="32"/>
          <w:szCs w:val="32"/>
        </w:rPr>
        <w:t>；</w:t>
      </w:r>
      <w:r>
        <w:rPr>
          <w:rFonts w:ascii="仿宋_GB2312" w:eastAsia="仿宋_GB2312" w:hint="eastAsia"/>
          <w:sz w:val="32"/>
          <w:szCs w:val="32"/>
        </w:rPr>
        <w:t>《学校食品安全与营养健康管理规定》第五十四条、第五十五条、第五十六条、第五十七条。</w:t>
      </w:r>
    </w:p>
    <w:p w:rsidR="00446102" w:rsidRDefault="00C47D05">
      <w:pPr>
        <w:ind w:firstLineChars="221" w:firstLine="707"/>
        <w:rPr>
          <w:rFonts w:ascii="仿宋_GB2312" w:eastAsia="仿宋_GB2312"/>
          <w:sz w:val="32"/>
          <w:szCs w:val="32"/>
        </w:rPr>
      </w:pPr>
      <w:r>
        <w:rPr>
          <w:rFonts w:ascii="仿宋_GB2312" w:eastAsia="仿宋_GB2312" w:hint="eastAsia"/>
          <w:sz w:val="32"/>
          <w:szCs w:val="32"/>
        </w:rPr>
        <w:t>（六）《食品生产许可管理办法》（国家市场监督管理总局令第24号）。</w:t>
      </w:r>
    </w:p>
    <w:p w:rsidR="00446102" w:rsidRDefault="00C47D05">
      <w:pPr>
        <w:ind w:firstLineChars="221" w:firstLine="707"/>
        <w:rPr>
          <w:rFonts w:ascii="仿宋_GB2312" w:eastAsia="仿宋_GB2312" w:hint="eastAsia"/>
          <w:sz w:val="32"/>
          <w:szCs w:val="32"/>
        </w:rPr>
      </w:pPr>
      <w:r>
        <w:rPr>
          <w:rFonts w:ascii="仿宋_GB2312" w:eastAsia="仿宋_GB2312" w:hint="eastAsia"/>
          <w:sz w:val="32"/>
          <w:szCs w:val="32"/>
        </w:rPr>
        <w:t>（七）《食品生产经营日常监督检查管理办法》(国家食品药品监督管理总局令第23号)。</w:t>
      </w:r>
    </w:p>
    <w:p w:rsidR="00050C2B" w:rsidRPr="00050C2B" w:rsidRDefault="00050C2B" w:rsidP="00050C2B">
      <w:pPr>
        <w:ind w:firstLineChars="221" w:firstLine="707"/>
        <w:rPr>
          <w:rFonts w:ascii="仿宋_GB2312" w:eastAsia="仿宋_GB2312"/>
          <w:sz w:val="32"/>
          <w:szCs w:val="32"/>
        </w:rPr>
      </w:pPr>
      <w:r w:rsidRPr="00050C2B">
        <w:rPr>
          <w:rFonts w:ascii="仿宋_GB2312" w:eastAsia="仿宋_GB2312" w:hint="eastAsia"/>
          <w:sz w:val="32"/>
          <w:szCs w:val="32"/>
        </w:rPr>
        <w:t>（</w:t>
      </w:r>
      <w:r>
        <w:rPr>
          <w:rFonts w:ascii="仿宋_GB2312" w:eastAsia="仿宋_GB2312" w:hint="eastAsia"/>
          <w:sz w:val="32"/>
          <w:szCs w:val="32"/>
        </w:rPr>
        <w:t>八</w:t>
      </w:r>
      <w:r w:rsidRPr="00050C2B">
        <w:rPr>
          <w:rFonts w:ascii="仿宋_GB2312" w:eastAsia="仿宋_GB2312" w:hint="eastAsia"/>
          <w:sz w:val="32"/>
          <w:szCs w:val="32"/>
        </w:rPr>
        <w:t>）《商标法》第三十二条</w:t>
      </w:r>
      <w:bookmarkStart w:id="0" w:name="_GoBack"/>
      <w:bookmarkEnd w:id="0"/>
      <w:r>
        <w:rPr>
          <w:rFonts w:ascii="仿宋_GB2312" w:eastAsia="仿宋_GB2312" w:hint="eastAsia"/>
          <w:sz w:val="32"/>
          <w:szCs w:val="32"/>
        </w:rPr>
        <w:t>、</w:t>
      </w:r>
      <w:r w:rsidRPr="00050C2B">
        <w:rPr>
          <w:rFonts w:ascii="仿宋_GB2312" w:eastAsia="仿宋_GB2312" w:hint="eastAsia"/>
          <w:sz w:val="32"/>
          <w:szCs w:val="32"/>
        </w:rPr>
        <w:t>第五十七条、第六十条</w:t>
      </w:r>
      <w:r w:rsidRPr="00050C2B">
        <w:rPr>
          <w:rFonts w:ascii="仿宋_GB2312" w:eastAsia="仿宋_GB2312" w:hint="eastAsia"/>
          <w:sz w:val="32"/>
          <w:szCs w:val="32"/>
        </w:rPr>
        <w:t>、第六十八</w:t>
      </w:r>
      <w:r>
        <w:rPr>
          <w:rFonts w:ascii="仿宋_GB2312" w:eastAsia="仿宋_GB2312" w:hint="eastAsia"/>
          <w:sz w:val="32"/>
          <w:szCs w:val="32"/>
        </w:rPr>
        <w:t>；</w:t>
      </w:r>
      <w:r w:rsidRPr="00050C2B">
        <w:rPr>
          <w:rFonts w:ascii="仿宋_GB2312" w:eastAsia="仿宋_GB2312" w:hint="eastAsia"/>
          <w:sz w:val="32"/>
          <w:szCs w:val="32"/>
        </w:rPr>
        <w:t>《商标法实施条例》第七十六条。</w:t>
      </w:r>
    </w:p>
    <w:p w:rsidR="00446102" w:rsidRDefault="00C47D05">
      <w:pPr>
        <w:ind w:firstLineChars="221" w:firstLine="707"/>
        <w:rPr>
          <w:rFonts w:ascii="黑体" w:eastAsia="黑体" w:hAnsi="黑体"/>
          <w:sz w:val="32"/>
          <w:szCs w:val="32"/>
        </w:rPr>
      </w:pPr>
      <w:r>
        <w:rPr>
          <w:rFonts w:ascii="黑体" w:eastAsia="黑体" w:hAnsi="黑体" w:hint="eastAsia"/>
          <w:sz w:val="32"/>
          <w:szCs w:val="32"/>
        </w:rPr>
        <w:t>三、工作要求</w:t>
      </w:r>
    </w:p>
    <w:p w:rsidR="00446102" w:rsidRDefault="00C47D05">
      <w:pPr>
        <w:ind w:firstLineChars="221" w:firstLine="707"/>
        <w:rPr>
          <w:rFonts w:ascii="仿宋_GB2312" w:eastAsia="仿宋_GB2312"/>
          <w:sz w:val="32"/>
          <w:szCs w:val="32"/>
        </w:rPr>
      </w:pPr>
      <w:r>
        <w:rPr>
          <w:rFonts w:ascii="仿宋_GB2312" w:eastAsia="仿宋_GB2312" w:hint="eastAsia"/>
          <w:sz w:val="32"/>
          <w:szCs w:val="32"/>
        </w:rPr>
        <w:t>（一）针对查处重点，对群众举报、日常监管、抽检监测及司法机关移送等渠道发现的线索，深挖细查。对违反《食品安全法实施条例》第七十五条之规定的违法行为，要严格按照“四个最严”要求处罚到个人。</w:t>
      </w:r>
    </w:p>
    <w:p w:rsidR="00446102" w:rsidRDefault="00C47D05">
      <w:pPr>
        <w:ind w:firstLineChars="221" w:firstLine="707"/>
        <w:rPr>
          <w:rFonts w:ascii="仿宋_GB2312" w:eastAsia="仿宋_GB2312"/>
          <w:sz w:val="32"/>
          <w:szCs w:val="32"/>
        </w:rPr>
      </w:pPr>
      <w:r>
        <w:rPr>
          <w:rFonts w:ascii="仿宋_GB2312" w:eastAsia="仿宋_GB2312" w:hint="eastAsia"/>
          <w:sz w:val="32"/>
          <w:szCs w:val="32"/>
        </w:rPr>
        <w:t>（二）现场检查做好预案，票、账、货等相关证据，生产经营仓储场所，运输工具以及违法行为要统筹考虑，及时收集固定证据。</w:t>
      </w:r>
    </w:p>
    <w:p w:rsidR="00446102" w:rsidRDefault="00C47D05">
      <w:pPr>
        <w:ind w:firstLineChars="221" w:firstLine="707"/>
        <w:rPr>
          <w:rFonts w:ascii="仿宋_GB2312" w:eastAsia="仿宋_GB2312"/>
          <w:sz w:val="32"/>
          <w:szCs w:val="32"/>
        </w:rPr>
      </w:pPr>
      <w:r>
        <w:rPr>
          <w:rFonts w:ascii="仿宋_GB2312" w:eastAsia="仿宋_GB2312" w:hint="eastAsia"/>
          <w:sz w:val="32"/>
          <w:szCs w:val="32"/>
        </w:rPr>
        <w:lastRenderedPageBreak/>
        <w:t>（三）加强执法检验，以涉及“农兽药残留超标”“两超一非”和“冷链食品”的常规项目为重点，提高发现、查处违法行为的针对性和靶向性。</w:t>
      </w:r>
    </w:p>
    <w:p w:rsidR="00446102" w:rsidRDefault="00C47D05">
      <w:pPr>
        <w:ind w:firstLineChars="221" w:firstLine="707"/>
        <w:rPr>
          <w:rFonts w:ascii="仿宋_GB2312" w:eastAsia="仿宋_GB2312"/>
          <w:sz w:val="32"/>
          <w:szCs w:val="32"/>
        </w:rPr>
      </w:pPr>
      <w:r>
        <w:rPr>
          <w:rFonts w:ascii="仿宋_GB2312" w:eastAsia="仿宋_GB2312" w:hint="eastAsia"/>
          <w:sz w:val="32"/>
          <w:szCs w:val="32"/>
        </w:rPr>
        <w:t>（四）规范执法行为，严格执行《市场监督管理行政处罚程序暂行规定》（总局令第2号），参考执行《食品安全违法查办指导手册》。</w:t>
      </w:r>
    </w:p>
    <w:p w:rsidR="00446102" w:rsidRDefault="00C47D05">
      <w:pPr>
        <w:ind w:firstLineChars="221" w:firstLine="707"/>
        <w:rPr>
          <w:rFonts w:ascii="黑体" w:eastAsia="黑体" w:hAnsi="黑体"/>
          <w:sz w:val="32"/>
          <w:szCs w:val="32"/>
        </w:rPr>
      </w:pPr>
      <w:r>
        <w:rPr>
          <w:rFonts w:ascii="黑体" w:eastAsia="黑体" w:hAnsi="黑体" w:hint="eastAsia"/>
          <w:sz w:val="32"/>
          <w:szCs w:val="32"/>
        </w:rPr>
        <w:t>四、任务分工</w:t>
      </w:r>
    </w:p>
    <w:p w:rsidR="00446102" w:rsidRDefault="00C47D05">
      <w:pPr>
        <w:ind w:firstLineChars="221" w:firstLine="707"/>
        <w:rPr>
          <w:rFonts w:ascii="仿宋_GB2312" w:eastAsia="仿宋_GB2312" w:hAnsi="黑体"/>
          <w:sz w:val="32"/>
          <w:szCs w:val="32"/>
        </w:rPr>
      </w:pPr>
      <w:r>
        <w:rPr>
          <w:rFonts w:ascii="仿宋_GB2312" w:eastAsia="仿宋_GB2312" w:hAnsi="黑体" w:hint="eastAsia"/>
          <w:sz w:val="32"/>
          <w:szCs w:val="32"/>
        </w:rPr>
        <w:t>执法稽查处负责牵头食品安全违法案件查处工作，食品协调处、食品生产处、食品流通处、餐饮监管处、食盐监管处、食品抽检处、</w:t>
      </w:r>
      <w:r w:rsidR="003C5233">
        <w:rPr>
          <w:rFonts w:ascii="仿宋_GB2312" w:eastAsia="仿宋_GB2312" w:hAnsi="黑体" w:hint="eastAsia"/>
          <w:sz w:val="32"/>
          <w:szCs w:val="32"/>
        </w:rPr>
        <w:t>知识产权保护处、</w:t>
      </w:r>
      <w:r>
        <w:rPr>
          <w:rFonts w:ascii="仿宋_GB2312" w:eastAsia="仿宋_GB2312" w:hAnsi="黑体" w:hint="eastAsia"/>
          <w:sz w:val="32"/>
          <w:szCs w:val="32"/>
        </w:rPr>
        <w:t>信用监管处按职责分工配合。</w:t>
      </w:r>
    </w:p>
    <w:sectPr w:rsidR="00446102">
      <w:headerReference w:type="default" r:id="rId8"/>
      <w:pgSz w:w="11906" w:h="16838"/>
      <w:pgMar w:top="2098" w:right="1474" w:bottom="1985" w:left="1588" w:header="851" w:footer="1418"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63F" w:rsidRDefault="00C4263F">
      <w:r>
        <w:separator/>
      </w:r>
    </w:p>
  </w:endnote>
  <w:endnote w:type="continuationSeparator" w:id="0">
    <w:p w:rsidR="00C4263F" w:rsidRDefault="00C42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63F" w:rsidRDefault="00C4263F">
      <w:r>
        <w:separator/>
      </w:r>
    </w:p>
  </w:footnote>
  <w:footnote w:type="continuationSeparator" w:id="0">
    <w:p w:rsidR="00C4263F" w:rsidRDefault="00C42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102" w:rsidRDefault="00730449">
    <w:pPr>
      <w:pStyle w:val="a4"/>
      <w:jc w:val="both"/>
      <w:rPr>
        <w:rFonts w:ascii="方正小标宋简体" w:eastAsia="方正小标宋简体"/>
        <w:sz w:val="32"/>
        <w:szCs w:val="32"/>
      </w:rPr>
    </w:pPr>
    <w:r>
      <w:rPr>
        <w:rFonts w:ascii="方正小标宋简体" w:eastAsia="方正小标宋简体" w:hint="eastAsia"/>
        <w:sz w:val="32"/>
        <w:szCs w:val="32"/>
      </w:rPr>
      <w:t>附件1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B01"/>
    <w:rsid w:val="00004FBF"/>
    <w:rsid w:val="00043D5E"/>
    <w:rsid w:val="00050C2B"/>
    <w:rsid w:val="000622C8"/>
    <w:rsid w:val="00106D0F"/>
    <w:rsid w:val="00177417"/>
    <w:rsid w:val="001B20CB"/>
    <w:rsid w:val="001C10A1"/>
    <w:rsid w:val="00200FD1"/>
    <w:rsid w:val="002063A3"/>
    <w:rsid w:val="00227456"/>
    <w:rsid w:val="00270DD0"/>
    <w:rsid w:val="002B5860"/>
    <w:rsid w:val="002C53D7"/>
    <w:rsid w:val="00313200"/>
    <w:rsid w:val="00347043"/>
    <w:rsid w:val="003673EB"/>
    <w:rsid w:val="003C5233"/>
    <w:rsid w:val="003E7D61"/>
    <w:rsid w:val="00430E7E"/>
    <w:rsid w:val="00446102"/>
    <w:rsid w:val="00482509"/>
    <w:rsid w:val="004A4302"/>
    <w:rsid w:val="004F15ED"/>
    <w:rsid w:val="00512092"/>
    <w:rsid w:val="00527384"/>
    <w:rsid w:val="00555BB9"/>
    <w:rsid w:val="00563A7A"/>
    <w:rsid w:val="00576568"/>
    <w:rsid w:val="005A584C"/>
    <w:rsid w:val="005A68E5"/>
    <w:rsid w:val="005C4CB4"/>
    <w:rsid w:val="0062679B"/>
    <w:rsid w:val="006370D2"/>
    <w:rsid w:val="00640A02"/>
    <w:rsid w:val="006B7197"/>
    <w:rsid w:val="006D0A1B"/>
    <w:rsid w:val="00730449"/>
    <w:rsid w:val="00760E00"/>
    <w:rsid w:val="007F760D"/>
    <w:rsid w:val="00814B01"/>
    <w:rsid w:val="00887943"/>
    <w:rsid w:val="008C233E"/>
    <w:rsid w:val="008C29F3"/>
    <w:rsid w:val="00902DBA"/>
    <w:rsid w:val="0092631D"/>
    <w:rsid w:val="009435F5"/>
    <w:rsid w:val="00970274"/>
    <w:rsid w:val="00AA031A"/>
    <w:rsid w:val="00AA52CE"/>
    <w:rsid w:val="00AB79D8"/>
    <w:rsid w:val="00AD0489"/>
    <w:rsid w:val="00AE5DBA"/>
    <w:rsid w:val="00B22C61"/>
    <w:rsid w:val="00B75DF5"/>
    <w:rsid w:val="00B80CEA"/>
    <w:rsid w:val="00B94B77"/>
    <w:rsid w:val="00C1087D"/>
    <w:rsid w:val="00C13C80"/>
    <w:rsid w:val="00C4263F"/>
    <w:rsid w:val="00C47D05"/>
    <w:rsid w:val="00CF23B6"/>
    <w:rsid w:val="00D56EEB"/>
    <w:rsid w:val="00D5790B"/>
    <w:rsid w:val="00DC1509"/>
    <w:rsid w:val="00DE0C35"/>
    <w:rsid w:val="00DE52E7"/>
    <w:rsid w:val="00E27166"/>
    <w:rsid w:val="00E6377F"/>
    <w:rsid w:val="00E66787"/>
    <w:rsid w:val="00E960F3"/>
    <w:rsid w:val="00F005BF"/>
    <w:rsid w:val="00F116D7"/>
    <w:rsid w:val="00F43D2D"/>
    <w:rsid w:val="00F8669D"/>
    <w:rsid w:val="00FB486E"/>
    <w:rsid w:val="00FD64C3"/>
    <w:rsid w:val="17AD0E55"/>
    <w:rsid w:val="26064E3C"/>
    <w:rsid w:val="71A96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pPr>
      <w:jc w:val="left"/>
    </w:pPr>
    <w:rPr>
      <w:rFonts w:cs="Times New Roman"/>
      <w:kern w:val="0"/>
      <w:sz w:val="24"/>
    </w:rPr>
  </w:style>
  <w:style w:type="character" w:styleId="a6">
    <w:name w:val="FollowedHyperlink"/>
    <w:basedOn w:val="a0"/>
    <w:uiPriority w:val="99"/>
    <w:unhideWhenUsed/>
    <w:rPr>
      <w:color w:val="800080"/>
      <w:u w:val="none"/>
    </w:rPr>
  </w:style>
  <w:style w:type="character" w:styleId="HTML">
    <w:name w:val="HTML Definition"/>
    <w:basedOn w:val="a0"/>
    <w:uiPriority w:val="99"/>
    <w:unhideWhenUsed/>
  </w:style>
  <w:style w:type="character" w:styleId="HTML0">
    <w:name w:val="HTML Variable"/>
    <w:basedOn w:val="a0"/>
    <w:uiPriority w:val="99"/>
    <w:unhideWhenUsed/>
  </w:style>
  <w:style w:type="character" w:styleId="a7">
    <w:name w:val="Hyperlink"/>
    <w:basedOn w:val="a0"/>
    <w:uiPriority w:val="99"/>
    <w:unhideWhenUsed/>
    <w:rPr>
      <w:color w:val="0000FF"/>
      <w:u w:val="none"/>
    </w:rPr>
  </w:style>
  <w:style w:type="character" w:styleId="HTML1">
    <w:name w:val="HTML Code"/>
    <w:basedOn w:val="a0"/>
    <w:uiPriority w:val="99"/>
    <w:unhideWhenUsed/>
    <w:rPr>
      <w:rFonts w:ascii="Courier New" w:hAnsi="Courier New"/>
      <w:sz w:val="20"/>
      <w:bdr w:val="none" w:sz="0" w:space="0" w:color="auto"/>
    </w:rPr>
  </w:style>
  <w:style w:type="character" w:styleId="HTML2">
    <w:name w:val="HTML Cite"/>
    <w:basedOn w:val="a0"/>
    <w:uiPriority w:val="99"/>
    <w:unhideWhenUsed/>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designclass">
    <w:name w:val="design_class"/>
    <w:basedOn w:val="a0"/>
  </w:style>
  <w:style w:type="character" w:customStyle="1" w:styleId="biggerthanmax">
    <w:name w:val="biggerthanmax"/>
    <w:basedOn w:val="a0"/>
    <w:rPr>
      <w:shd w:val="clear" w:color="auto" w:fill="FFFF00"/>
    </w:rPr>
  </w:style>
  <w:style w:type="character" w:customStyle="1" w:styleId="xdrichtextbox4">
    <w:name w:val="xdrichtextbox4"/>
    <w:basedOn w:val="a0"/>
  </w:style>
  <w:style w:type="character" w:customStyle="1" w:styleId="editclass">
    <w:name w:val="edit_class"/>
    <w:basedOn w:val="a0"/>
  </w:style>
  <w:style w:type="character" w:customStyle="1" w:styleId="active">
    <w:name w:val="active"/>
    <w:basedOn w:val="a0"/>
    <w:rPr>
      <w:shd w:val="clear" w:color="auto" w:fill="EC353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pPr>
      <w:jc w:val="left"/>
    </w:pPr>
    <w:rPr>
      <w:rFonts w:cs="Times New Roman"/>
      <w:kern w:val="0"/>
      <w:sz w:val="24"/>
    </w:rPr>
  </w:style>
  <w:style w:type="character" w:styleId="a6">
    <w:name w:val="FollowedHyperlink"/>
    <w:basedOn w:val="a0"/>
    <w:uiPriority w:val="99"/>
    <w:unhideWhenUsed/>
    <w:rPr>
      <w:color w:val="800080"/>
      <w:u w:val="none"/>
    </w:rPr>
  </w:style>
  <w:style w:type="character" w:styleId="HTML">
    <w:name w:val="HTML Definition"/>
    <w:basedOn w:val="a0"/>
    <w:uiPriority w:val="99"/>
    <w:unhideWhenUsed/>
  </w:style>
  <w:style w:type="character" w:styleId="HTML0">
    <w:name w:val="HTML Variable"/>
    <w:basedOn w:val="a0"/>
    <w:uiPriority w:val="99"/>
    <w:unhideWhenUsed/>
  </w:style>
  <w:style w:type="character" w:styleId="a7">
    <w:name w:val="Hyperlink"/>
    <w:basedOn w:val="a0"/>
    <w:uiPriority w:val="99"/>
    <w:unhideWhenUsed/>
    <w:rPr>
      <w:color w:val="0000FF"/>
      <w:u w:val="none"/>
    </w:rPr>
  </w:style>
  <w:style w:type="character" w:styleId="HTML1">
    <w:name w:val="HTML Code"/>
    <w:basedOn w:val="a0"/>
    <w:uiPriority w:val="99"/>
    <w:unhideWhenUsed/>
    <w:rPr>
      <w:rFonts w:ascii="Courier New" w:hAnsi="Courier New"/>
      <w:sz w:val="20"/>
      <w:bdr w:val="none" w:sz="0" w:space="0" w:color="auto"/>
    </w:rPr>
  </w:style>
  <w:style w:type="character" w:styleId="HTML2">
    <w:name w:val="HTML Cite"/>
    <w:basedOn w:val="a0"/>
    <w:uiPriority w:val="99"/>
    <w:unhideWhenUsed/>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designclass">
    <w:name w:val="design_class"/>
    <w:basedOn w:val="a0"/>
  </w:style>
  <w:style w:type="character" w:customStyle="1" w:styleId="biggerthanmax">
    <w:name w:val="biggerthanmax"/>
    <w:basedOn w:val="a0"/>
    <w:rPr>
      <w:shd w:val="clear" w:color="auto" w:fill="FFFF00"/>
    </w:rPr>
  </w:style>
  <w:style w:type="character" w:customStyle="1" w:styleId="xdrichtextbox4">
    <w:name w:val="xdrichtextbox4"/>
    <w:basedOn w:val="a0"/>
  </w:style>
  <w:style w:type="character" w:customStyle="1" w:styleId="editclass">
    <w:name w:val="edit_class"/>
    <w:basedOn w:val="a0"/>
  </w:style>
  <w:style w:type="character" w:customStyle="1" w:styleId="active">
    <w:name w:val="active"/>
    <w:basedOn w:val="a0"/>
    <w:rPr>
      <w:shd w:val="clear" w:color="auto" w:fill="EC353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237</Words>
  <Characters>1354</Characters>
  <Application>Microsoft Office Word</Application>
  <DocSecurity>0</DocSecurity>
  <Lines>11</Lines>
  <Paragraphs>3</Paragraphs>
  <ScaleCrop>false</ScaleCrop>
  <Company>贵州省工商行政管理局</Company>
  <LinksUpToDate>false</LinksUpToDate>
  <CharactersWithSpaces>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先锋</dc:creator>
  <cp:lastModifiedBy>先锋</cp:lastModifiedBy>
  <cp:revision>26</cp:revision>
  <dcterms:created xsi:type="dcterms:W3CDTF">2021-04-24T02:42:00Z</dcterms:created>
  <dcterms:modified xsi:type="dcterms:W3CDTF">2021-04-29T02:15:00Z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