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23F8" w:rsidRDefault="00796629">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1A23F8" w:rsidRDefault="001A23F8">
      <w:pPr>
        <w:spacing w:line="594" w:lineRule="exact"/>
        <w:jc w:val="center"/>
        <w:rPr>
          <w:rFonts w:ascii="方正小标宋简体" w:eastAsia="方正小标宋简体"/>
          <w:spacing w:val="-12"/>
          <w:sz w:val="44"/>
          <w:szCs w:val="44"/>
        </w:rPr>
      </w:pPr>
    </w:p>
    <w:p w:rsidR="001A23F8" w:rsidRDefault="00796629">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rsidR="001A23F8" w:rsidRDefault="001A23F8">
      <w:pPr>
        <w:spacing w:line="594" w:lineRule="exact"/>
        <w:jc w:val="center"/>
        <w:rPr>
          <w:rFonts w:ascii="方正小标宋简体" w:eastAsia="方正小标宋简体"/>
          <w:spacing w:val="-12"/>
          <w:sz w:val="44"/>
          <w:szCs w:val="44"/>
        </w:rPr>
      </w:pPr>
    </w:p>
    <w:p w:rsidR="001A23F8" w:rsidRDefault="00796629">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一、菌落总数</w:t>
      </w:r>
    </w:p>
    <w:bookmarkEnd w:id="0"/>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熟肉制品》（</w:t>
      </w:r>
      <w:r>
        <w:rPr>
          <w:rFonts w:ascii="Times New Roman" w:eastAsia="仿宋_GB2312" w:hAnsi="Times New Roman"/>
          <w:kern w:val="32"/>
          <w:sz w:val="32"/>
          <w:szCs w:val="32"/>
        </w:rPr>
        <w:t>GB</w:t>
      </w:r>
      <w:r>
        <w:rPr>
          <w:rFonts w:ascii="Times New Roman" w:eastAsia="仿宋_GB2312" w:hAnsi="Times New Roman" w:hint="eastAsia"/>
          <w:kern w:val="32"/>
          <w:sz w:val="32"/>
          <w:szCs w:val="32"/>
        </w:rPr>
        <w:t xml:space="preserve"> </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26</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规定，熟肉制品（发酵肉制品类除外）中同一批次产品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个样品的菌落总数检测结果均不得超过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5</w:t>
      </w:r>
      <w:r>
        <w:rPr>
          <w:rFonts w:ascii="Times New Roman" w:eastAsia="仿宋_GB2312" w:hAnsi="Times New Roman"/>
          <w:kern w:val="32"/>
          <w:sz w:val="32"/>
          <w:szCs w:val="32"/>
        </w:rPr>
        <w:t>CFU/g</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kern w:val="32"/>
          <w:sz w:val="32"/>
          <w:szCs w:val="32"/>
        </w:rPr>
        <w:t>CFU/g</w:t>
      </w:r>
      <w:r>
        <w:rPr>
          <w:rFonts w:ascii="Times New Roman" w:eastAsia="仿宋_GB2312" w:hAnsi="Times New Roman" w:hint="eastAsia"/>
          <w:kern w:val="32"/>
          <w:sz w:val="32"/>
          <w:szCs w:val="32"/>
        </w:rPr>
        <w:t>。熟肉制品中</w:t>
      </w:r>
      <w:r>
        <w:rPr>
          <w:rFonts w:ascii="Times New Roman" w:eastAsia="仿宋_GB2312" w:hAnsi="Times New Roman"/>
          <w:kern w:val="32"/>
          <w:sz w:val="32"/>
          <w:szCs w:val="32"/>
        </w:rPr>
        <w:t>菌落总数超标</w:t>
      </w:r>
      <w:r>
        <w:rPr>
          <w:rFonts w:ascii="Times New Roman" w:eastAsia="仿宋_GB2312" w:hAnsi="Times New Roman" w:hint="eastAsia"/>
          <w:kern w:val="32"/>
          <w:sz w:val="32"/>
          <w:szCs w:val="32"/>
        </w:rPr>
        <w:t>的原因</w:t>
      </w:r>
      <w:r>
        <w:rPr>
          <w:rFonts w:ascii="Times New Roman" w:eastAsia="仿宋_GB2312" w:hAnsi="Times New Roman"/>
          <w:kern w:val="32"/>
          <w:sz w:val="32"/>
          <w:szCs w:val="32"/>
        </w:rPr>
        <w:t>，可能是企业未按要求严格控制生产加工过程的卫生条件，也可能与产品包装密封不严或储运条件不当等有关。</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w:t>
      </w:r>
      <w:r>
        <w:rPr>
          <w:rFonts w:ascii="Times New Roman" w:eastAsia="黑体" w:hAnsi="Times New Roman" w:hint="eastAsia"/>
          <w:kern w:val="32"/>
          <w:sz w:val="32"/>
          <w:szCs w:val="32"/>
        </w:rPr>
        <w:t>、商业无菌</w:t>
      </w:r>
    </w:p>
    <w:p w:rsidR="001A23F8" w:rsidRDefault="00796629">
      <w:pPr>
        <w:tabs>
          <w:tab w:val="left" w:pos="1094"/>
        </w:tabs>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商业无菌是指经过适度的热杀菌以后，</w:t>
      </w:r>
      <w:proofErr w:type="gramStart"/>
      <w:r>
        <w:rPr>
          <w:rFonts w:ascii="Times New Roman" w:eastAsia="仿宋_GB2312" w:hAnsi="Times New Roman" w:hint="eastAsia"/>
          <w:kern w:val="32"/>
          <w:sz w:val="32"/>
          <w:szCs w:val="32"/>
        </w:rPr>
        <w:t>不</w:t>
      </w:r>
      <w:proofErr w:type="gramEnd"/>
      <w:r>
        <w:rPr>
          <w:rFonts w:ascii="Times New Roman" w:eastAsia="仿宋_GB2312" w:hAnsi="Times New Roman" w:hint="eastAsia"/>
          <w:kern w:val="32"/>
          <w:sz w:val="32"/>
          <w:szCs w:val="32"/>
        </w:rPr>
        <w:t>含有致病的微生物，也</w:t>
      </w:r>
      <w:proofErr w:type="gramStart"/>
      <w:r>
        <w:rPr>
          <w:rFonts w:ascii="Times New Roman" w:eastAsia="仿宋_GB2312" w:hAnsi="Times New Roman" w:hint="eastAsia"/>
          <w:kern w:val="32"/>
          <w:sz w:val="32"/>
          <w:szCs w:val="32"/>
        </w:rPr>
        <w:t>不</w:t>
      </w:r>
      <w:proofErr w:type="gramEnd"/>
      <w:r>
        <w:rPr>
          <w:rFonts w:ascii="Times New Roman" w:eastAsia="仿宋_GB2312" w:hAnsi="Times New Roman" w:hint="eastAsia"/>
          <w:kern w:val="32"/>
          <w:sz w:val="32"/>
          <w:szCs w:val="32"/>
        </w:rPr>
        <w:t>含有通常温度下能在其中繁殖的非致病性微生物。《粽子》（</w:t>
      </w:r>
      <w:r>
        <w:rPr>
          <w:rFonts w:ascii="Times New Roman" w:eastAsia="仿宋_GB2312" w:hAnsi="Times New Roman" w:hint="eastAsia"/>
          <w:kern w:val="32"/>
          <w:sz w:val="32"/>
          <w:szCs w:val="32"/>
        </w:rPr>
        <w:t xml:space="preserve">SB/T </w:t>
      </w:r>
      <w:r>
        <w:rPr>
          <w:rFonts w:ascii="Times New Roman" w:eastAsia="仿宋_GB2312" w:hAnsi="Times New Roman" w:hint="eastAsia"/>
          <w:kern w:val="32"/>
          <w:sz w:val="32"/>
          <w:szCs w:val="32"/>
        </w:rPr>
        <w:t>10377</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2004</w:t>
      </w:r>
      <w:r>
        <w:rPr>
          <w:rFonts w:ascii="Times New Roman" w:eastAsia="仿宋_GB2312" w:hAnsi="Times New Roman" w:hint="eastAsia"/>
          <w:kern w:val="32"/>
          <w:sz w:val="32"/>
          <w:szCs w:val="32"/>
        </w:rPr>
        <w:t>）中规定，真空包装类粽子应符合罐头食品商业无菌要求。真空包装类粽子中商业无菌不合格的原因，可能是产品杀菌处理不够彻底，导致有部分致病微生物残留，或者产品存储、运输条件控制不当导致被微生物污染。商业无菌不合格可能会导致食品腐败变质，破坏食品的色、香、味，影响人体的身体健康。</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lastRenderedPageBreak/>
        <w:t>三</w:t>
      </w:r>
      <w:r>
        <w:rPr>
          <w:rFonts w:ascii="Times New Roman" w:eastAsia="黑体" w:hAnsi="Times New Roman" w:hint="eastAsia"/>
          <w:kern w:val="32"/>
          <w:sz w:val="32"/>
          <w:szCs w:val="32"/>
        </w:rPr>
        <w:t>、呋喃</w:t>
      </w:r>
      <w:proofErr w:type="gramStart"/>
      <w:r>
        <w:rPr>
          <w:rFonts w:ascii="Times New Roman" w:eastAsia="黑体" w:hAnsi="Times New Roman" w:hint="eastAsia"/>
          <w:kern w:val="32"/>
          <w:sz w:val="32"/>
          <w:szCs w:val="32"/>
        </w:rPr>
        <w:t>唑</w:t>
      </w:r>
      <w:proofErr w:type="gramEnd"/>
      <w:r>
        <w:rPr>
          <w:rFonts w:ascii="Times New Roman" w:eastAsia="黑体" w:hAnsi="Times New Roman" w:hint="eastAsia"/>
          <w:kern w:val="32"/>
          <w:sz w:val="32"/>
          <w:szCs w:val="32"/>
        </w:rPr>
        <w:t>酮代谢物</w:t>
      </w:r>
    </w:p>
    <w:p w:rsidR="001A23F8" w:rsidRDefault="00796629">
      <w:pPr>
        <w:spacing w:line="594" w:lineRule="exact"/>
        <w:ind w:firstLine="645"/>
        <w:rPr>
          <w:rFonts w:ascii="Times New Roman" w:eastAsia="仿宋_GB2312" w:hAnsi="Times New Roman"/>
          <w:kern w:val="32"/>
          <w:sz w:val="32"/>
          <w:szCs w:val="32"/>
        </w:rPr>
      </w:pPr>
      <w:r>
        <w:rPr>
          <w:rFonts w:ascii="Times New Roman" w:eastAsia="仿宋_GB2312" w:hAnsi="Times New Roman" w:hint="eastAsia"/>
          <w:kern w:val="32"/>
          <w:sz w:val="32"/>
          <w:szCs w:val="32"/>
        </w:rPr>
        <w:t>呋喃</w:t>
      </w:r>
      <w:proofErr w:type="gramStart"/>
      <w:r>
        <w:rPr>
          <w:rFonts w:ascii="Times New Roman" w:eastAsia="仿宋_GB2312" w:hAnsi="Times New Roman" w:hint="eastAsia"/>
          <w:kern w:val="32"/>
          <w:sz w:val="32"/>
          <w:szCs w:val="32"/>
        </w:rPr>
        <w:t>唑</w:t>
      </w:r>
      <w:proofErr w:type="gramEnd"/>
      <w:r>
        <w:rPr>
          <w:rFonts w:ascii="Times New Roman" w:eastAsia="仿宋_GB2312" w:hAnsi="Times New Roman" w:hint="eastAsia"/>
          <w:kern w:val="32"/>
          <w:sz w:val="32"/>
          <w:szCs w:val="32"/>
        </w:rPr>
        <w:t>酮是硝基呋喃类抗生素，对大多数革兰氏阳性菌和革兰氏阴性菌、真菌和原虫等病原体均有杀灭作用。硝基呋喃类药物在生物体内能迅速代谢，和蛋白质稳定结合，故常利用代谢物的检测来反应硝基呋喃类药物的残留状</w:t>
      </w:r>
      <w:r>
        <w:rPr>
          <w:rFonts w:ascii="Times New Roman" w:eastAsia="仿宋_GB2312" w:hAnsi="Times New Roman" w:hint="eastAsia"/>
          <w:kern w:val="32"/>
          <w:sz w:val="32"/>
          <w:szCs w:val="32"/>
        </w:rPr>
        <w:t>况。《食品动物中禁止使用的药品及其他化合物清单》（农业农村部公告第</w:t>
      </w:r>
      <w:r>
        <w:rPr>
          <w:rFonts w:ascii="Times New Roman" w:eastAsia="仿宋_GB2312" w:hAnsi="Times New Roman" w:hint="eastAsia"/>
          <w:kern w:val="32"/>
          <w:sz w:val="32"/>
          <w:szCs w:val="32"/>
        </w:rPr>
        <w:t>250</w:t>
      </w:r>
      <w:r>
        <w:rPr>
          <w:rFonts w:ascii="Times New Roman" w:eastAsia="仿宋_GB2312" w:hAnsi="Times New Roman" w:hint="eastAsia"/>
          <w:kern w:val="32"/>
          <w:sz w:val="32"/>
          <w:szCs w:val="32"/>
        </w:rPr>
        <w:t>号）中规定，硝基呋喃类为禁止使用的药物，在动物性食品中不得检出。牛蛙中检出呋喃</w:t>
      </w:r>
      <w:proofErr w:type="gramStart"/>
      <w:r>
        <w:rPr>
          <w:rFonts w:ascii="Times New Roman" w:eastAsia="仿宋_GB2312" w:hAnsi="Times New Roman" w:hint="eastAsia"/>
          <w:kern w:val="32"/>
          <w:sz w:val="32"/>
          <w:szCs w:val="32"/>
        </w:rPr>
        <w:t>唑</w:t>
      </w:r>
      <w:proofErr w:type="gramEnd"/>
      <w:r>
        <w:rPr>
          <w:rFonts w:ascii="Times New Roman" w:eastAsia="仿宋_GB2312" w:hAnsi="Times New Roman" w:hint="eastAsia"/>
          <w:kern w:val="32"/>
          <w:sz w:val="32"/>
          <w:szCs w:val="32"/>
        </w:rPr>
        <w:t>酮代谢物的原因，可能是养殖户为治疗动物疾病而违规使用；或是养殖户对禁用兽药了解不够，从而违规使用。硝基呋喃类药物及其代谢物可引起溶血性贫血、多发性神经炎、眼部损害和急性肝坏死等病症而对人类健康造成危害</w:t>
      </w:r>
      <w:r>
        <w:rPr>
          <w:rFonts w:ascii="Times New Roman" w:eastAsia="仿宋_GB2312" w:hAnsi="Times New Roman" w:hint="eastAsia"/>
          <w:kern w:val="32"/>
          <w:sz w:val="32"/>
          <w:szCs w:val="32"/>
        </w:rPr>
        <w:t>。</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w:t>
      </w:r>
      <w:r>
        <w:rPr>
          <w:rFonts w:ascii="Times New Roman" w:eastAsia="黑体" w:hAnsi="Times New Roman" w:hint="eastAsia"/>
          <w:kern w:val="32"/>
          <w:sz w:val="32"/>
          <w:szCs w:val="32"/>
        </w:rPr>
        <w:t>、</w:t>
      </w:r>
      <w:proofErr w:type="gramStart"/>
      <w:r>
        <w:rPr>
          <w:rFonts w:ascii="黑体" w:eastAsia="黑体" w:hAnsi="黑体" w:hint="eastAsia"/>
          <w:kern w:val="32"/>
          <w:sz w:val="32"/>
          <w:szCs w:val="32"/>
        </w:rPr>
        <w:t>恩诺沙</w:t>
      </w:r>
      <w:proofErr w:type="gramEnd"/>
      <w:r>
        <w:rPr>
          <w:rFonts w:ascii="黑体" w:eastAsia="黑体" w:hAnsi="黑体" w:hint="eastAsia"/>
          <w:kern w:val="32"/>
          <w:sz w:val="32"/>
          <w:szCs w:val="32"/>
        </w:rPr>
        <w:t>星</w:t>
      </w:r>
    </w:p>
    <w:p w:rsidR="001A23F8" w:rsidRDefault="00796629">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恩诺沙星属于氟喹</w:t>
      </w:r>
      <w:proofErr w:type="gramEnd"/>
      <w:r>
        <w:rPr>
          <w:rFonts w:ascii="Times New Roman" w:eastAsia="仿宋_GB2312" w:hAnsi="Times New Roman" w:hint="eastAsia"/>
          <w:kern w:val="32"/>
          <w:sz w:val="32"/>
          <w:szCs w:val="32"/>
        </w:rPr>
        <w:t>诺酮类药物，是一类人工合成的广谱抗菌药，用于治疗动物的皮肤感染、呼吸道感染等，是动物专属用药。《食</w:t>
      </w:r>
      <w:r>
        <w:rPr>
          <w:rFonts w:ascii="Times New Roman" w:eastAsia="仿宋_GB2312" w:hAnsi="Times New Roman" w:hint="eastAsia"/>
          <w:kern w:val="32"/>
          <w:sz w:val="32"/>
          <w:szCs w:val="32"/>
        </w:rPr>
        <w:t>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恩诺沙</w:t>
      </w:r>
      <w:proofErr w:type="gramEnd"/>
      <w:r>
        <w:rPr>
          <w:rFonts w:ascii="Times New Roman" w:eastAsia="仿宋_GB2312" w:hAnsi="Times New Roman" w:hint="eastAsia"/>
          <w:kern w:val="32"/>
          <w:sz w:val="32"/>
          <w:szCs w:val="32"/>
        </w:rPr>
        <w:t>星在家禽产蛋期禁用（鸡蛋中不得检出）；</w:t>
      </w:r>
      <w:r>
        <w:rPr>
          <w:rFonts w:ascii="Times New Roman" w:eastAsia="仿宋_GB2312" w:hAnsi="Times New Roman"/>
          <w:kern w:val="32"/>
          <w:sz w:val="32"/>
          <w:szCs w:val="32"/>
        </w:rPr>
        <w:t>在</w:t>
      </w:r>
      <w:r>
        <w:rPr>
          <w:rFonts w:ascii="Times New Roman" w:eastAsia="仿宋_GB2312" w:hAnsi="Times New Roman" w:hint="eastAsia"/>
          <w:kern w:val="32"/>
          <w:sz w:val="32"/>
          <w:szCs w:val="32"/>
        </w:rPr>
        <w:t>其他动物肌肉</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的</w:t>
      </w:r>
      <w:r>
        <w:rPr>
          <w:rFonts w:ascii="Times New Roman" w:eastAsia="仿宋_GB2312" w:hAnsi="Times New Roman"/>
          <w:kern w:val="32"/>
          <w:sz w:val="32"/>
          <w:szCs w:val="32"/>
        </w:rPr>
        <w:t>最大残留限量值为</w:t>
      </w:r>
      <w:r>
        <w:rPr>
          <w:rFonts w:ascii="Times New Roman" w:eastAsia="仿宋_GB2312" w:hAnsi="Times New Roman"/>
          <w:kern w:val="32"/>
          <w:sz w:val="32"/>
          <w:szCs w:val="32"/>
        </w:rPr>
        <w:t>100μg/kg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鸡蛋中检出</w:t>
      </w:r>
      <w:proofErr w:type="gramStart"/>
      <w:r>
        <w:rPr>
          <w:rFonts w:ascii="Times New Roman" w:eastAsia="仿宋_GB2312" w:hAnsi="Times New Roman" w:hint="eastAsia"/>
          <w:kern w:val="32"/>
          <w:sz w:val="32"/>
          <w:szCs w:val="32"/>
        </w:rPr>
        <w:t>恩诺沙</w:t>
      </w:r>
      <w:proofErr w:type="gramEnd"/>
      <w:r>
        <w:rPr>
          <w:rFonts w:ascii="Times New Roman" w:eastAsia="仿宋_GB2312" w:hAnsi="Times New Roman" w:hint="eastAsia"/>
          <w:kern w:val="32"/>
          <w:sz w:val="32"/>
          <w:szCs w:val="32"/>
        </w:rPr>
        <w:t>星的原因，可能是家禽疾病治疗中使用的药物残留积累在体内，进而传递至蛋品中；或是养殖户在家禽产蛋期违规用药所致。牛蛙</w:t>
      </w:r>
      <w:proofErr w:type="gramStart"/>
      <w:r>
        <w:rPr>
          <w:rFonts w:ascii="Times New Roman" w:eastAsia="仿宋_GB2312" w:hAnsi="Times New Roman"/>
          <w:kern w:val="32"/>
          <w:sz w:val="32"/>
          <w:szCs w:val="32"/>
        </w:rPr>
        <w:t>中恩诺沙</w:t>
      </w:r>
      <w:proofErr w:type="gramEnd"/>
      <w:r>
        <w:rPr>
          <w:rFonts w:ascii="Times New Roman" w:eastAsia="仿宋_GB2312" w:hAnsi="Times New Roman"/>
          <w:kern w:val="32"/>
          <w:sz w:val="32"/>
          <w:szCs w:val="32"/>
        </w:rPr>
        <w:t>星残留量超标的原因，可</w:t>
      </w:r>
      <w:r>
        <w:rPr>
          <w:rFonts w:ascii="仿宋_GB2312" w:eastAsia="仿宋_GB2312" w:hAnsi="Times New Roman" w:hint="eastAsia"/>
          <w:kern w:val="32"/>
          <w:sz w:val="32"/>
          <w:szCs w:val="32"/>
        </w:rPr>
        <w:t>能是养殖户在</w:t>
      </w:r>
      <w:r>
        <w:rPr>
          <w:rFonts w:ascii="仿宋_GB2312" w:eastAsia="仿宋_GB2312" w:hint="eastAsia"/>
          <w:kern w:val="32"/>
          <w:sz w:val="32"/>
          <w:szCs w:val="32"/>
        </w:rPr>
        <w:t>牛蛙疾病治疗中</w:t>
      </w:r>
      <w:r>
        <w:rPr>
          <w:rFonts w:ascii="仿宋_GB2312" w:eastAsia="仿宋_GB2312" w:hAnsi="Times New Roman" w:hint="eastAsia"/>
          <w:kern w:val="32"/>
          <w:sz w:val="32"/>
          <w:szCs w:val="32"/>
        </w:rPr>
        <w:t>没有加强用药控制所致。</w:t>
      </w:r>
      <w:r>
        <w:rPr>
          <w:rFonts w:ascii="Times New Roman" w:eastAsia="仿宋_GB2312" w:hAnsi="Times New Roman" w:hint="eastAsia"/>
          <w:kern w:val="32"/>
          <w:sz w:val="32"/>
          <w:szCs w:val="32"/>
        </w:rPr>
        <w:t>长期食用</w:t>
      </w:r>
      <w:proofErr w:type="gramStart"/>
      <w:r>
        <w:rPr>
          <w:rFonts w:ascii="Times New Roman" w:eastAsia="仿宋_GB2312" w:hAnsi="Times New Roman" w:hint="eastAsia"/>
          <w:kern w:val="32"/>
          <w:sz w:val="32"/>
          <w:szCs w:val="32"/>
        </w:rPr>
        <w:t>恩诺沙</w:t>
      </w:r>
      <w:proofErr w:type="gramEnd"/>
      <w:r>
        <w:rPr>
          <w:rFonts w:ascii="Times New Roman" w:eastAsia="仿宋_GB2312" w:hAnsi="Times New Roman" w:hint="eastAsia"/>
          <w:kern w:val="32"/>
          <w:sz w:val="32"/>
          <w:szCs w:val="32"/>
        </w:rPr>
        <w:t>星残留超标的食品，可能会引起轻度胃肠道刺激或不适、头痛、头晕、睡眠不良等症状，过多</w:t>
      </w:r>
      <w:r>
        <w:rPr>
          <w:rFonts w:ascii="Times New Roman" w:eastAsia="仿宋_GB2312" w:hAnsi="Times New Roman" w:hint="eastAsia"/>
          <w:kern w:val="32"/>
          <w:sz w:val="32"/>
          <w:szCs w:val="32"/>
        </w:rPr>
        <w:lastRenderedPageBreak/>
        <w:t>摄入还可能引起肝损害</w:t>
      </w:r>
      <w:r>
        <w:rPr>
          <w:rFonts w:ascii="Times New Roman" w:eastAsia="仿宋_GB2312" w:hAnsi="Times New Roman"/>
          <w:kern w:val="32"/>
          <w:sz w:val="32"/>
          <w:szCs w:val="32"/>
        </w:rPr>
        <w:t>。</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w:t>
      </w:r>
      <w:r>
        <w:rPr>
          <w:rFonts w:ascii="Times New Roman" w:eastAsia="黑体" w:hAnsi="Times New Roman" w:hint="eastAsia"/>
          <w:kern w:val="32"/>
          <w:sz w:val="32"/>
          <w:szCs w:val="32"/>
        </w:rPr>
        <w:t>、</w:t>
      </w:r>
      <w:r>
        <w:rPr>
          <w:rFonts w:ascii="黑体" w:eastAsia="黑体" w:hAnsi="黑体" w:hint="eastAsia"/>
          <w:kern w:val="32"/>
          <w:sz w:val="32"/>
          <w:szCs w:val="32"/>
        </w:rPr>
        <w:t>4-</w:t>
      </w:r>
      <w:r>
        <w:rPr>
          <w:rFonts w:ascii="黑体" w:eastAsia="黑体" w:hAnsi="黑体" w:hint="eastAsia"/>
          <w:kern w:val="32"/>
          <w:sz w:val="32"/>
          <w:szCs w:val="32"/>
        </w:rPr>
        <w:t>氯</w:t>
      </w:r>
      <w:r>
        <w:rPr>
          <w:rFonts w:ascii="黑体" w:eastAsia="黑体" w:hAnsi="黑体" w:hint="eastAsia"/>
          <w:kern w:val="32"/>
          <w:sz w:val="32"/>
          <w:szCs w:val="32"/>
        </w:rPr>
        <w:t>苯氧乙酸钠（以</w:t>
      </w:r>
      <w:r>
        <w:rPr>
          <w:rFonts w:ascii="黑体" w:eastAsia="黑体" w:hAnsi="黑体" w:hint="eastAsia"/>
          <w:kern w:val="32"/>
          <w:sz w:val="32"/>
          <w:szCs w:val="32"/>
        </w:rPr>
        <w:t>4-</w:t>
      </w:r>
      <w:r>
        <w:rPr>
          <w:rFonts w:ascii="黑体" w:eastAsia="黑体" w:hAnsi="黑体" w:hint="eastAsia"/>
          <w:kern w:val="32"/>
          <w:sz w:val="32"/>
          <w:szCs w:val="32"/>
        </w:rPr>
        <w:t>氯苯氧乙酸计）</w:t>
      </w:r>
    </w:p>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4</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氯苯氧乙酸</w:t>
      </w:r>
      <w:proofErr w:type="gramStart"/>
      <w:r>
        <w:rPr>
          <w:rFonts w:ascii="Times New Roman" w:eastAsia="仿宋_GB2312" w:hAnsi="Times New Roman" w:hint="eastAsia"/>
          <w:kern w:val="32"/>
          <w:sz w:val="32"/>
          <w:szCs w:val="32"/>
        </w:rPr>
        <w:t>钠又称防落素</w:t>
      </w:r>
      <w:proofErr w:type="gramEnd"/>
      <w:r>
        <w:rPr>
          <w:rFonts w:ascii="Times New Roman" w:eastAsia="仿宋_GB2312" w:hAnsi="Times New Roman" w:hint="eastAsia"/>
          <w:kern w:val="32"/>
          <w:sz w:val="32"/>
          <w:szCs w:val="32"/>
        </w:rPr>
        <w:t>，是一种多功能植物生长调节剂，主要用于防止落花、落果，抑制豆类生根等。《国家食品药品监督管理总局农业部国家卫生和计划生育委员会关于豆芽生产过程中禁止使用</w:t>
      </w:r>
      <w:r>
        <w:rPr>
          <w:rFonts w:ascii="Times New Roman" w:eastAsia="仿宋_GB2312" w:hAnsi="Times New Roman" w:hint="eastAsia"/>
          <w:kern w:val="32"/>
          <w:sz w:val="32"/>
          <w:szCs w:val="32"/>
        </w:rPr>
        <w:t>6</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苄基腺嘌呤等物质的公告》（</w:t>
      </w:r>
      <w:r>
        <w:rPr>
          <w:rFonts w:ascii="Times New Roman" w:eastAsia="仿宋_GB2312" w:hAnsi="Times New Roman" w:hint="eastAsia"/>
          <w:kern w:val="32"/>
          <w:sz w:val="32"/>
          <w:szCs w:val="32"/>
        </w:rPr>
        <w:t>2015</w:t>
      </w:r>
      <w:r>
        <w:rPr>
          <w:rFonts w:ascii="Times New Roman" w:eastAsia="仿宋_GB2312" w:hAnsi="Times New Roman" w:hint="eastAsia"/>
          <w:kern w:val="32"/>
          <w:sz w:val="32"/>
          <w:szCs w:val="32"/>
        </w:rPr>
        <w:t>年第</w:t>
      </w:r>
      <w:r>
        <w:rPr>
          <w:rFonts w:ascii="Times New Roman" w:eastAsia="仿宋_GB2312" w:hAnsi="Times New Roman" w:hint="eastAsia"/>
          <w:kern w:val="32"/>
          <w:sz w:val="32"/>
          <w:szCs w:val="32"/>
        </w:rPr>
        <w:t>11</w:t>
      </w:r>
      <w:r>
        <w:rPr>
          <w:rFonts w:ascii="Times New Roman" w:eastAsia="仿宋_GB2312" w:hAnsi="Times New Roman" w:hint="eastAsia"/>
          <w:kern w:val="32"/>
          <w:sz w:val="32"/>
          <w:szCs w:val="32"/>
        </w:rPr>
        <w:t>号）中规定，生产者不得在豆芽生产过程中使用</w:t>
      </w:r>
      <w:r>
        <w:rPr>
          <w:rFonts w:ascii="Times New Roman" w:eastAsia="仿宋_GB2312" w:hAnsi="Times New Roman" w:hint="eastAsia"/>
          <w:kern w:val="32"/>
          <w:sz w:val="32"/>
          <w:szCs w:val="32"/>
        </w:rPr>
        <w:t>6</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苄基腺嘌呤、</w:t>
      </w:r>
      <w:r>
        <w:rPr>
          <w:rFonts w:ascii="Times New Roman" w:eastAsia="仿宋_GB2312" w:hAnsi="Times New Roman" w:hint="eastAsia"/>
          <w:kern w:val="32"/>
          <w:sz w:val="32"/>
          <w:szCs w:val="32"/>
        </w:rPr>
        <w:t>4</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氯苯氧乙酸钠、赤霉素等物质，豆芽经营者不得经营含有</w:t>
      </w:r>
      <w:r>
        <w:rPr>
          <w:rFonts w:ascii="Times New Roman" w:eastAsia="仿宋_GB2312" w:hAnsi="Times New Roman" w:hint="eastAsia"/>
          <w:kern w:val="32"/>
          <w:sz w:val="32"/>
          <w:szCs w:val="32"/>
        </w:rPr>
        <w:t>6</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苄基腺嘌呤、</w:t>
      </w:r>
      <w:r>
        <w:rPr>
          <w:rFonts w:ascii="Times New Roman" w:eastAsia="仿宋_GB2312" w:hAnsi="Times New Roman" w:hint="eastAsia"/>
          <w:kern w:val="32"/>
          <w:sz w:val="32"/>
          <w:szCs w:val="32"/>
        </w:rPr>
        <w:t>4</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氯苯氧乙酸钠、赤霉素等物质的豆芽。豆芽中检出</w:t>
      </w:r>
      <w:r>
        <w:rPr>
          <w:rFonts w:ascii="Times New Roman" w:eastAsia="仿宋_GB2312" w:hAnsi="Times New Roman" w:hint="eastAsia"/>
          <w:kern w:val="32"/>
          <w:sz w:val="32"/>
          <w:szCs w:val="32"/>
        </w:rPr>
        <w:t>4</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氯苯氧乙酸钠的原因，可能是生产者为提高豆芽产量，从而违规使用相关农药</w:t>
      </w:r>
      <w:r>
        <w:rPr>
          <w:rFonts w:ascii="Times New Roman" w:eastAsia="仿宋_GB2312" w:hAnsi="Times New Roman"/>
          <w:kern w:val="32"/>
          <w:sz w:val="32"/>
          <w:szCs w:val="32"/>
        </w:rPr>
        <w:t>。</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r>
        <w:rPr>
          <w:rFonts w:ascii="Times New Roman" w:eastAsia="黑体" w:hAnsi="Times New Roman" w:hint="eastAsia"/>
          <w:kern w:val="32"/>
          <w:sz w:val="32"/>
          <w:szCs w:val="32"/>
        </w:rPr>
        <w:t>、毒死</w:t>
      </w:r>
      <w:proofErr w:type="gramStart"/>
      <w:r>
        <w:rPr>
          <w:rFonts w:ascii="Times New Roman" w:eastAsia="黑体" w:hAnsi="Times New Roman" w:hint="eastAsia"/>
          <w:kern w:val="32"/>
          <w:sz w:val="32"/>
          <w:szCs w:val="32"/>
        </w:rPr>
        <w:t>蜱</w:t>
      </w:r>
      <w:proofErr w:type="gramEnd"/>
    </w:p>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，又名氯</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硫磷，目前是全世界使用最广泛的有机磷酸</w:t>
      </w:r>
      <w:proofErr w:type="gramStart"/>
      <w:r>
        <w:rPr>
          <w:rFonts w:ascii="Times New Roman" w:eastAsia="仿宋_GB2312" w:hAnsi="Times New Roman" w:hint="eastAsia"/>
          <w:kern w:val="32"/>
          <w:sz w:val="32"/>
          <w:szCs w:val="32"/>
        </w:rPr>
        <w:t>酯</w:t>
      </w:r>
      <w:proofErr w:type="gramEnd"/>
      <w:r>
        <w:rPr>
          <w:rFonts w:ascii="Times New Roman" w:eastAsia="仿宋_GB2312" w:hAnsi="Times New Roman" w:hint="eastAsia"/>
          <w:kern w:val="32"/>
          <w:sz w:val="32"/>
          <w:szCs w:val="32"/>
        </w:rPr>
        <w:t>杀虫剂之一，具有触杀、胃毒和熏蒸等作用。《食品安全国家标准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）中规定，毒死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在芹菜中的最大残留限量值为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。芹菜中毒死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残留量超标的原因，可能是菜农对使用农药的安全间隔期不了解，从而违规使用农药</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长期食用毒死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残留超标的食品，可能会引起头痛、头昏、无力、呕吐等症状，甚至还可能导致癫痫样抽搐。</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w:t>
      </w:r>
      <w:r>
        <w:rPr>
          <w:rFonts w:ascii="Times New Roman" w:eastAsia="黑体" w:hAnsi="Times New Roman" w:hint="eastAsia"/>
          <w:kern w:val="32"/>
          <w:sz w:val="32"/>
          <w:szCs w:val="32"/>
        </w:rPr>
        <w:t>、</w:t>
      </w:r>
      <w:proofErr w:type="gramStart"/>
      <w:r>
        <w:rPr>
          <w:rFonts w:ascii="Times New Roman" w:eastAsia="黑体" w:hAnsi="Times New Roman" w:hint="eastAsia"/>
          <w:kern w:val="32"/>
          <w:sz w:val="32"/>
          <w:szCs w:val="32"/>
        </w:rPr>
        <w:t>氯氟氰菊酯</w:t>
      </w:r>
      <w:proofErr w:type="gramEnd"/>
      <w:r>
        <w:rPr>
          <w:rFonts w:ascii="Times New Roman" w:eastAsia="黑体" w:hAnsi="Times New Roman" w:hint="eastAsia"/>
          <w:kern w:val="32"/>
          <w:sz w:val="32"/>
          <w:szCs w:val="32"/>
        </w:rPr>
        <w:t>和高效</w:t>
      </w:r>
      <w:proofErr w:type="gramStart"/>
      <w:r>
        <w:rPr>
          <w:rFonts w:ascii="Times New Roman" w:eastAsia="黑体" w:hAnsi="Times New Roman" w:hint="eastAsia"/>
          <w:kern w:val="32"/>
          <w:sz w:val="32"/>
          <w:szCs w:val="32"/>
        </w:rPr>
        <w:t>氯氟氰菊酯</w:t>
      </w:r>
      <w:proofErr w:type="gramEnd"/>
    </w:p>
    <w:p w:rsidR="001A23F8" w:rsidRDefault="00796629">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又叫三氟氯氰菊酯，高效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是其同分异构体</w:t>
      </w:r>
      <w:r>
        <w:rPr>
          <w:rFonts w:ascii="Times New Roman" w:eastAsia="仿宋_GB2312" w:hAnsi="Times New Roman" w:hint="eastAsia"/>
          <w:kern w:val="32"/>
          <w:sz w:val="32"/>
          <w:szCs w:val="32"/>
        </w:rPr>
        <w:t>。</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是中等毒杀虫剂，具有杀虫广谱、高效、速度快、持效期长的特点。《食品安全国家标准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lastRenderedPageBreak/>
        <w:t>（</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在豆类蔬菜中的最大残留限量值为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。豇豆</w:t>
      </w:r>
      <w:r>
        <w:rPr>
          <w:rFonts w:ascii="Times New Roman" w:eastAsia="仿宋_GB2312" w:hAnsi="Times New Roman"/>
          <w:kern w:val="32"/>
          <w:sz w:val="32"/>
          <w:szCs w:val="32"/>
        </w:rPr>
        <w:t>中</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kern w:val="32"/>
          <w:sz w:val="32"/>
          <w:szCs w:val="32"/>
        </w:rPr>
        <w:t>残留量超标的原因，可能是</w:t>
      </w:r>
      <w:r>
        <w:rPr>
          <w:rFonts w:ascii="Times New Roman" w:eastAsia="仿宋_GB2312" w:hAnsi="Times New Roman" w:hint="eastAsia"/>
          <w:kern w:val="32"/>
          <w:sz w:val="32"/>
          <w:szCs w:val="32"/>
        </w:rPr>
        <w:t>种植户</w:t>
      </w:r>
      <w:r>
        <w:rPr>
          <w:rFonts w:ascii="Times New Roman" w:eastAsia="仿宋_GB2312" w:hAnsi="Times New Roman"/>
          <w:kern w:val="32"/>
          <w:sz w:val="32"/>
          <w:szCs w:val="32"/>
        </w:rPr>
        <w:t>为快速控制虫害而违规使用</w:t>
      </w:r>
      <w:r>
        <w:rPr>
          <w:rFonts w:ascii="Times New Roman" w:eastAsia="仿宋_GB2312" w:hAnsi="Times New Roman" w:hint="eastAsia"/>
          <w:kern w:val="32"/>
          <w:sz w:val="32"/>
          <w:szCs w:val="32"/>
        </w:rPr>
        <w:t>。</w:t>
      </w:r>
    </w:p>
    <w:p w:rsidR="001A23F8" w:rsidRDefault="00796629">
      <w:pPr>
        <w:spacing w:line="594" w:lineRule="exact"/>
        <w:ind w:firstLineChars="200" w:firstLine="640"/>
        <w:rPr>
          <w:rFonts w:ascii="Times New Roman" w:eastAsia="黑体" w:hAnsi="Times New Roman"/>
          <w:kern w:val="32"/>
          <w:sz w:val="32"/>
          <w:szCs w:val="32"/>
        </w:rPr>
      </w:pPr>
      <w:bookmarkStart w:id="1" w:name="_Hlk81400969"/>
      <w:r>
        <w:rPr>
          <w:rFonts w:ascii="Times New Roman" w:eastAsia="黑体" w:hAnsi="Times New Roman" w:hint="eastAsia"/>
          <w:kern w:val="32"/>
          <w:sz w:val="32"/>
          <w:szCs w:val="32"/>
        </w:rPr>
        <w:t>八</w:t>
      </w:r>
      <w:r>
        <w:rPr>
          <w:rFonts w:ascii="Times New Roman" w:eastAsia="黑体" w:hAnsi="Times New Roman" w:hint="eastAsia"/>
          <w:kern w:val="32"/>
          <w:sz w:val="32"/>
          <w:szCs w:val="32"/>
        </w:rPr>
        <w:t>、</w:t>
      </w:r>
      <w:proofErr w:type="gramStart"/>
      <w:r>
        <w:rPr>
          <w:rFonts w:ascii="Times New Roman" w:eastAsia="黑体" w:hAnsi="Times New Roman" w:hint="eastAsia"/>
          <w:kern w:val="32"/>
          <w:sz w:val="32"/>
          <w:szCs w:val="32"/>
        </w:rPr>
        <w:t>噻</w:t>
      </w:r>
      <w:proofErr w:type="gramEnd"/>
      <w:r>
        <w:rPr>
          <w:rFonts w:ascii="Times New Roman" w:eastAsia="黑体" w:hAnsi="Times New Roman" w:hint="eastAsia"/>
          <w:kern w:val="32"/>
          <w:sz w:val="32"/>
          <w:szCs w:val="32"/>
        </w:rPr>
        <w:t>虫胺</w:t>
      </w:r>
    </w:p>
    <w:p w:rsidR="001A23F8" w:rsidRDefault="00796629">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虫胺是新烟碱类杀虫剂，是一类高效安全、高选择性的新型杀虫剂，其作用与烟碱乙酰胆碱受体类似，具有触杀、胃毒和内吸活性。《食品安全国家标准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1</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噻虫胺在芹菜</w:t>
      </w:r>
      <w:proofErr w:type="gramEnd"/>
      <w:r>
        <w:rPr>
          <w:rFonts w:ascii="Times New Roman" w:eastAsia="仿宋_GB2312" w:hAnsi="Times New Roman" w:hint="eastAsia"/>
          <w:kern w:val="32"/>
          <w:sz w:val="32"/>
          <w:szCs w:val="32"/>
        </w:rPr>
        <w:t>中的最大残留限量值为</w:t>
      </w:r>
      <w:r>
        <w:rPr>
          <w:rFonts w:ascii="Times New Roman" w:eastAsia="仿宋_GB2312" w:hAnsi="Times New Roman" w:hint="eastAsia"/>
          <w:kern w:val="32"/>
          <w:sz w:val="32"/>
          <w:szCs w:val="32"/>
        </w:rPr>
        <w:t>0.04mg/kg</w:t>
      </w:r>
      <w:r>
        <w:rPr>
          <w:rFonts w:ascii="Times New Roman" w:eastAsia="仿宋_GB2312" w:hAnsi="Times New Roman" w:hint="eastAsia"/>
          <w:kern w:val="32"/>
          <w:sz w:val="32"/>
          <w:szCs w:val="32"/>
        </w:rPr>
        <w:t>。芹菜中</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虫胺残留量超标原因，可能是农户为控制虫害而</w:t>
      </w:r>
      <w:proofErr w:type="gramStart"/>
      <w:r>
        <w:rPr>
          <w:rFonts w:ascii="Times New Roman" w:eastAsia="仿宋_GB2312" w:hAnsi="Times New Roman" w:hint="eastAsia"/>
          <w:kern w:val="32"/>
          <w:sz w:val="32"/>
          <w:szCs w:val="32"/>
        </w:rPr>
        <w:t>违规加大</w:t>
      </w:r>
      <w:proofErr w:type="gramEnd"/>
      <w:r>
        <w:rPr>
          <w:rFonts w:ascii="Times New Roman" w:eastAsia="仿宋_GB2312" w:hAnsi="Times New Roman" w:hint="eastAsia"/>
          <w:kern w:val="32"/>
          <w:sz w:val="32"/>
          <w:szCs w:val="32"/>
        </w:rPr>
        <w:t>用药量所致。少量的农药残留不会引起人体急性中毒，但长期食用</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虫胺残留超标的食品，对人体健康可能有一定影响。</w:t>
      </w:r>
      <w:bookmarkEnd w:id="1"/>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w:t>
      </w:r>
      <w:r>
        <w:rPr>
          <w:rFonts w:ascii="Times New Roman" w:eastAsia="黑体" w:hAnsi="Times New Roman" w:hint="eastAsia"/>
          <w:kern w:val="32"/>
          <w:sz w:val="32"/>
          <w:szCs w:val="32"/>
        </w:rPr>
        <w:t>、</w:t>
      </w:r>
      <w:r>
        <w:rPr>
          <w:rFonts w:ascii="黑体" w:eastAsia="黑体" w:hAnsi="黑体" w:cs="黑体" w:hint="eastAsia"/>
          <w:kern w:val="32"/>
          <w:sz w:val="32"/>
          <w:szCs w:val="32"/>
        </w:rPr>
        <w:t>N-</w:t>
      </w:r>
      <w:r>
        <w:rPr>
          <w:rFonts w:ascii="Times New Roman" w:eastAsia="黑体" w:hAnsi="Times New Roman" w:hint="eastAsia"/>
          <w:kern w:val="32"/>
          <w:sz w:val="32"/>
          <w:szCs w:val="32"/>
        </w:rPr>
        <w:t>二甲基亚硝胺</w:t>
      </w:r>
    </w:p>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二甲基亚硝胺是</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亚硝胺类化合物中的一种。食品中天然存在的</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亚硝胺类化合物含量极微，但其前体物质亚硝酸盐和</w:t>
      </w:r>
      <w:proofErr w:type="gramStart"/>
      <w:r>
        <w:rPr>
          <w:rFonts w:ascii="Times New Roman" w:eastAsia="仿宋_GB2312" w:hAnsi="Times New Roman"/>
          <w:kern w:val="32"/>
          <w:sz w:val="32"/>
          <w:szCs w:val="32"/>
        </w:rPr>
        <w:t>胺类</w:t>
      </w:r>
      <w:proofErr w:type="gramEnd"/>
      <w:r>
        <w:rPr>
          <w:rFonts w:ascii="Times New Roman" w:eastAsia="仿宋_GB2312" w:hAnsi="Times New Roman"/>
          <w:kern w:val="32"/>
          <w:sz w:val="32"/>
          <w:szCs w:val="32"/>
        </w:rPr>
        <w:t>广泛存在于自然界中，在适宜的条件下可以形成</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亚硝胺类化合物。</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二甲基亚硝胺是国际公认的毒性较大的污染物，具有肝毒性和致癌性。《食品安全国家</w:t>
      </w:r>
      <w:r>
        <w:rPr>
          <w:rFonts w:ascii="Times New Roman" w:eastAsia="仿宋_GB2312" w:hAnsi="Times New Roman"/>
          <w:kern w:val="32"/>
          <w:sz w:val="32"/>
          <w:szCs w:val="32"/>
        </w:rPr>
        <w:t>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食品中污染物限量》（</w:t>
      </w:r>
      <w:r>
        <w:rPr>
          <w:rFonts w:ascii="Times New Roman" w:eastAsia="仿宋_GB2312" w:hAnsi="Times New Roman"/>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2017</w:t>
      </w:r>
      <w:r>
        <w:rPr>
          <w:rFonts w:ascii="Times New Roman" w:eastAsia="仿宋_GB2312" w:hAnsi="Times New Roman"/>
          <w:kern w:val="32"/>
          <w:sz w:val="32"/>
          <w:szCs w:val="32"/>
        </w:rPr>
        <w:t>）中规定，</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二甲基亚硝胺</w:t>
      </w:r>
      <w:r>
        <w:rPr>
          <w:rFonts w:ascii="Times New Roman" w:eastAsia="仿宋_GB2312" w:hAnsi="Times New Roman" w:hint="eastAsia"/>
          <w:kern w:val="32"/>
          <w:sz w:val="32"/>
          <w:szCs w:val="32"/>
        </w:rPr>
        <w:t>在干制水产品</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的</w:t>
      </w:r>
      <w:r>
        <w:rPr>
          <w:rFonts w:ascii="Times New Roman" w:eastAsia="仿宋_GB2312" w:hAnsi="Times New Roman"/>
          <w:kern w:val="32"/>
          <w:sz w:val="32"/>
          <w:szCs w:val="32"/>
        </w:rPr>
        <w:t>最大限量值为</w:t>
      </w:r>
      <w:r>
        <w:rPr>
          <w:rFonts w:ascii="Times New Roman" w:eastAsia="仿宋_GB2312" w:hAnsi="Times New Roman"/>
          <w:kern w:val="32"/>
          <w:sz w:val="32"/>
          <w:szCs w:val="32"/>
        </w:rPr>
        <w:t>4.0μg/kg</w:t>
      </w:r>
      <w:r>
        <w:rPr>
          <w:rFonts w:ascii="Times New Roman" w:eastAsia="仿宋_GB2312" w:hAnsi="Times New Roman"/>
          <w:kern w:val="32"/>
          <w:sz w:val="32"/>
          <w:szCs w:val="32"/>
        </w:rPr>
        <w:t>。水产制品中</w:t>
      </w:r>
      <w:r>
        <w:rPr>
          <w:rFonts w:ascii="Times New Roman" w:eastAsia="仿宋_GB2312" w:hAnsi="Times New Roman"/>
          <w:kern w:val="32"/>
          <w:sz w:val="32"/>
          <w:szCs w:val="32"/>
        </w:rPr>
        <w:t>N</w:t>
      </w:r>
      <w:r>
        <w:rPr>
          <w:rFonts w:ascii="仿宋_GB2312" w:eastAsia="仿宋_GB2312" w:hAnsi="Times New Roman" w:hint="eastAsia"/>
          <w:kern w:val="32"/>
          <w:sz w:val="32"/>
          <w:szCs w:val="32"/>
        </w:rPr>
        <w:t>-</w:t>
      </w:r>
      <w:r>
        <w:rPr>
          <w:rFonts w:ascii="Times New Roman" w:eastAsia="仿宋_GB2312" w:hAnsi="Times New Roman"/>
          <w:kern w:val="32"/>
          <w:sz w:val="32"/>
          <w:szCs w:val="32"/>
        </w:rPr>
        <w:t>二甲基亚硝胺</w:t>
      </w:r>
      <w:r>
        <w:rPr>
          <w:rFonts w:ascii="Times New Roman" w:eastAsia="仿宋_GB2312" w:hAnsi="Times New Roman" w:hint="eastAsia"/>
          <w:kern w:val="32"/>
          <w:sz w:val="32"/>
          <w:szCs w:val="32"/>
        </w:rPr>
        <w:t>检测值</w:t>
      </w:r>
      <w:r>
        <w:rPr>
          <w:rFonts w:ascii="Times New Roman" w:eastAsia="仿宋_GB2312" w:hAnsi="Times New Roman"/>
          <w:kern w:val="32"/>
          <w:sz w:val="32"/>
          <w:szCs w:val="32"/>
        </w:rPr>
        <w:t>超标的原因，可能是产品所使用的原料不新鲜，也可能是生产加工过程中卫生条件控制不严格</w:t>
      </w:r>
      <w:r>
        <w:rPr>
          <w:rFonts w:ascii="Times New Roman" w:eastAsia="仿宋_GB2312" w:hAnsi="Times New Roman" w:hint="eastAsia"/>
          <w:kern w:val="32"/>
          <w:sz w:val="32"/>
          <w:szCs w:val="32"/>
        </w:rPr>
        <w:t>。</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lastRenderedPageBreak/>
        <w:t>十</w:t>
      </w:r>
      <w:r>
        <w:rPr>
          <w:rFonts w:ascii="Times New Roman" w:eastAsia="黑体" w:hAnsi="Times New Roman" w:hint="eastAsia"/>
          <w:kern w:val="32"/>
          <w:sz w:val="32"/>
          <w:szCs w:val="32"/>
        </w:rPr>
        <w:t>、镉（以</w:t>
      </w:r>
      <w:r>
        <w:rPr>
          <w:rFonts w:ascii="黑体" w:eastAsia="黑体" w:hAnsi="黑体" w:cs="黑体" w:hint="eastAsia"/>
          <w:kern w:val="32"/>
          <w:sz w:val="32"/>
          <w:szCs w:val="32"/>
        </w:rPr>
        <w:t>Cd</w:t>
      </w:r>
      <w:r>
        <w:rPr>
          <w:rFonts w:ascii="Times New Roman" w:eastAsia="黑体" w:hAnsi="Times New Roman" w:hint="eastAsia"/>
          <w:kern w:val="32"/>
          <w:sz w:val="32"/>
          <w:szCs w:val="32"/>
        </w:rPr>
        <w:t>计）</w:t>
      </w:r>
    </w:p>
    <w:p w:rsidR="001A23F8" w:rsidRDefault="00796629">
      <w:pPr>
        <w:spacing w:line="594" w:lineRule="exact"/>
        <w:ind w:firstLineChars="200" w:firstLine="640"/>
        <w:rPr>
          <w:rFonts w:ascii="仿宋_GB2312" w:eastAsia="仿宋_GB2312" w:hAnsi="仿宋" w:cs="仿宋"/>
          <w:color w:val="000000"/>
          <w:kern w:val="32"/>
          <w:sz w:val="32"/>
          <w:szCs w:val="32"/>
        </w:rPr>
      </w:pPr>
      <w:r>
        <w:rPr>
          <w:rFonts w:ascii="Times New Roman" w:eastAsia="仿宋_GB2312" w:hAnsi="Times New Roman" w:hint="eastAsia"/>
          <w:kern w:val="32"/>
          <w:sz w:val="32"/>
          <w:szCs w:val="32"/>
        </w:rPr>
        <w:t>镉是一种蓄积性的重金属元素。长期食用</w:t>
      </w:r>
      <w:proofErr w:type="gramStart"/>
      <w:r>
        <w:rPr>
          <w:rFonts w:ascii="Times New Roman" w:eastAsia="仿宋_GB2312" w:hAnsi="Times New Roman" w:hint="eastAsia"/>
          <w:kern w:val="32"/>
          <w:sz w:val="32"/>
          <w:szCs w:val="32"/>
        </w:rPr>
        <w:t>镉</w:t>
      </w:r>
      <w:proofErr w:type="gramEnd"/>
      <w:r>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 xml:space="preserve">GB </w:t>
      </w:r>
      <w:r>
        <w:rPr>
          <w:rFonts w:ascii="Times New Roman" w:eastAsia="仿宋_GB2312" w:hAnsi="Times New Roman" w:hint="eastAsia"/>
          <w:kern w:val="32"/>
          <w:sz w:val="32"/>
          <w:szCs w:val="32"/>
        </w:rPr>
        <w:t>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计）在新鲜蔬菜（叶菜蔬菜、豆类蔬菜、块根和块茎蔬菜、茎类蔬菜、黄花菜除外）中的最大限量值为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。辣椒中镉（以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计）检测值超标的原因，主要是</w:t>
      </w:r>
      <w:r>
        <w:rPr>
          <w:rFonts w:ascii="Times New Roman" w:eastAsia="仿宋_GB2312" w:hAnsi="Times New Roman" w:hint="eastAsia"/>
          <w:kern w:val="32"/>
          <w:sz w:val="32"/>
          <w:szCs w:val="32"/>
        </w:rPr>
        <w:t>辣椒</w:t>
      </w:r>
      <w:r>
        <w:rPr>
          <w:rFonts w:ascii="仿宋_GB2312" w:eastAsia="仿宋_GB2312" w:hAnsi="仿宋" w:cs="仿宋" w:hint="eastAsia"/>
          <w:color w:val="000000"/>
          <w:kern w:val="32"/>
          <w:sz w:val="32"/>
          <w:szCs w:val="32"/>
        </w:rPr>
        <w:t>的生长环境被镉污染，</w:t>
      </w:r>
      <w:r>
        <w:rPr>
          <w:rFonts w:ascii="仿宋_GB2312" w:eastAsia="仿宋_GB2312" w:hAnsi="Times New Roman" w:hint="eastAsia"/>
          <w:kern w:val="32"/>
          <w:sz w:val="32"/>
          <w:szCs w:val="32"/>
        </w:rPr>
        <w:t>可能是灌</w:t>
      </w:r>
      <w:r>
        <w:rPr>
          <w:rFonts w:ascii="仿宋_GB2312" w:eastAsia="仿宋_GB2312" w:hAnsi="仿宋" w:cs="仿宋" w:hint="eastAsia"/>
          <w:color w:val="000000"/>
          <w:kern w:val="32"/>
          <w:sz w:val="32"/>
          <w:szCs w:val="32"/>
        </w:rPr>
        <w:t>溉用水、土壤等受到</w:t>
      </w:r>
      <w:proofErr w:type="gramStart"/>
      <w:r>
        <w:rPr>
          <w:rFonts w:ascii="仿宋_GB2312" w:eastAsia="仿宋_GB2312" w:hAnsi="仿宋" w:cs="仿宋" w:hint="eastAsia"/>
          <w:color w:val="000000"/>
          <w:kern w:val="32"/>
          <w:sz w:val="32"/>
          <w:szCs w:val="32"/>
        </w:rPr>
        <w:t>镉</w:t>
      </w:r>
      <w:proofErr w:type="gramEnd"/>
      <w:r>
        <w:rPr>
          <w:rFonts w:ascii="仿宋_GB2312" w:eastAsia="仿宋_GB2312" w:hAnsi="仿宋" w:cs="仿宋" w:hint="eastAsia"/>
          <w:color w:val="000000"/>
          <w:kern w:val="32"/>
          <w:sz w:val="32"/>
          <w:szCs w:val="32"/>
        </w:rPr>
        <w:t>污染，导致辣椒富集了环境中的镉元素。</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w:t>
      </w:r>
      <w:r>
        <w:rPr>
          <w:rFonts w:ascii="Times New Roman" w:eastAsia="黑体" w:hAnsi="Times New Roman" w:hint="eastAsia"/>
          <w:kern w:val="32"/>
          <w:sz w:val="32"/>
          <w:szCs w:val="32"/>
        </w:rPr>
        <w:t>一</w:t>
      </w:r>
      <w:r>
        <w:rPr>
          <w:rFonts w:ascii="Times New Roman" w:eastAsia="黑体" w:hAnsi="Times New Roman" w:hint="eastAsia"/>
          <w:kern w:val="32"/>
          <w:sz w:val="32"/>
          <w:szCs w:val="32"/>
        </w:rPr>
        <w:t>、脱氢乙酸及其钠盐（以脱氢乙酸计）</w:t>
      </w:r>
    </w:p>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米粉制品</w:t>
      </w:r>
      <w:r>
        <w:rPr>
          <w:rFonts w:ascii="Times New Roman" w:eastAsia="仿宋_GB2312" w:hAnsi="Times New Roman"/>
          <w:kern w:val="32"/>
          <w:sz w:val="32"/>
          <w:szCs w:val="32"/>
        </w:rPr>
        <w:t>中不得使用脱氢乙酸及其钠盐。</w:t>
      </w:r>
      <w:r>
        <w:rPr>
          <w:rFonts w:ascii="Times New Roman" w:eastAsia="仿宋_GB2312" w:hAnsi="Times New Roman" w:hint="eastAsia"/>
          <w:kern w:val="32"/>
          <w:sz w:val="32"/>
          <w:szCs w:val="32"/>
        </w:rPr>
        <w:t>米粉制品</w:t>
      </w:r>
      <w:r>
        <w:rPr>
          <w:rFonts w:ascii="Times New Roman" w:eastAsia="仿宋_GB2312" w:hAnsi="Times New Roman"/>
          <w:kern w:val="32"/>
          <w:sz w:val="32"/>
          <w:szCs w:val="32"/>
        </w:rPr>
        <w:t>中检出脱氢乙酸及其钠盐的原因，可能是个别企业为防止食品腐败变质超范围使用了该添加剂。</w:t>
      </w:r>
    </w:p>
    <w:p w:rsidR="001A23F8" w:rsidRDefault="00796629">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w:t>
      </w:r>
      <w:r>
        <w:rPr>
          <w:rFonts w:ascii="Times New Roman" w:eastAsia="黑体" w:hAnsi="Times New Roman" w:hint="eastAsia"/>
          <w:kern w:val="32"/>
          <w:sz w:val="32"/>
          <w:szCs w:val="32"/>
        </w:rPr>
        <w:t>二</w:t>
      </w:r>
      <w:r>
        <w:rPr>
          <w:rFonts w:ascii="Times New Roman" w:eastAsia="黑体" w:hAnsi="Times New Roman" w:hint="eastAsia"/>
          <w:kern w:val="32"/>
          <w:sz w:val="32"/>
          <w:szCs w:val="32"/>
        </w:rPr>
        <w:t>、酸价（以脂肪计）</w:t>
      </w:r>
    </w:p>
    <w:p w:rsidR="001A23F8" w:rsidRDefault="00796629">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）中规定，坚果</w:t>
      </w:r>
      <w:proofErr w:type="gramStart"/>
      <w:r>
        <w:rPr>
          <w:rFonts w:ascii="Times New Roman" w:eastAsia="仿宋_GB2312" w:hAnsi="Times New Roman" w:hint="eastAsia"/>
          <w:kern w:val="32"/>
          <w:sz w:val="32"/>
          <w:szCs w:val="32"/>
        </w:rPr>
        <w:t>与籽类食</w:t>
      </w:r>
      <w:bookmarkStart w:id="2" w:name="_GoBack"/>
      <w:bookmarkEnd w:id="2"/>
      <w:r>
        <w:rPr>
          <w:rFonts w:ascii="Times New Roman" w:eastAsia="仿宋_GB2312" w:hAnsi="Times New Roman" w:hint="eastAsia"/>
          <w:kern w:val="32"/>
          <w:sz w:val="32"/>
          <w:szCs w:val="32"/>
        </w:rPr>
        <w:t>品</w:t>
      </w:r>
      <w:proofErr w:type="gramEnd"/>
      <w:r>
        <w:rPr>
          <w:rFonts w:ascii="Times New Roman" w:eastAsia="仿宋_GB2312" w:hAnsi="Times New Roman" w:hint="eastAsia"/>
          <w:kern w:val="32"/>
          <w:sz w:val="32"/>
          <w:szCs w:val="32"/>
        </w:rPr>
        <w:t>中酸价（以脂肪计）的最大限量</w:t>
      </w:r>
      <w:r>
        <w:rPr>
          <w:rFonts w:ascii="Times New Roman" w:eastAsia="仿宋_GB2312" w:hAnsi="Times New Roman" w:hint="eastAsia"/>
          <w:kern w:val="32"/>
          <w:sz w:val="32"/>
          <w:szCs w:val="32"/>
        </w:rPr>
        <w:lastRenderedPageBreak/>
        <w:t>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。熟制坚果中酸价超标的原因，可能是企业原料采购把关不严、生产工艺不达标、产品储藏条件不当等，特别是存贮温度较高时易导致食品中的脂肪氧化酸败致使酸价超标。</w:t>
      </w:r>
    </w:p>
    <w:sectPr w:rsidR="001A23F8">
      <w:footerReference w:type="default" r:id="rId9"/>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29" w:rsidRDefault="00796629">
      <w:r>
        <w:separator/>
      </w:r>
    </w:p>
  </w:endnote>
  <w:endnote w:type="continuationSeparator" w:id="0">
    <w:p w:rsidR="00796629" w:rsidRDefault="0079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F8" w:rsidRDefault="00796629">
    <w:pPr>
      <w:pStyle w:val="a4"/>
      <w:jc w:val="center"/>
    </w:pPr>
    <w:r>
      <w:fldChar w:fldCharType="begin"/>
    </w:r>
    <w:r>
      <w:instrText>PAGE   \* MERGEFORMAT</w:instrText>
    </w:r>
    <w:r>
      <w:fldChar w:fldCharType="separate"/>
    </w:r>
    <w:r w:rsidR="00071DB2">
      <w:rPr>
        <w:noProof/>
      </w:rPr>
      <w:t>5</w:t>
    </w:r>
    <w:r>
      <w:fldChar w:fldCharType="end"/>
    </w:r>
  </w:p>
  <w:p w:rsidR="001A23F8" w:rsidRDefault="001A23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29" w:rsidRDefault="00796629">
      <w:r>
        <w:separator/>
      </w:r>
    </w:p>
  </w:footnote>
  <w:footnote w:type="continuationSeparator" w:id="0">
    <w:p w:rsidR="00796629" w:rsidRDefault="0079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1DB2"/>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5C2"/>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3F8"/>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3DDD"/>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4E6D"/>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9F6"/>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C03"/>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0E11"/>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2A65"/>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3F0"/>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29"/>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2E8"/>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05F"/>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6D4A"/>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0F4C"/>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2BED"/>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8A03A1"/>
    <w:rsid w:val="01D043D3"/>
    <w:rsid w:val="02A7334D"/>
    <w:rsid w:val="036E3D1C"/>
    <w:rsid w:val="0395734C"/>
    <w:rsid w:val="03C90E3E"/>
    <w:rsid w:val="03F309B7"/>
    <w:rsid w:val="04BB027D"/>
    <w:rsid w:val="05685093"/>
    <w:rsid w:val="05BB228E"/>
    <w:rsid w:val="06001572"/>
    <w:rsid w:val="063C59AC"/>
    <w:rsid w:val="07161B8F"/>
    <w:rsid w:val="07290485"/>
    <w:rsid w:val="072A7A82"/>
    <w:rsid w:val="0869047D"/>
    <w:rsid w:val="08772BA8"/>
    <w:rsid w:val="092D7F56"/>
    <w:rsid w:val="099D0E61"/>
    <w:rsid w:val="09C35B0A"/>
    <w:rsid w:val="0A2209FB"/>
    <w:rsid w:val="0A98545D"/>
    <w:rsid w:val="0B6926B1"/>
    <w:rsid w:val="0C6E071D"/>
    <w:rsid w:val="0C716D3F"/>
    <w:rsid w:val="0C94499E"/>
    <w:rsid w:val="0DAA2D68"/>
    <w:rsid w:val="0E476394"/>
    <w:rsid w:val="0E8D1670"/>
    <w:rsid w:val="0F2C0C95"/>
    <w:rsid w:val="0FB44597"/>
    <w:rsid w:val="10393302"/>
    <w:rsid w:val="10FB564E"/>
    <w:rsid w:val="11B45BAD"/>
    <w:rsid w:val="11EE3AF2"/>
    <w:rsid w:val="11FE532A"/>
    <w:rsid w:val="12661486"/>
    <w:rsid w:val="12DA0A90"/>
    <w:rsid w:val="134A6FCB"/>
    <w:rsid w:val="13974AC9"/>
    <w:rsid w:val="13AB21A5"/>
    <w:rsid w:val="13CE5618"/>
    <w:rsid w:val="145923EB"/>
    <w:rsid w:val="156663F6"/>
    <w:rsid w:val="15F36D2F"/>
    <w:rsid w:val="16AA49A9"/>
    <w:rsid w:val="16D45DCF"/>
    <w:rsid w:val="176D779B"/>
    <w:rsid w:val="184A1BED"/>
    <w:rsid w:val="18890D14"/>
    <w:rsid w:val="19FC23F9"/>
    <w:rsid w:val="1A3F18F0"/>
    <w:rsid w:val="1AA34F29"/>
    <w:rsid w:val="1AA96C13"/>
    <w:rsid w:val="1ADC1765"/>
    <w:rsid w:val="1B7568B4"/>
    <w:rsid w:val="1BCA20D1"/>
    <w:rsid w:val="1BD532EF"/>
    <w:rsid w:val="1DE179B6"/>
    <w:rsid w:val="1F020E4B"/>
    <w:rsid w:val="1F3072AF"/>
    <w:rsid w:val="1F513E20"/>
    <w:rsid w:val="1F985E7B"/>
    <w:rsid w:val="1FB213C3"/>
    <w:rsid w:val="1FBF2B1A"/>
    <w:rsid w:val="20CC0CF3"/>
    <w:rsid w:val="218E535D"/>
    <w:rsid w:val="21F46CA1"/>
    <w:rsid w:val="239E06F7"/>
    <w:rsid w:val="240838C7"/>
    <w:rsid w:val="24197DF6"/>
    <w:rsid w:val="24C832EE"/>
    <w:rsid w:val="24DD5CA2"/>
    <w:rsid w:val="25610581"/>
    <w:rsid w:val="25DF3AA3"/>
    <w:rsid w:val="261400F3"/>
    <w:rsid w:val="2621720A"/>
    <w:rsid w:val="26615E6E"/>
    <w:rsid w:val="27295587"/>
    <w:rsid w:val="273B33CB"/>
    <w:rsid w:val="292E577A"/>
    <w:rsid w:val="295E4FB0"/>
    <w:rsid w:val="2967496D"/>
    <w:rsid w:val="29B86B3B"/>
    <w:rsid w:val="29B945C2"/>
    <w:rsid w:val="2A0D0BA3"/>
    <w:rsid w:val="2AA67B45"/>
    <w:rsid w:val="2AC4732D"/>
    <w:rsid w:val="2B6B3758"/>
    <w:rsid w:val="2C5A0F22"/>
    <w:rsid w:val="2CE53E05"/>
    <w:rsid w:val="2D453A78"/>
    <w:rsid w:val="2D4C45E3"/>
    <w:rsid w:val="2DBB5788"/>
    <w:rsid w:val="2E0250D0"/>
    <w:rsid w:val="2EAA4C99"/>
    <w:rsid w:val="2F3E2451"/>
    <w:rsid w:val="2FE90806"/>
    <w:rsid w:val="307B7FF6"/>
    <w:rsid w:val="30E04074"/>
    <w:rsid w:val="31170E1B"/>
    <w:rsid w:val="311C06C4"/>
    <w:rsid w:val="313728E3"/>
    <w:rsid w:val="313B7061"/>
    <w:rsid w:val="315344DD"/>
    <w:rsid w:val="31543128"/>
    <w:rsid w:val="31DC5C69"/>
    <w:rsid w:val="31F77552"/>
    <w:rsid w:val="32586D0E"/>
    <w:rsid w:val="32864395"/>
    <w:rsid w:val="32A17001"/>
    <w:rsid w:val="32B00541"/>
    <w:rsid w:val="32D265FC"/>
    <w:rsid w:val="33713AC3"/>
    <w:rsid w:val="34323825"/>
    <w:rsid w:val="34733618"/>
    <w:rsid w:val="34C972C7"/>
    <w:rsid w:val="34D62BAB"/>
    <w:rsid w:val="355A6CD4"/>
    <w:rsid w:val="35784A2F"/>
    <w:rsid w:val="35A9742A"/>
    <w:rsid w:val="35C92764"/>
    <w:rsid w:val="360B4741"/>
    <w:rsid w:val="36455A40"/>
    <w:rsid w:val="36734AE1"/>
    <w:rsid w:val="367439C7"/>
    <w:rsid w:val="36CB4E14"/>
    <w:rsid w:val="36E715D1"/>
    <w:rsid w:val="36E965DA"/>
    <w:rsid w:val="372713F7"/>
    <w:rsid w:val="372C1DF3"/>
    <w:rsid w:val="3754691D"/>
    <w:rsid w:val="377D6746"/>
    <w:rsid w:val="37DD517B"/>
    <w:rsid w:val="380A3035"/>
    <w:rsid w:val="38364A80"/>
    <w:rsid w:val="38BB25C4"/>
    <w:rsid w:val="39AC6F5B"/>
    <w:rsid w:val="3A402287"/>
    <w:rsid w:val="3A9251FE"/>
    <w:rsid w:val="3C1B5B88"/>
    <w:rsid w:val="3D0A098D"/>
    <w:rsid w:val="3D2A190F"/>
    <w:rsid w:val="3D8A73B5"/>
    <w:rsid w:val="3DB6746D"/>
    <w:rsid w:val="3DCF71B1"/>
    <w:rsid w:val="3E8D664D"/>
    <w:rsid w:val="3ED21B07"/>
    <w:rsid w:val="3EEA5312"/>
    <w:rsid w:val="3F0455BA"/>
    <w:rsid w:val="3F416A34"/>
    <w:rsid w:val="3FA87D5B"/>
    <w:rsid w:val="3FF06A90"/>
    <w:rsid w:val="4022700F"/>
    <w:rsid w:val="40591FCD"/>
    <w:rsid w:val="407B009B"/>
    <w:rsid w:val="40866E16"/>
    <w:rsid w:val="410F6DA2"/>
    <w:rsid w:val="414578F8"/>
    <w:rsid w:val="41BF638B"/>
    <w:rsid w:val="41C46502"/>
    <w:rsid w:val="42381070"/>
    <w:rsid w:val="429164AC"/>
    <w:rsid w:val="4360648C"/>
    <w:rsid w:val="456A43EE"/>
    <w:rsid w:val="467D21F0"/>
    <w:rsid w:val="471B24E4"/>
    <w:rsid w:val="47426138"/>
    <w:rsid w:val="47A70FD9"/>
    <w:rsid w:val="48BE2E0B"/>
    <w:rsid w:val="490D1D66"/>
    <w:rsid w:val="49FA26B6"/>
    <w:rsid w:val="4AC44560"/>
    <w:rsid w:val="4B6B14EB"/>
    <w:rsid w:val="4BE66C3B"/>
    <w:rsid w:val="4C001CDE"/>
    <w:rsid w:val="4D2C435C"/>
    <w:rsid w:val="4E97612B"/>
    <w:rsid w:val="4EC30645"/>
    <w:rsid w:val="4F070EDD"/>
    <w:rsid w:val="4F18045B"/>
    <w:rsid w:val="4F245AF0"/>
    <w:rsid w:val="50E04034"/>
    <w:rsid w:val="512A5D50"/>
    <w:rsid w:val="5259617D"/>
    <w:rsid w:val="5296608F"/>
    <w:rsid w:val="529F23FF"/>
    <w:rsid w:val="52C31DC5"/>
    <w:rsid w:val="52EF41C5"/>
    <w:rsid w:val="538805D6"/>
    <w:rsid w:val="53C27B1D"/>
    <w:rsid w:val="548A3D3F"/>
    <w:rsid w:val="54B05E24"/>
    <w:rsid w:val="54DA5459"/>
    <w:rsid w:val="56397DF3"/>
    <w:rsid w:val="56532ADB"/>
    <w:rsid w:val="56567834"/>
    <w:rsid w:val="56580436"/>
    <w:rsid w:val="56AF5AE9"/>
    <w:rsid w:val="56C30E3E"/>
    <w:rsid w:val="577231AB"/>
    <w:rsid w:val="57F65D11"/>
    <w:rsid w:val="58194528"/>
    <w:rsid w:val="583C554A"/>
    <w:rsid w:val="58826D91"/>
    <w:rsid w:val="59215ECA"/>
    <w:rsid w:val="59C579F0"/>
    <w:rsid w:val="59F3569C"/>
    <w:rsid w:val="5AC014DB"/>
    <w:rsid w:val="5AC73EDF"/>
    <w:rsid w:val="5B17582E"/>
    <w:rsid w:val="5C1A74EB"/>
    <w:rsid w:val="5CA30F05"/>
    <w:rsid w:val="5CCC2549"/>
    <w:rsid w:val="5DE91B71"/>
    <w:rsid w:val="5E5F6D18"/>
    <w:rsid w:val="5F097394"/>
    <w:rsid w:val="61047491"/>
    <w:rsid w:val="616B1D68"/>
    <w:rsid w:val="61C267E5"/>
    <w:rsid w:val="6315210F"/>
    <w:rsid w:val="63682CB8"/>
    <w:rsid w:val="63A54C70"/>
    <w:rsid w:val="63D05841"/>
    <w:rsid w:val="645174DF"/>
    <w:rsid w:val="65D8286E"/>
    <w:rsid w:val="65DD674E"/>
    <w:rsid w:val="65EB24F7"/>
    <w:rsid w:val="66041C35"/>
    <w:rsid w:val="66141B38"/>
    <w:rsid w:val="66216FBA"/>
    <w:rsid w:val="67577196"/>
    <w:rsid w:val="67CC3D28"/>
    <w:rsid w:val="67F41932"/>
    <w:rsid w:val="68957249"/>
    <w:rsid w:val="68AE760A"/>
    <w:rsid w:val="68EE67FC"/>
    <w:rsid w:val="690B5FF5"/>
    <w:rsid w:val="691C2949"/>
    <w:rsid w:val="695402E7"/>
    <w:rsid w:val="698B519A"/>
    <w:rsid w:val="6AAF2C38"/>
    <w:rsid w:val="6B4A2041"/>
    <w:rsid w:val="6B5D72DA"/>
    <w:rsid w:val="6B7C346D"/>
    <w:rsid w:val="6B884178"/>
    <w:rsid w:val="6D8917F8"/>
    <w:rsid w:val="6DCE79AD"/>
    <w:rsid w:val="6DDF24E7"/>
    <w:rsid w:val="6E15243A"/>
    <w:rsid w:val="6FED13A0"/>
    <w:rsid w:val="701077F8"/>
    <w:rsid w:val="706B23F2"/>
    <w:rsid w:val="70784621"/>
    <w:rsid w:val="70F72370"/>
    <w:rsid w:val="71447311"/>
    <w:rsid w:val="71F15974"/>
    <w:rsid w:val="722E4F56"/>
    <w:rsid w:val="733D7295"/>
    <w:rsid w:val="734A7BA4"/>
    <w:rsid w:val="735E45B1"/>
    <w:rsid w:val="74D56BB4"/>
    <w:rsid w:val="757B15C1"/>
    <w:rsid w:val="759A12D4"/>
    <w:rsid w:val="75BB387F"/>
    <w:rsid w:val="75DB3DEE"/>
    <w:rsid w:val="75E117A8"/>
    <w:rsid w:val="761C2160"/>
    <w:rsid w:val="76295463"/>
    <w:rsid w:val="763C3036"/>
    <w:rsid w:val="76B601FF"/>
    <w:rsid w:val="775F1CC9"/>
    <w:rsid w:val="77D017D2"/>
    <w:rsid w:val="7845147E"/>
    <w:rsid w:val="79421F7A"/>
    <w:rsid w:val="79BE0D7E"/>
    <w:rsid w:val="7A3E678D"/>
    <w:rsid w:val="7A5E2FC2"/>
    <w:rsid w:val="7AB425B6"/>
    <w:rsid w:val="7AD113F3"/>
    <w:rsid w:val="7AD44EAA"/>
    <w:rsid w:val="7AFF075D"/>
    <w:rsid w:val="7B086A5C"/>
    <w:rsid w:val="7B25232A"/>
    <w:rsid w:val="7B3A04D3"/>
    <w:rsid w:val="7D715F67"/>
    <w:rsid w:val="7D834531"/>
    <w:rsid w:val="7D880371"/>
    <w:rsid w:val="7E5F3D15"/>
    <w:rsid w:val="7E697E23"/>
    <w:rsid w:val="7E940152"/>
    <w:rsid w:val="7EEC23A9"/>
    <w:rsid w:val="7F4428D4"/>
    <w:rsid w:val="7FF3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imes New Roman" w:hAnsi="Times New Roman"/>
      <w:kern w:val="0"/>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6">
    <w:name w:val="Normal (Web)"/>
    <w:basedOn w:val="a"/>
    <w:uiPriority w:val="99"/>
    <w:unhideWhenUsed/>
    <w:qFormat/>
    <w:pPr>
      <w:spacing w:before="100" w:beforeAutospacing="1" w:after="100" w:afterAutospacing="1"/>
    </w:pPr>
    <w:rPr>
      <w:rFonts w:ascii="宋体" w:hAnsi="宋体" w:cs="宋体"/>
    </w:rPr>
  </w:style>
  <w:style w:type="character" w:styleId="a7">
    <w:name w:val="Strong"/>
    <w:basedOn w:val="a0"/>
    <w:qFormat/>
    <w:rPr>
      <w:b/>
    </w:rPr>
  </w:style>
  <w:style w:type="character" w:customStyle="1" w:styleId="Char0">
    <w:name w:val="页脚 Char"/>
    <w:link w:val="a4"/>
    <w:uiPriority w:val="99"/>
    <w:qFormat/>
    <w:rPr>
      <w:sz w:val="18"/>
      <w:szCs w:val="18"/>
    </w:rPr>
  </w:style>
  <w:style w:type="character" w:customStyle="1" w:styleId="Char1">
    <w:name w:val="页眉 Char"/>
    <w:link w:val="a5"/>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Times New Roman" w:hAnsi="Times New Roman"/>
      <w:kern w:val="0"/>
      <w:sz w:val="18"/>
      <w:szCs w:val="18"/>
      <w:lang w:val="zh-CN"/>
    </w:rPr>
  </w:style>
  <w:style w:type="paragraph" w:styleId="a4">
    <w:name w:val="footer"/>
    <w:basedOn w:val="a"/>
    <w:link w:val="Char0"/>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6">
    <w:name w:val="Normal (Web)"/>
    <w:basedOn w:val="a"/>
    <w:uiPriority w:val="99"/>
    <w:unhideWhenUsed/>
    <w:qFormat/>
    <w:pPr>
      <w:spacing w:before="100" w:beforeAutospacing="1" w:after="100" w:afterAutospacing="1"/>
    </w:pPr>
    <w:rPr>
      <w:rFonts w:ascii="宋体" w:hAnsi="宋体" w:cs="宋体"/>
    </w:rPr>
  </w:style>
  <w:style w:type="character" w:styleId="a7">
    <w:name w:val="Strong"/>
    <w:basedOn w:val="a0"/>
    <w:qFormat/>
    <w:rPr>
      <w:b/>
    </w:rPr>
  </w:style>
  <w:style w:type="character" w:customStyle="1" w:styleId="Char0">
    <w:name w:val="页脚 Char"/>
    <w:link w:val="a4"/>
    <w:uiPriority w:val="99"/>
    <w:qFormat/>
    <w:rPr>
      <w:sz w:val="18"/>
      <w:szCs w:val="18"/>
    </w:rPr>
  </w:style>
  <w:style w:type="character" w:customStyle="1" w:styleId="Char1">
    <w:name w:val="页眉 Char"/>
    <w:link w:val="a5"/>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6268E-8FA5-41F2-A77D-7E3B0E8E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436</Words>
  <Characters>2486</Characters>
  <Application>Microsoft Office Word</Application>
  <DocSecurity>0</DocSecurity>
  <Lines>20</Lines>
  <Paragraphs>5</Paragraphs>
  <ScaleCrop>false</ScaleCrop>
  <Company>http://sdwm.org</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微软用户</cp:lastModifiedBy>
  <cp:revision>3874</cp:revision>
  <cp:lastPrinted>2017-01-05T00:33:00Z</cp:lastPrinted>
  <dcterms:created xsi:type="dcterms:W3CDTF">2020-08-06T06:57:00Z</dcterms:created>
  <dcterms:modified xsi:type="dcterms:W3CDTF">2021-09-14T08:37:00Z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