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sz w:val="32"/>
          <w:szCs w:val="32"/>
        </w:rPr>
      </w:pPr>
      <w:r>
        <w:rPr>
          <w:rFonts w:hint="eastAsia" w:ascii="黑体" w:hAnsi="黑体" w:eastAsia="黑体"/>
          <w:sz w:val="32"/>
          <w:szCs w:val="32"/>
        </w:rPr>
        <w:t>附件5</w:t>
      </w:r>
    </w:p>
    <w:p>
      <w:pPr>
        <w:spacing w:line="594" w:lineRule="exact"/>
        <w:jc w:val="center"/>
        <w:rPr>
          <w:rFonts w:ascii="方正小标宋简体" w:eastAsia="方正小标宋简体"/>
          <w:spacing w:val="-12"/>
          <w:sz w:val="44"/>
          <w:szCs w:val="44"/>
        </w:rPr>
      </w:pPr>
    </w:p>
    <w:p>
      <w:pPr>
        <w:spacing w:line="594"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spacing w:line="594" w:lineRule="exact"/>
        <w:jc w:val="center"/>
        <w:rPr>
          <w:rFonts w:ascii="方正小标宋简体" w:eastAsia="方正小标宋简体"/>
          <w:spacing w:val="-12"/>
          <w:sz w:val="44"/>
          <w:szCs w:val="44"/>
        </w:rPr>
      </w:pPr>
    </w:p>
    <w:p>
      <w:pPr>
        <w:spacing w:line="594" w:lineRule="exact"/>
        <w:ind w:firstLine="640" w:firstLineChars="200"/>
        <w:rPr>
          <w:rFonts w:ascii="Times New Roman" w:hAnsi="Times New Roman" w:eastAsia="黑体"/>
          <w:kern w:val="32"/>
          <w:sz w:val="32"/>
          <w:szCs w:val="32"/>
        </w:rPr>
      </w:pPr>
      <w:bookmarkStart w:id="0" w:name="_Hlk71192992"/>
      <w:r>
        <w:rPr>
          <w:rFonts w:hint="eastAsia" w:ascii="Times New Roman" w:hAnsi="Times New Roman" w:eastAsia="黑体"/>
          <w:kern w:val="32"/>
          <w:sz w:val="32"/>
          <w:szCs w:val="32"/>
        </w:rPr>
        <w:t>一、菌落总数</w:t>
      </w:r>
    </w:p>
    <w:p>
      <w:pPr>
        <w:spacing w:line="594"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w:t>
      </w:r>
      <w:r>
        <w:rPr>
          <w:rFonts w:hint="eastAsia" w:ascii="Times New Roman" w:hAnsi="Times New Roman" w:eastAsia="仿宋_GB2312"/>
          <w:kern w:val="32"/>
          <w:sz w:val="32"/>
          <w:szCs w:val="32"/>
        </w:rPr>
        <w:t>《马铃薯片（条、块）》（QB/T 2686</w:t>
      </w:r>
      <w:r>
        <w:rPr>
          <w:rFonts w:hint="eastAsia" w:ascii="仿宋_GB2312" w:hAnsi="Times New Roman" w:eastAsia="仿宋_GB2312"/>
          <w:kern w:val="32"/>
          <w:sz w:val="32"/>
          <w:szCs w:val="32"/>
        </w:rPr>
        <w:t>—</w:t>
      </w:r>
      <w:r>
        <w:rPr>
          <w:rFonts w:hint="eastAsia" w:ascii="Times New Roman" w:hAnsi="Times New Roman" w:eastAsia="仿宋_GB2312"/>
          <w:kern w:val="32"/>
          <w:sz w:val="32"/>
          <w:szCs w:val="32"/>
        </w:rPr>
        <w:t>2021）中规定，马铃薯片（条、块）中同一批次产品5个样品的菌落总数检测结果均不得超过10</w:t>
      </w:r>
      <w:r>
        <w:rPr>
          <w:rFonts w:ascii="Times New Roman" w:hAnsi="Times New Roman" w:eastAsia="仿宋_GB2312"/>
          <w:kern w:val="32"/>
          <w:sz w:val="32"/>
          <w:szCs w:val="32"/>
          <w:vertAlign w:val="superscript"/>
        </w:rPr>
        <w:t>5</w:t>
      </w:r>
      <w:r>
        <w:rPr>
          <w:rFonts w:hint="eastAsia" w:ascii="Times New Roman" w:hAnsi="Times New Roman" w:eastAsia="仿宋_GB2312"/>
          <w:kern w:val="32"/>
          <w:sz w:val="32"/>
          <w:szCs w:val="32"/>
        </w:rPr>
        <w:t>CFU/g，且最多允许2个样品的检测结果超过10</w:t>
      </w:r>
      <w:r>
        <w:rPr>
          <w:rFonts w:ascii="Times New Roman" w:hAnsi="Times New Roman" w:eastAsia="仿宋_GB2312"/>
          <w:kern w:val="32"/>
          <w:sz w:val="32"/>
          <w:szCs w:val="32"/>
          <w:vertAlign w:val="superscript"/>
        </w:rPr>
        <w:t>4</w:t>
      </w:r>
      <w:r>
        <w:rPr>
          <w:rFonts w:hint="eastAsia" w:ascii="Times New Roman" w:hAnsi="Times New Roman" w:eastAsia="仿宋_GB2312"/>
          <w:kern w:val="32"/>
          <w:sz w:val="32"/>
          <w:szCs w:val="32"/>
        </w:rPr>
        <w:t>CFU/g；企业标准《野生百合粉》（Q/WHRS 0001S</w:t>
      </w:r>
      <w:r>
        <w:rPr>
          <w:rFonts w:hint="eastAsia" w:ascii="仿宋_GB2312" w:hAnsi="Times New Roman" w:eastAsia="仿宋_GB2312"/>
          <w:kern w:val="32"/>
          <w:sz w:val="32"/>
          <w:szCs w:val="32"/>
        </w:rPr>
        <w:t>—</w:t>
      </w:r>
      <w:r>
        <w:rPr>
          <w:rFonts w:hint="eastAsia" w:ascii="Times New Roman" w:hAnsi="Times New Roman" w:eastAsia="仿宋_GB2312"/>
          <w:kern w:val="32"/>
          <w:sz w:val="32"/>
          <w:szCs w:val="32"/>
        </w:rPr>
        <w:t>2021）中规定，野生百合粉中同一批次产品5个样品的菌落总数检测结果均不得超过10</w:t>
      </w:r>
      <w:r>
        <w:rPr>
          <w:rFonts w:ascii="Times New Roman" w:hAnsi="Times New Roman" w:eastAsia="仿宋_GB2312"/>
          <w:kern w:val="32"/>
          <w:sz w:val="32"/>
          <w:szCs w:val="32"/>
          <w:vertAlign w:val="superscript"/>
        </w:rPr>
        <w:t>5</w:t>
      </w:r>
      <w:r>
        <w:rPr>
          <w:rFonts w:hint="eastAsia" w:ascii="Times New Roman" w:hAnsi="Times New Roman" w:eastAsia="仿宋_GB2312"/>
          <w:kern w:val="32"/>
          <w:sz w:val="32"/>
          <w:szCs w:val="32"/>
        </w:rPr>
        <w:t>CFU/g，且最多允许2个样品的检测结果超过10</w:t>
      </w:r>
      <w:r>
        <w:rPr>
          <w:rFonts w:ascii="Times New Roman" w:hAnsi="Times New Roman" w:eastAsia="仿宋_GB2312"/>
          <w:kern w:val="32"/>
          <w:sz w:val="32"/>
          <w:szCs w:val="32"/>
          <w:vertAlign w:val="superscript"/>
        </w:rPr>
        <w:t>4</w:t>
      </w:r>
      <w:r>
        <w:rPr>
          <w:rFonts w:hint="eastAsia" w:ascii="Times New Roman" w:hAnsi="Times New Roman" w:eastAsia="仿宋_GB2312"/>
          <w:kern w:val="32"/>
          <w:sz w:val="32"/>
          <w:szCs w:val="32"/>
        </w:rPr>
        <w:t>CFU/g；企业标准《液态复合调味料》（Q/GYS 0001S</w:t>
      </w:r>
      <w:r>
        <w:rPr>
          <w:rFonts w:hint="eastAsia" w:ascii="仿宋_GB2312" w:hAnsi="Times New Roman" w:eastAsia="仿宋_GB2312"/>
          <w:kern w:val="32"/>
          <w:sz w:val="32"/>
          <w:szCs w:val="32"/>
        </w:rPr>
        <w:t>—</w:t>
      </w:r>
      <w:r>
        <w:rPr>
          <w:rFonts w:hint="eastAsia" w:ascii="Times New Roman" w:hAnsi="Times New Roman" w:eastAsia="仿宋_GB2312"/>
          <w:kern w:val="32"/>
          <w:sz w:val="32"/>
          <w:szCs w:val="32"/>
        </w:rPr>
        <w:t>2021）中规定，液态复合调味料中同一批次产品5个样品的菌落总数检测结果均不得超过10</w:t>
      </w:r>
      <w:r>
        <w:rPr>
          <w:rFonts w:ascii="Times New Roman" w:hAnsi="Times New Roman" w:eastAsia="仿宋_GB2312"/>
          <w:kern w:val="32"/>
          <w:sz w:val="32"/>
          <w:szCs w:val="32"/>
          <w:vertAlign w:val="superscript"/>
        </w:rPr>
        <w:t>5</w:t>
      </w:r>
      <w:r>
        <w:rPr>
          <w:rFonts w:hint="eastAsia" w:ascii="Times New Roman" w:hAnsi="Times New Roman" w:eastAsia="仿宋_GB2312"/>
          <w:kern w:val="32"/>
          <w:sz w:val="32"/>
          <w:szCs w:val="32"/>
        </w:rPr>
        <w:t>CFU/mL，且最多允许2个样品的检测结果超过10</w:t>
      </w:r>
      <w:r>
        <w:rPr>
          <w:rFonts w:ascii="Times New Roman" w:hAnsi="Times New Roman" w:eastAsia="仿宋_GB2312"/>
          <w:kern w:val="32"/>
          <w:sz w:val="32"/>
          <w:szCs w:val="32"/>
          <w:vertAlign w:val="superscript"/>
        </w:rPr>
        <w:t>4</w:t>
      </w:r>
      <w:r>
        <w:rPr>
          <w:rFonts w:hint="eastAsia" w:ascii="Times New Roman" w:hAnsi="Times New Roman" w:eastAsia="仿宋_GB2312"/>
          <w:kern w:val="32"/>
          <w:sz w:val="32"/>
          <w:szCs w:val="32"/>
        </w:rPr>
        <w:t>CFU/mL。土豆片、百合粉、酱汁中</w:t>
      </w:r>
      <w:r>
        <w:rPr>
          <w:rFonts w:ascii="Times New Roman" w:hAnsi="Times New Roman" w:eastAsia="仿宋_GB2312"/>
          <w:kern w:val="32"/>
          <w:sz w:val="32"/>
          <w:szCs w:val="32"/>
        </w:rPr>
        <w:t>菌落总数超标</w:t>
      </w:r>
      <w:r>
        <w:rPr>
          <w:rFonts w:hint="eastAsia" w:ascii="Times New Roman" w:hAnsi="Times New Roman" w:eastAsia="仿宋_GB2312"/>
          <w:kern w:val="32"/>
          <w:sz w:val="32"/>
          <w:szCs w:val="32"/>
        </w:rPr>
        <w:t>的原因</w:t>
      </w:r>
      <w:r>
        <w:rPr>
          <w:rFonts w:ascii="Times New Roman" w:hAnsi="Times New Roman" w:eastAsia="仿宋_GB2312"/>
          <w:kern w:val="32"/>
          <w:sz w:val="32"/>
          <w:szCs w:val="32"/>
        </w:rPr>
        <w:t>，可能是企业未按要求严格控制生产加工过程的卫生条件，也可能与产品包装密封不严或储运条件不当等有关。</w:t>
      </w:r>
    </w:p>
    <w:p>
      <w:pPr>
        <w:spacing w:line="594" w:lineRule="exact"/>
        <w:ind w:firstLine="640" w:firstLineChars="200"/>
        <w:rPr>
          <w:rFonts w:ascii="仿宋_GB2312" w:hAnsi="仿宋_GB2312" w:eastAsia="仿宋_GB2312" w:cs="仿宋_GB2312"/>
          <w:kern w:val="32"/>
          <w:sz w:val="32"/>
          <w:szCs w:val="32"/>
        </w:rPr>
      </w:pPr>
      <w:r>
        <w:rPr>
          <w:rFonts w:hint="eastAsia" w:ascii="黑体" w:hAnsi="黑体" w:eastAsia="黑体" w:cs="黑体"/>
          <w:kern w:val="32"/>
          <w:sz w:val="32"/>
          <w:szCs w:val="32"/>
        </w:rPr>
        <w:t>二、大肠菌群</w:t>
      </w:r>
    </w:p>
    <w:p>
      <w:pPr>
        <w:spacing w:line="594" w:lineRule="exact"/>
        <w:ind w:firstLine="640" w:firstLineChars="200"/>
        <w:rPr>
          <w:rFonts w:ascii="仿宋_GB2312" w:hAnsi="仿宋_GB2312" w:eastAsia="仿宋_GB2312" w:cs="仿宋_GB2312"/>
          <w:kern w:val="32"/>
          <w:sz w:val="32"/>
          <w:szCs w:val="32"/>
        </w:rPr>
      </w:pPr>
      <w:r>
        <w:rPr>
          <w:rFonts w:hint="eastAsia" w:ascii="Times New Roman" w:hAnsi="Times New Roman" w:eastAsia="仿宋_GB2312"/>
          <w:kern w:val="32"/>
          <w:sz w:val="32"/>
          <w:szCs w:val="32"/>
        </w:rPr>
        <w:t>大肠菌群是国内外通用的食品污染常用指示菌之一。食品中检出大肠菌群，提示被致病菌（如沙门氏菌、志贺氏菌、致病性大肠杆菌）污染的可能性较大。《食品安全国家标准 冲调谷物制品》（GB 19640</w:t>
      </w:r>
      <w:r>
        <w:rPr>
          <w:rFonts w:hint="eastAsia" w:ascii="仿宋_GB2312" w:hAnsi="Times New Roman" w:eastAsia="仿宋_GB2312"/>
          <w:kern w:val="32"/>
          <w:sz w:val="32"/>
          <w:szCs w:val="32"/>
        </w:rPr>
        <w:t>—</w:t>
      </w:r>
      <w:r>
        <w:rPr>
          <w:rFonts w:hint="eastAsia" w:ascii="Times New Roman" w:hAnsi="Times New Roman" w:eastAsia="仿宋_GB2312"/>
          <w:kern w:val="32"/>
          <w:sz w:val="32"/>
          <w:szCs w:val="32"/>
        </w:rPr>
        <w:t>2016）中规定，冲调谷物制品中同一批次产品5个样品的大肠菌群数检测结果均不得超过10</w:t>
      </w:r>
      <w:r>
        <w:rPr>
          <w:rFonts w:hint="eastAsia" w:ascii="Times New Roman" w:hAnsi="Times New Roman" w:eastAsia="仿宋_GB2312"/>
          <w:kern w:val="32"/>
          <w:sz w:val="32"/>
          <w:szCs w:val="32"/>
          <w:vertAlign w:val="superscript"/>
        </w:rPr>
        <w:t>2</w:t>
      </w:r>
      <w:r>
        <w:rPr>
          <w:rFonts w:hint="eastAsia" w:ascii="Times New Roman" w:hAnsi="Times New Roman" w:eastAsia="仿宋_GB2312"/>
          <w:kern w:val="32"/>
          <w:sz w:val="32"/>
          <w:szCs w:val="32"/>
        </w:rPr>
        <w:t>CFU/g，且最多允许2个样品的检测结果超过10CFU/g；《食品安全国家标准 豆制品》（GB 2712</w:t>
      </w:r>
      <w:r>
        <w:rPr>
          <w:rFonts w:hint="eastAsia" w:ascii="仿宋_GB2312" w:hAnsi="Times New Roman" w:eastAsia="仿宋_GB2312"/>
          <w:kern w:val="32"/>
          <w:sz w:val="32"/>
          <w:szCs w:val="32"/>
        </w:rPr>
        <w:t>—</w:t>
      </w:r>
      <w:r>
        <w:rPr>
          <w:rFonts w:hint="eastAsia" w:ascii="Times New Roman" w:hAnsi="Times New Roman" w:eastAsia="仿宋_GB2312"/>
          <w:kern w:val="32"/>
          <w:sz w:val="32"/>
          <w:szCs w:val="32"/>
        </w:rPr>
        <w:t>2014）中规定，即食豆制品中同一批次产品5个样品的大肠菌群数检测结果均不得超过10</w:t>
      </w:r>
      <w:r>
        <w:rPr>
          <w:rFonts w:hint="eastAsia" w:ascii="Times New Roman" w:hAnsi="Times New Roman" w:eastAsia="仿宋_GB2312"/>
          <w:kern w:val="32"/>
          <w:sz w:val="32"/>
          <w:szCs w:val="32"/>
          <w:vertAlign w:val="superscript"/>
        </w:rPr>
        <w:t>3</w:t>
      </w:r>
      <w:r>
        <w:rPr>
          <w:rFonts w:hint="eastAsia" w:ascii="Times New Roman" w:hAnsi="Times New Roman" w:eastAsia="仿宋_GB2312"/>
          <w:kern w:val="32"/>
          <w:sz w:val="32"/>
          <w:szCs w:val="32"/>
        </w:rPr>
        <w:t>CFU/g，且最多允许2个样品的检测结果超过10</w:t>
      </w:r>
      <w:r>
        <w:rPr>
          <w:rFonts w:hint="eastAsia" w:ascii="Times New Roman" w:hAnsi="Times New Roman" w:eastAsia="仿宋_GB2312"/>
          <w:kern w:val="32"/>
          <w:sz w:val="32"/>
          <w:szCs w:val="32"/>
          <w:vertAlign w:val="superscript"/>
        </w:rPr>
        <w:t>2</w:t>
      </w:r>
      <w:r>
        <w:rPr>
          <w:rFonts w:hint="eastAsia" w:ascii="Times New Roman" w:hAnsi="Times New Roman" w:eastAsia="仿宋_GB2312"/>
          <w:kern w:val="32"/>
          <w:sz w:val="32"/>
          <w:szCs w:val="32"/>
        </w:rPr>
        <w:t>CFU/g。薏仁粉、腐乳中大肠菌群不合格的原因，可能是产品在生产过程中受人员、工器具等的污染，也可能是产品的加工原料、包装材料受污染等情况导致。</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三、霉菌</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霉菌是评价食品卫生质量的指示性指标。如果食品中的霉菌严重超标，将会破坏食品的营养成分，使食品失去食用价值，还可能产生霉菌毒素。长期食用霉菌超标的食品，可能会危害人体健康。《食品安全国家标准 冲调谷物制品》（GB 19640—2016）中规定，冲调谷物制品中同一批次产品5个样品的霉菌数检测结果均不得超过10</w:t>
      </w:r>
      <w:r>
        <w:rPr>
          <w:rFonts w:hint="eastAsia" w:ascii="Times New Roman" w:hAnsi="Times New Roman" w:eastAsia="仿宋_GB2312"/>
          <w:kern w:val="32"/>
          <w:sz w:val="32"/>
          <w:szCs w:val="32"/>
          <w:vertAlign w:val="superscript"/>
        </w:rPr>
        <w:t>2</w:t>
      </w:r>
      <w:r>
        <w:rPr>
          <w:rFonts w:hint="eastAsia" w:ascii="Times New Roman" w:hAnsi="Times New Roman" w:eastAsia="仿宋_GB2312"/>
          <w:kern w:val="32"/>
          <w:sz w:val="32"/>
          <w:szCs w:val="32"/>
        </w:rPr>
        <w:t>CFU/g，且最多允许2个样品的检测结果超过50CFU/g。麦片、薏仁粉中霉菌数超标的原因，可能是原料或包装材料受到霉菌污染，也可能是产品在生产加工过程中卫生条件控制不到位，还可能与产品储运条件不当有关。</w:t>
      </w:r>
    </w:p>
    <w:p>
      <w:pPr>
        <w:spacing w:line="594" w:lineRule="exact"/>
        <w:ind w:firstLine="640" w:firstLineChars="200"/>
        <w:rPr>
          <w:rFonts w:ascii="黑体" w:hAnsi="黑体" w:eastAsia="黑体" w:cs="黑体"/>
          <w:kern w:val="32"/>
          <w:sz w:val="32"/>
          <w:szCs w:val="32"/>
        </w:rPr>
      </w:pPr>
      <w:r>
        <w:rPr>
          <w:rFonts w:hint="eastAsia" w:ascii="黑体" w:hAnsi="黑体" w:eastAsia="黑体" w:cs="黑体"/>
          <w:kern w:val="32"/>
          <w:sz w:val="32"/>
          <w:szCs w:val="32"/>
        </w:rPr>
        <w:t>四、铜绿假单胞菌</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kern w:val="32"/>
          <w:sz w:val="32"/>
          <w:szCs w:val="32"/>
        </w:rPr>
        <w:t>铜绿假单胞菌是一种条件致病菌，广泛分布于水、空气、正常人的皮肤、呼吸道和肠道等，易在潮湿的环境存活，对消毒剂、紫外线等具有较强的抵抗力。铜绿假单胞菌对于免疫力较弱的人群健康风险较大。《食品安全国家标准 包装饮用水》（GB 19298—2014）中规定，包装饮用水同一批次产品5个样品中铜绿假单胞菌均不得检出。包装饮用水中检出铜绿假单胞菌的原因，可能是源水防护不当，水体受到污染；也可能是生产过程中卫生控制不严格；还可能是包装材料清洗消毒有缺陷所致。</w:t>
      </w:r>
    </w:p>
    <w:p>
      <w:pPr>
        <w:spacing w:line="594"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五、噻虫胺</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kern w:val="32"/>
          <w:sz w:val="32"/>
          <w:szCs w:val="32"/>
        </w:rPr>
        <w:t>噻虫胺是新烟碱类杀虫剂，是一类高效安全、高选择性的新型杀虫剂，其作用与烟碱乙酰胆碱受体类似，具有触杀、胃毒和内吸活性。少量的农药残留不会引起人体急性中毒，但长期食用噻虫胺残留超标的食品，对人体健康可能有一定影响。《食品安全国家标准 食品中农药最大残留限量》（GB 2763—2021）中规定，噻虫胺在茄果类蔬菜（番茄除外）中的最大残留限量值为0.05mg/kg，在根茎类蔬菜中的最大残留限量值为0.2mg/kg。线椒、老姜中噻虫胺残留量超标的原因，可能是农户为控制虫害而违规加大用药量或者没有按规定的采摘期进行采摘所致。</w:t>
      </w:r>
    </w:p>
    <w:p>
      <w:pPr>
        <w:spacing w:line="594"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六、噻虫嗪</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噻虫嗪是一种全新结构的第二代烟碱类高效低毒杀虫剂，对害虫具有胃毒、触杀及内吸活性，用于叶面喷雾及土壤灌根处理，对刺吸式害虫如蚜虫、飞虱、叶蝉、粉虱等有良好的防效。《食品安全国家标准 食品中农药最大残留限量》（GB 2763—2021）中规定，噻虫嗪在根茎类蔬菜（芜菁除外）中的最大残留限量值为0.3mg/kg。老姜中噻虫嗪残留量超标的原因，</w:t>
      </w:r>
      <w:r>
        <w:rPr>
          <w:rFonts w:hint="eastAsia" w:ascii="仿宋_GB2312" w:eastAsia="仿宋_GB2312"/>
          <w:sz w:val="32"/>
          <w:szCs w:val="32"/>
        </w:rPr>
        <w:t>可能是农户</w:t>
      </w:r>
      <w:r>
        <w:rPr>
          <w:rFonts w:hint="eastAsia" w:ascii="Times New Roman" w:hAnsi="Times New Roman" w:eastAsia="仿宋_GB2312"/>
          <w:sz w:val="32"/>
          <w:szCs w:val="32"/>
        </w:rPr>
        <w:t>为</w:t>
      </w:r>
      <w:r>
        <w:rPr>
          <w:rFonts w:ascii="Times New Roman" w:hAnsi="Times New Roman" w:eastAsia="仿宋_GB2312"/>
          <w:sz w:val="32"/>
          <w:szCs w:val="32"/>
        </w:rPr>
        <w:t>快速控制病情加大用药量</w:t>
      </w:r>
      <w:r>
        <w:rPr>
          <w:rFonts w:hint="eastAsia" w:ascii="Times New Roman" w:hAnsi="Times New Roman" w:eastAsia="仿宋_GB2312"/>
          <w:sz w:val="32"/>
          <w:szCs w:val="32"/>
        </w:rPr>
        <w:t>或</w:t>
      </w:r>
      <w:r>
        <w:rPr>
          <w:rFonts w:ascii="Times New Roman" w:hAnsi="Times New Roman" w:eastAsia="仿宋_GB2312"/>
          <w:sz w:val="32"/>
          <w:szCs w:val="32"/>
        </w:rPr>
        <w:t>未遵守采摘间隔期</w:t>
      </w:r>
      <w:r>
        <w:rPr>
          <w:rFonts w:hint="eastAsia" w:ascii="Times New Roman" w:hAnsi="Times New Roman" w:eastAsia="仿宋_GB2312"/>
          <w:sz w:val="32"/>
          <w:szCs w:val="32"/>
        </w:rPr>
        <w:t>规定</w:t>
      </w:r>
      <w:r>
        <w:rPr>
          <w:rFonts w:ascii="Times New Roman" w:hAnsi="Times New Roman" w:eastAsia="仿宋_GB2312"/>
          <w:sz w:val="32"/>
          <w:szCs w:val="32"/>
        </w:rPr>
        <w:t>，致使上市销售</w:t>
      </w:r>
      <w:r>
        <w:rPr>
          <w:rFonts w:hint="eastAsia" w:ascii="Times New Roman" w:hAnsi="Times New Roman" w:eastAsia="仿宋_GB2312"/>
          <w:sz w:val="32"/>
          <w:szCs w:val="32"/>
        </w:rPr>
        <w:t>的产品中残留量超标</w:t>
      </w:r>
      <w:r>
        <w:rPr>
          <w:rFonts w:ascii="Times New Roman" w:hAnsi="Times New Roman" w:eastAsia="仿宋_GB2312"/>
          <w:sz w:val="32"/>
          <w:szCs w:val="32"/>
        </w:rPr>
        <w:t>。</w:t>
      </w:r>
      <w:r>
        <w:rPr>
          <w:rFonts w:hint="eastAsia" w:ascii="Times New Roman" w:hAnsi="Times New Roman" w:eastAsia="仿宋_GB2312"/>
          <w:kern w:val="32"/>
          <w:sz w:val="32"/>
          <w:szCs w:val="32"/>
        </w:rPr>
        <w:t>少量的农药残留不会引起人体急性中毒，但长期食用</w:t>
      </w:r>
      <w:r>
        <w:rPr>
          <w:rFonts w:hint="eastAsia" w:ascii="Times New Roman" w:hAnsi="Times New Roman" w:eastAsia="仿宋_GB2312"/>
          <w:sz w:val="32"/>
          <w:szCs w:val="32"/>
        </w:rPr>
        <w:t>噻虫嗪</w:t>
      </w:r>
      <w:r>
        <w:rPr>
          <w:rFonts w:hint="eastAsia" w:ascii="Times New Roman" w:hAnsi="Times New Roman" w:eastAsia="仿宋_GB2312"/>
          <w:kern w:val="32"/>
          <w:sz w:val="32"/>
          <w:szCs w:val="32"/>
        </w:rPr>
        <w:t>残留超标的食品，对人体健康可能有一定影响。</w:t>
      </w:r>
    </w:p>
    <w:p>
      <w:pPr>
        <w:spacing w:line="594" w:lineRule="exact"/>
        <w:ind w:firstLine="640" w:firstLineChars="200"/>
        <w:rPr>
          <w:rFonts w:ascii="黑体" w:hAnsi="黑体" w:eastAsia="黑体" w:cs="黑体"/>
          <w:kern w:val="32"/>
          <w:sz w:val="32"/>
          <w:szCs w:val="32"/>
        </w:rPr>
      </w:pPr>
      <w:r>
        <w:rPr>
          <w:rFonts w:hint="eastAsia" w:ascii="黑体" w:hAnsi="黑体" w:eastAsia="黑体" w:cs="黑体"/>
          <w:kern w:val="32"/>
          <w:sz w:val="32"/>
          <w:szCs w:val="32"/>
        </w:rPr>
        <w:t>七、镉（以Cd计）</w:t>
      </w:r>
    </w:p>
    <w:p>
      <w:pPr>
        <w:spacing w:line="594" w:lineRule="exact"/>
        <w:ind w:firstLine="640" w:firstLineChars="200"/>
        <w:rPr>
          <w:rFonts w:ascii="Times New Roman" w:hAnsi="Times New Roman" w:eastAsia="仿宋_GB2312"/>
          <w:kern w:val="32"/>
          <w:sz w:val="32"/>
          <w:szCs w:val="32"/>
        </w:rPr>
      </w:pPr>
      <w:r>
        <w:rPr>
          <w:rFonts w:ascii="Times New Roman" w:hAnsi="Times New Roman" w:eastAsia="仿宋_GB2312"/>
          <w:sz w:val="32"/>
          <w:szCs w:val="32"/>
        </w:rPr>
        <w:t>镉是一种蓄积性的重金属元素，可通过食物链进入人体。长期食用镉超标的食品，可能会对人体肾脏和肝脏造成损害，还会影响免疫系统，甚至可能对儿童高级神经活动有损害。《食品安全国家标准 食品中污染物限量》（GB 2762—2017）中规定，镉（以Cd计）在新鲜食用菌（姬松茸制品除外）中的最大限量值为0.2mg/kg。羊肚菌中镉（以Cd计）检测值超标的</w:t>
      </w:r>
      <w:bookmarkStart w:id="1" w:name="_GoBack"/>
      <w:bookmarkEnd w:id="1"/>
      <w:r>
        <w:rPr>
          <w:rFonts w:ascii="Times New Roman" w:hAnsi="Times New Roman" w:eastAsia="仿宋_GB2312"/>
          <w:sz w:val="32"/>
          <w:szCs w:val="32"/>
        </w:rPr>
        <w:t>原因，可能是其生长过程中富集环境中的镉元素所致。</w:t>
      </w:r>
    </w:p>
    <w:p>
      <w:pPr>
        <w:spacing w:line="594" w:lineRule="exact"/>
        <w:ind w:firstLine="640" w:firstLineChars="200"/>
        <w:rPr>
          <w:rFonts w:ascii="黑体" w:hAnsi="黑体" w:eastAsia="黑体" w:cs="黑体"/>
          <w:kern w:val="32"/>
          <w:sz w:val="32"/>
          <w:szCs w:val="32"/>
        </w:rPr>
      </w:pPr>
      <w:r>
        <w:rPr>
          <w:rFonts w:hint="eastAsia" w:ascii="黑体" w:hAnsi="黑体" w:eastAsia="黑体" w:cs="黑体"/>
          <w:kern w:val="32"/>
          <w:sz w:val="32"/>
          <w:szCs w:val="32"/>
        </w:rPr>
        <w:t>八、二氧化硫残留量</w:t>
      </w:r>
    </w:p>
    <w:p>
      <w:pPr>
        <w:spacing w:line="594" w:lineRule="exact"/>
        <w:ind w:firstLine="640" w:firstLineChars="200"/>
        <w:rPr>
          <w:rFonts w:ascii="仿宋_GB2312" w:hAnsi="仿宋_GB2312" w:eastAsia="仿宋_GB2312" w:cs="仿宋_GB2312"/>
          <w:kern w:val="32"/>
          <w:sz w:val="32"/>
          <w:szCs w:val="32"/>
        </w:rPr>
      </w:pPr>
      <w:r>
        <w:rPr>
          <w:rFonts w:ascii="Times New Roman" w:hAnsi="Times New Roman" w:eastAsia="仿宋_GB2312"/>
          <w:sz w:val="32"/>
          <w:szCs w:val="32"/>
        </w:rPr>
        <w:t>二氧化硫是国内外允许使用的一种食品添加剂，具有漂白、防腐和抗氧化的作用。二氧化硫进入人体后最终转化为硫酸盐并随尿液排出体外，少量摄入不会对身体带来健康危害，但若过量食用可能引起如恶心、呕吐等胃肠道反应。《食品安全国家标准 食品添加剂使用标准》（GB 2760</w:t>
      </w:r>
      <w:r>
        <w:rPr>
          <w:rFonts w:hint="eastAsia" w:ascii="Times New Roman" w:hAnsi="Times New Roman" w:eastAsia="仿宋_GB2312"/>
          <w:sz w:val="32"/>
          <w:szCs w:val="32"/>
        </w:rPr>
        <w:t>—</w:t>
      </w:r>
      <w:r>
        <w:rPr>
          <w:rFonts w:ascii="Times New Roman" w:hAnsi="Times New Roman" w:eastAsia="仿宋_GB2312"/>
          <w:sz w:val="32"/>
          <w:szCs w:val="32"/>
        </w:rPr>
        <w:t>2014）中规定，</w:t>
      </w:r>
      <w:r>
        <w:rPr>
          <w:rFonts w:hint="eastAsia" w:ascii="Times New Roman" w:hAnsi="Times New Roman" w:eastAsia="仿宋_GB2312"/>
          <w:sz w:val="32"/>
          <w:szCs w:val="32"/>
        </w:rPr>
        <w:t>米粉制品中不得使用二氧化硫；干制蔬菜中</w:t>
      </w:r>
      <w:r>
        <w:rPr>
          <w:rFonts w:ascii="Times New Roman" w:hAnsi="Times New Roman" w:eastAsia="仿宋_GB2312"/>
          <w:sz w:val="32"/>
          <w:szCs w:val="32"/>
        </w:rPr>
        <w:t>二氧化硫</w:t>
      </w:r>
      <w:r>
        <w:rPr>
          <w:rFonts w:hint="eastAsia" w:ascii="Times New Roman" w:hAnsi="Times New Roman" w:eastAsia="仿宋_GB2312"/>
          <w:sz w:val="32"/>
          <w:szCs w:val="32"/>
        </w:rPr>
        <w:t>的最大残留量为0.2g/kg</w:t>
      </w:r>
      <w:r>
        <w:rPr>
          <w:rFonts w:hint="eastAsia" w:ascii="Times New Roman" w:hAnsi="Times New Roman" w:eastAsia="仿宋_GB2312"/>
          <w:kern w:val="32"/>
          <w:sz w:val="32"/>
          <w:szCs w:val="32"/>
        </w:rPr>
        <w:t>。</w:t>
      </w:r>
      <w:r>
        <w:rPr>
          <w:rFonts w:hint="eastAsia" w:ascii="Times New Roman" w:hAnsi="Times New Roman" w:eastAsia="仿宋_GB2312"/>
          <w:sz w:val="32"/>
          <w:szCs w:val="32"/>
        </w:rPr>
        <w:t>米粉制品、笋干中二氧化硫残留量超标的原因</w:t>
      </w:r>
      <w:r>
        <w:rPr>
          <w:rFonts w:ascii="Times New Roman" w:hAnsi="Times New Roman" w:eastAsia="仿宋_GB2312"/>
          <w:sz w:val="32"/>
          <w:szCs w:val="32"/>
        </w:rPr>
        <w:t>，</w:t>
      </w:r>
      <w:r>
        <w:rPr>
          <w:rFonts w:hint="eastAsia" w:ascii="Times New Roman" w:hAnsi="Times New Roman" w:eastAsia="仿宋_GB2312"/>
          <w:sz w:val="32"/>
          <w:szCs w:val="32"/>
        </w:rPr>
        <w:t>可能是生产企业为了达到漂白和防腐的作用而超范围、超限量使用亚硫酸盐等漂白剂导致</w:t>
      </w:r>
      <w:r>
        <w:rPr>
          <w:rFonts w:ascii="Times New Roman" w:hAnsi="Times New Roman" w:eastAsia="仿宋_GB2312"/>
          <w:sz w:val="32"/>
          <w:szCs w:val="32"/>
        </w:rPr>
        <w:t>。</w:t>
      </w:r>
    </w:p>
    <w:p>
      <w:pPr>
        <w:spacing w:line="594" w:lineRule="exact"/>
        <w:ind w:firstLine="640" w:firstLineChars="200"/>
        <w:rPr>
          <w:rFonts w:ascii="黑体" w:hAnsi="黑体" w:eastAsia="黑体" w:cs="黑体"/>
          <w:kern w:val="32"/>
          <w:sz w:val="32"/>
          <w:szCs w:val="32"/>
        </w:rPr>
      </w:pPr>
      <w:r>
        <w:rPr>
          <w:rFonts w:hint="eastAsia" w:ascii="黑体" w:hAnsi="黑体" w:eastAsia="黑体" w:cs="黑体"/>
          <w:kern w:val="32"/>
          <w:sz w:val="32"/>
          <w:szCs w:val="32"/>
        </w:rPr>
        <w:t>九、甜蜜素（以环己基氨基磺酸计）</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kern w:val="32"/>
          <w:sz w:val="32"/>
          <w:szCs w:val="32"/>
        </w:rPr>
        <w:t>甜蜜素，化学名称为环己基氨基磺酸钠，是食品生产中常用的甜味剂之一，其甜度是蔗糖的</w:t>
      </w:r>
      <w:r>
        <w:rPr>
          <w:rFonts w:ascii="Times New Roman" w:hAnsi="Times New Roman" w:eastAsia="仿宋_GB2312"/>
          <w:kern w:val="32"/>
          <w:sz w:val="32"/>
          <w:szCs w:val="32"/>
        </w:rPr>
        <w:t>40</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50</w:t>
      </w:r>
      <w:r>
        <w:rPr>
          <w:rFonts w:hint="eastAsia" w:ascii="Times New Roman" w:hAnsi="Times New Roman" w:eastAsia="仿宋_GB2312"/>
          <w:kern w:val="32"/>
          <w:sz w:val="32"/>
          <w:szCs w:val="32"/>
        </w:rPr>
        <w:t>倍。长期摄入甜蜜素含量超标的食品，可能对人体的肝脏和神经系统造成一定危害。《食品安全国家标准</w:t>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食品添加剂使用标准》（</w:t>
      </w:r>
      <w:r>
        <w:rPr>
          <w:rFonts w:ascii="Times New Roman" w:hAnsi="Times New Roman" w:eastAsia="仿宋_GB2312"/>
          <w:kern w:val="32"/>
          <w:sz w:val="32"/>
          <w:szCs w:val="32"/>
        </w:rPr>
        <w:t>GB 2760</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）中规定，白酒中不得使用甜蜜素（以环己基氨基磺酸计）。白酒中检出甜蜜素（以环己基氨基磺酸计）的原因，可能是生产者为降低生产成本，改善产品的口感，违规添加甜蜜素。</w:t>
      </w:r>
    </w:p>
    <w:bookmarkEnd w:id="0"/>
    <w:p>
      <w:pPr>
        <w:spacing w:line="600" w:lineRule="exact"/>
        <w:ind w:firstLine="640" w:firstLineChars="200"/>
        <w:rPr>
          <w:rFonts w:ascii="黑体" w:hAnsi="黑体" w:eastAsia="黑体"/>
          <w:kern w:val="32"/>
          <w:sz w:val="32"/>
          <w:szCs w:val="32"/>
        </w:rPr>
      </w:pPr>
      <w:r>
        <w:rPr>
          <w:rFonts w:hint="eastAsia" w:ascii="黑体" w:hAnsi="黑体" w:eastAsia="黑体" w:cs="黑体"/>
          <w:kern w:val="32"/>
          <w:sz w:val="32"/>
          <w:szCs w:val="32"/>
        </w:rPr>
        <w:t>十、过氧化值（以脂肪计）</w:t>
      </w:r>
    </w:p>
    <w:p>
      <w:pPr>
        <w:spacing w:line="594" w:lineRule="exact"/>
        <w:ind w:firstLine="640" w:firstLineChars="200"/>
        <w:rPr>
          <w:rFonts w:ascii="Times New Roman" w:hAnsi="Times New Roman" w:eastAsia="仿宋_GB2312"/>
          <w:kern w:val="32"/>
          <w:sz w:val="32"/>
          <w:szCs w:val="32"/>
        </w:rPr>
      </w:pPr>
      <w:r>
        <w:rPr>
          <w:rFonts w:ascii="Times New Roman" w:hAnsi="Times New Roman" w:eastAsia="仿宋_GB2312"/>
          <w:sz w:val="32"/>
          <w:szCs w:val="32"/>
        </w:rPr>
        <w:t>过氧化值主要反映食品中油脂是否氧化变质。随着油脂氧化，过氧化值会逐步升高，严重时会导致肠胃不适、腹泻等症状</w:t>
      </w:r>
      <w:r>
        <w:rPr>
          <w:rFonts w:hint="eastAsia" w:ascii="Times New Roman" w:hAnsi="Times New Roman" w:eastAsia="仿宋_GB2312"/>
          <w:sz w:val="32"/>
          <w:szCs w:val="32"/>
        </w:rPr>
        <w:t>。《食品安全国家标准 坚果与籽类食品》（GB 19300—2014）中规定，熟制葵花籽中过氧化值（以脂肪计）的最大限量值为0.80g/100g，熟制其他类产品（葵花籽除外）中过氧化值（以脂肪计）的最大限量值为0.50g/100g；《食品安全国家标准 糕点、面包》（GB 7099—2015）中规定，糕点、面包中过氧化值（以脂肪计）的最大限量值为0.25g/100g。瓜子、花生、糕点中过氧化值检测值不合格的原因，可能是生产企业对原料把关不严，使用劣质原料进行生产；或是企业的生产工艺不达标，使得终产品油脂氧化；也可能是产品储运条件不当。</w:t>
      </w:r>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lMDI1MjFlOGVlNDQ0NjMyYTg0MWE5Nzk5OWM5OTEifQ=="/>
  </w:docVars>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844"/>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B53"/>
    <w:rsid w:val="00071C53"/>
    <w:rsid w:val="0007233C"/>
    <w:rsid w:val="00072ACA"/>
    <w:rsid w:val="00072B5B"/>
    <w:rsid w:val="00073095"/>
    <w:rsid w:val="0007468C"/>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6591"/>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0D98"/>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234"/>
    <w:rsid w:val="000C49C4"/>
    <w:rsid w:val="000C60AF"/>
    <w:rsid w:val="000C6C74"/>
    <w:rsid w:val="000C6E5B"/>
    <w:rsid w:val="000C7523"/>
    <w:rsid w:val="000C7D7B"/>
    <w:rsid w:val="000C7E69"/>
    <w:rsid w:val="000D0D95"/>
    <w:rsid w:val="000D1B31"/>
    <w:rsid w:val="000D1C16"/>
    <w:rsid w:val="000D1FEA"/>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3B68"/>
    <w:rsid w:val="000F4B86"/>
    <w:rsid w:val="000F5189"/>
    <w:rsid w:val="000F6560"/>
    <w:rsid w:val="000F6A19"/>
    <w:rsid w:val="000F79A8"/>
    <w:rsid w:val="000F7A2A"/>
    <w:rsid w:val="00100529"/>
    <w:rsid w:val="00100694"/>
    <w:rsid w:val="00100BBE"/>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0E3B"/>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47F0E"/>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0FDD"/>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06B8"/>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128"/>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2D8D"/>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1F7A"/>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2AB"/>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3882"/>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7E"/>
    <w:rsid w:val="00517DAF"/>
    <w:rsid w:val="0052078B"/>
    <w:rsid w:val="005209AA"/>
    <w:rsid w:val="00520D05"/>
    <w:rsid w:val="005215DF"/>
    <w:rsid w:val="00522401"/>
    <w:rsid w:val="00522F08"/>
    <w:rsid w:val="00523810"/>
    <w:rsid w:val="00523CFF"/>
    <w:rsid w:val="00523E1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45"/>
    <w:rsid w:val="005508CC"/>
    <w:rsid w:val="00551032"/>
    <w:rsid w:val="005517A1"/>
    <w:rsid w:val="00552BA5"/>
    <w:rsid w:val="00552E04"/>
    <w:rsid w:val="005548BD"/>
    <w:rsid w:val="0055490D"/>
    <w:rsid w:val="00554D8D"/>
    <w:rsid w:val="0055521B"/>
    <w:rsid w:val="0055567E"/>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1F59"/>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6CFC"/>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273FA"/>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3717"/>
    <w:rsid w:val="006E43E0"/>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87D05"/>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1F17"/>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3D8"/>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33CB"/>
    <w:rsid w:val="008345E2"/>
    <w:rsid w:val="008348A8"/>
    <w:rsid w:val="008355FE"/>
    <w:rsid w:val="0083560B"/>
    <w:rsid w:val="0083573F"/>
    <w:rsid w:val="00835F77"/>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9D4"/>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0E57"/>
    <w:rsid w:val="008C154D"/>
    <w:rsid w:val="008C16C1"/>
    <w:rsid w:val="008C1A63"/>
    <w:rsid w:val="008C1F1A"/>
    <w:rsid w:val="008C27F4"/>
    <w:rsid w:val="008C2B62"/>
    <w:rsid w:val="008C3654"/>
    <w:rsid w:val="008C464D"/>
    <w:rsid w:val="008C4AA2"/>
    <w:rsid w:val="008C5263"/>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8CF"/>
    <w:rsid w:val="008F0F01"/>
    <w:rsid w:val="008F13A2"/>
    <w:rsid w:val="008F1E0F"/>
    <w:rsid w:val="008F2437"/>
    <w:rsid w:val="008F269B"/>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6D4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0DFC"/>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606E"/>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59C1"/>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40E"/>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267"/>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AB"/>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6DC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35C5"/>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2FBC"/>
    <w:rsid w:val="00BA3CB8"/>
    <w:rsid w:val="00BA485C"/>
    <w:rsid w:val="00BA54E8"/>
    <w:rsid w:val="00BA5A7D"/>
    <w:rsid w:val="00BA5BB0"/>
    <w:rsid w:val="00BA6668"/>
    <w:rsid w:val="00BA68BA"/>
    <w:rsid w:val="00BA7837"/>
    <w:rsid w:val="00BA7FD0"/>
    <w:rsid w:val="00BB11B8"/>
    <w:rsid w:val="00BB1E4E"/>
    <w:rsid w:val="00BB2718"/>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40A"/>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A51"/>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222A"/>
    <w:rsid w:val="00C33DC4"/>
    <w:rsid w:val="00C33FF4"/>
    <w:rsid w:val="00C340C1"/>
    <w:rsid w:val="00C359E3"/>
    <w:rsid w:val="00C35AC3"/>
    <w:rsid w:val="00C35BC1"/>
    <w:rsid w:val="00C35C68"/>
    <w:rsid w:val="00C36A85"/>
    <w:rsid w:val="00C37ACA"/>
    <w:rsid w:val="00C37FAE"/>
    <w:rsid w:val="00C41533"/>
    <w:rsid w:val="00C41778"/>
    <w:rsid w:val="00C4181C"/>
    <w:rsid w:val="00C4186A"/>
    <w:rsid w:val="00C41F35"/>
    <w:rsid w:val="00C424CF"/>
    <w:rsid w:val="00C42507"/>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6DF7"/>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3E4D"/>
    <w:rsid w:val="00CB67B8"/>
    <w:rsid w:val="00CB6AF3"/>
    <w:rsid w:val="00CB73FC"/>
    <w:rsid w:val="00CB7B5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907"/>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07BF"/>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5A89"/>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3A5"/>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1E"/>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1E9"/>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1DC0"/>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94B"/>
    <w:rsid w:val="00F02C53"/>
    <w:rsid w:val="00F02DC4"/>
    <w:rsid w:val="00F02DF3"/>
    <w:rsid w:val="00F03CF2"/>
    <w:rsid w:val="00F04DE4"/>
    <w:rsid w:val="00F0782F"/>
    <w:rsid w:val="00F07A34"/>
    <w:rsid w:val="00F07BA9"/>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2AAC"/>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6486"/>
    <w:rsid w:val="00FC715D"/>
    <w:rsid w:val="00FC7B40"/>
    <w:rsid w:val="00FD04C9"/>
    <w:rsid w:val="00FD10B7"/>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2849E5"/>
    <w:rsid w:val="017817E5"/>
    <w:rsid w:val="01AE4FF1"/>
    <w:rsid w:val="01C04172"/>
    <w:rsid w:val="02677F09"/>
    <w:rsid w:val="027712E9"/>
    <w:rsid w:val="02F722DD"/>
    <w:rsid w:val="030C4B11"/>
    <w:rsid w:val="03535319"/>
    <w:rsid w:val="037430FF"/>
    <w:rsid w:val="0395734C"/>
    <w:rsid w:val="03C90E3E"/>
    <w:rsid w:val="03DE5169"/>
    <w:rsid w:val="03E65501"/>
    <w:rsid w:val="03F309B7"/>
    <w:rsid w:val="042A498C"/>
    <w:rsid w:val="043C75E8"/>
    <w:rsid w:val="043F3938"/>
    <w:rsid w:val="045A3DE0"/>
    <w:rsid w:val="04675E70"/>
    <w:rsid w:val="049709CC"/>
    <w:rsid w:val="04BB027D"/>
    <w:rsid w:val="04DE2E2A"/>
    <w:rsid w:val="04E45800"/>
    <w:rsid w:val="04E6084E"/>
    <w:rsid w:val="05685093"/>
    <w:rsid w:val="057307C7"/>
    <w:rsid w:val="059B5CB3"/>
    <w:rsid w:val="05BA7A63"/>
    <w:rsid w:val="05BF3392"/>
    <w:rsid w:val="05D74DEF"/>
    <w:rsid w:val="06001572"/>
    <w:rsid w:val="06070B3C"/>
    <w:rsid w:val="06123156"/>
    <w:rsid w:val="063C59AC"/>
    <w:rsid w:val="06F86E12"/>
    <w:rsid w:val="076350D8"/>
    <w:rsid w:val="0853613A"/>
    <w:rsid w:val="085D4307"/>
    <w:rsid w:val="08772BA8"/>
    <w:rsid w:val="088C543E"/>
    <w:rsid w:val="089D06C2"/>
    <w:rsid w:val="08A716A8"/>
    <w:rsid w:val="08BB05AD"/>
    <w:rsid w:val="092D7F56"/>
    <w:rsid w:val="09370A1D"/>
    <w:rsid w:val="0972354A"/>
    <w:rsid w:val="09801BF2"/>
    <w:rsid w:val="09856E06"/>
    <w:rsid w:val="099D0E61"/>
    <w:rsid w:val="09C35B0A"/>
    <w:rsid w:val="09DC59AF"/>
    <w:rsid w:val="09EE0685"/>
    <w:rsid w:val="09F36173"/>
    <w:rsid w:val="09F74796"/>
    <w:rsid w:val="0A70046A"/>
    <w:rsid w:val="0A8628F0"/>
    <w:rsid w:val="0A8B32E4"/>
    <w:rsid w:val="0A98545D"/>
    <w:rsid w:val="0AD65E63"/>
    <w:rsid w:val="0B5A63F6"/>
    <w:rsid w:val="0B95050C"/>
    <w:rsid w:val="0BB4294A"/>
    <w:rsid w:val="0BCD0CFB"/>
    <w:rsid w:val="0BD41793"/>
    <w:rsid w:val="0BF72639"/>
    <w:rsid w:val="0C916757"/>
    <w:rsid w:val="0C9C72F4"/>
    <w:rsid w:val="0CEB3271"/>
    <w:rsid w:val="0D3C4202"/>
    <w:rsid w:val="0D584E8F"/>
    <w:rsid w:val="0D8C3B9F"/>
    <w:rsid w:val="0D8E3B51"/>
    <w:rsid w:val="0DAA2D68"/>
    <w:rsid w:val="0DD87DDA"/>
    <w:rsid w:val="0E561EC9"/>
    <w:rsid w:val="0E8D1670"/>
    <w:rsid w:val="0E9E0916"/>
    <w:rsid w:val="0EC9488A"/>
    <w:rsid w:val="0F052D31"/>
    <w:rsid w:val="0F2C0C95"/>
    <w:rsid w:val="0F3B213B"/>
    <w:rsid w:val="0F4B19A9"/>
    <w:rsid w:val="0FB44597"/>
    <w:rsid w:val="10393302"/>
    <w:rsid w:val="107401BA"/>
    <w:rsid w:val="10741047"/>
    <w:rsid w:val="10751F34"/>
    <w:rsid w:val="10DA56E3"/>
    <w:rsid w:val="10F21FDD"/>
    <w:rsid w:val="10FB564E"/>
    <w:rsid w:val="11233AE2"/>
    <w:rsid w:val="113337E0"/>
    <w:rsid w:val="11496D18"/>
    <w:rsid w:val="11B22E5A"/>
    <w:rsid w:val="11B45BAD"/>
    <w:rsid w:val="11EE3AF2"/>
    <w:rsid w:val="11F11FEB"/>
    <w:rsid w:val="11FE532A"/>
    <w:rsid w:val="120A5483"/>
    <w:rsid w:val="122972B8"/>
    <w:rsid w:val="12557318"/>
    <w:rsid w:val="12661486"/>
    <w:rsid w:val="12BE4D65"/>
    <w:rsid w:val="12CA2CAC"/>
    <w:rsid w:val="12DA0A90"/>
    <w:rsid w:val="12DD0979"/>
    <w:rsid w:val="12E166FC"/>
    <w:rsid w:val="12E763C0"/>
    <w:rsid w:val="131F57BA"/>
    <w:rsid w:val="134A6FCB"/>
    <w:rsid w:val="135D5A35"/>
    <w:rsid w:val="138C3A1C"/>
    <w:rsid w:val="13AB21A5"/>
    <w:rsid w:val="13CE5618"/>
    <w:rsid w:val="1442642D"/>
    <w:rsid w:val="145923EB"/>
    <w:rsid w:val="14FF608C"/>
    <w:rsid w:val="150547AD"/>
    <w:rsid w:val="15194DE5"/>
    <w:rsid w:val="1568238F"/>
    <w:rsid w:val="159B1441"/>
    <w:rsid w:val="15B601F1"/>
    <w:rsid w:val="15D0290C"/>
    <w:rsid w:val="15F36D2F"/>
    <w:rsid w:val="166C5204"/>
    <w:rsid w:val="166C525C"/>
    <w:rsid w:val="16AA49A9"/>
    <w:rsid w:val="16B23687"/>
    <w:rsid w:val="16BE70F8"/>
    <w:rsid w:val="17020660"/>
    <w:rsid w:val="17575B7A"/>
    <w:rsid w:val="176D779B"/>
    <w:rsid w:val="17855D1B"/>
    <w:rsid w:val="17A162DA"/>
    <w:rsid w:val="17A65B75"/>
    <w:rsid w:val="17AC7735"/>
    <w:rsid w:val="17C34163"/>
    <w:rsid w:val="17C6169E"/>
    <w:rsid w:val="17D16E4F"/>
    <w:rsid w:val="18017DED"/>
    <w:rsid w:val="18100F21"/>
    <w:rsid w:val="182846E6"/>
    <w:rsid w:val="184A1BED"/>
    <w:rsid w:val="186F6860"/>
    <w:rsid w:val="188E2962"/>
    <w:rsid w:val="18FD4EAE"/>
    <w:rsid w:val="193172FE"/>
    <w:rsid w:val="193B71D8"/>
    <w:rsid w:val="19460A4F"/>
    <w:rsid w:val="198E53C7"/>
    <w:rsid w:val="19C843C5"/>
    <w:rsid w:val="19FC23F9"/>
    <w:rsid w:val="1A3F18F0"/>
    <w:rsid w:val="1A66780B"/>
    <w:rsid w:val="1A8805F1"/>
    <w:rsid w:val="1A9F7D31"/>
    <w:rsid w:val="1AA34F29"/>
    <w:rsid w:val="1AA96C13"/>
    <w:rsid w:val="1ABD70E7"/>
    <w:rsid w:val="1AF7029F"/>
    <w:rsid w:val="1B7568B4"/>
    <w:rsid w:val="1BBA0A44"/>
    <w:rsid w:val="1BD532EF"/>
    <w:rsid w:val="1C0519C3"/>
    <w:rsid w:val="1C584F3C"/>
    <w:rsid w:val="1C6A10FC"/>
    <w:rsid w:val="1C73301F"/>
    <w:rsid w:val="1C7C705C"/>
    <w:rsid w:val="1CC946CD"/>
    <w:rsid w:val="1CDA1D95"/>
    <w:rsid w:val="1CDE5E0F"/>
    <w:rsid w:val="1CFC2573"/>
    <w:rsid w:val="1D097613"/>
    <w:rsid w:val="1D137C35"/>
    <w:rsid w:val="1D2334BA"/>
    <w:rsid w:val="1D6D7BF1"/>
    <w:rsid w:val="1D76501D"/>
    <w:rsid w:val="1D7F0777"/>
    <w:rsid w:val="1D837B1A"/>
    <w:rsid w:val="1DB70F80"/>
    <w:rsid w:val="1DD168F7"/>
    <w:rsid w:val="1DE179B6"/>
    <w:rsid w:val="1E381C6D"/>
    <w:rsid w:val="1E3D5154"/>
    <w:rsid w:val="1E3E78FA"/>
    <w:rsid w:val="1E4D2EA1"/>
    <w:rsid w:val="1E6316A2"/>
    <w:rsid w:val="1E9A1CC6"/>
    <w:rsid w:val="1EBD07F4"/>
    <w:rsid w:val="1EC01F63"/>
    <w:rsid w:val="1F020E4B"/>
    <w:rsid w:val="1F06103C"/>
    <w:rsid w:val="1F184567"/>
    <w:rsid w:val="1F3072AF"/>
    <w:rsid w:val="1F4868E1"/>
    <w:rsid w:val="1FA7757E"/>
    <w:rsid w:val="1FD0240A"/>
    <w:rsid w:val="1FF40DD1"/>
    <w:rsid w:val="20772BF8"/>
    <w:rsid w:val="207C11B1"/>
    <w:rsid w:val="20906486"/>
    <w:rsid w:val="20A34016"/>
    <w:rsid w:val="20B12031"/>
    <w:rsid w:val="20C74033"/>
    <w:rsid w:val="20CC0CF3"/>
    <w:rsid w:val="20F20D49"/>
    <w:rsid w:val="21206F11"/>
    <w:rsid w:val="21285F22"/>
    <w:rsid w:val="21640812"/>
    <w:rsid w:val="217B6652"/>
    <w:rsid w:val="218E535D"/>
    <w:rsid w:val="21960C74"/>
    <w:rsid w:val="21AC44B7"/>
    <w:rsid w:val="21BB5803"/>
    <w:rsid w:val="21F46CA1"/>
    <w:rsid w:val="21FF18ED"/>
    <w:rsid w:val="2215470A"/>
    <w:rsid w:val="225A1AD9"/>
    <w:rsid w:val="225C5190"/>
    <w:rsid w:val="227B607F"/>
    <w:rsid w:val="22B2412C"/>
    <w:rsid w:val="22B44989"/>
    <w:rsid w:val="22B92862"/>
    <w:rsid w:val="22E456FA"/>
    <w:rsid w:val="22EA55E2"/>
    <w:rsid w:val="230D070E"/>
    <w:rsid w:val="23201852"/>
    <w:rsid w:val="23211D49"/>
    <w:rsid w:val="23BF753B"/>
    <w:rsid w:val="24197DF6"/>
    <w:rsid w:val="242877EB"/>
    <w:rsid w:val="24C832EE"/>
    <w:rsid w:val="24F75CD4"/>
    <w:rsid w:val="25096490"/>
    <w:rsid w:val="25610581"/>
    <w:rsid w:val="257343E5"/>
    <w:rsid w:val="25C6441A"/>
    <w:rsid w:val="25DF3AA3"/>
    <w:rsid w:val="261352C1"/>
    <w:rsid w:val="2621720A"/>
    <w:rsid w:val="26254C07"/>
    <w:rsid w:val="26F4625D"/>
    <w:rsid w:val="271A299F"/>
    <w:rsid w:val="273B33CB"/>
    <w:rsid w:val="27450C40"/>
    <w:rsid w:val="27650EA6"/>
    <w:rsid w:val="27FF7FD3"/>
    <w:rsid w:val="2815035C"/>
    <w:rsid w:val="285C2886"/>
    <w:rsid w:val="28623586"/>
    <w:rsid w:val="28D8676A"/>
    <w:rsid w:val="291264A6"/>
    <w:rsid w:val="29180863"/>
    <w:rsid w:val="292E577A"/>
    <w:rsid w:val="29411C66"/>
    <w:rsid w:val="295E4FB0"/>
    <w:rsid w:val="29B86B3B"/>
    <w:rsid w:val="29B93EFB"/>
    <w:rsid w:val="29E44CE8"/>
    <w:rsid w:val="2A005899"/>
    <w:rsid w:val="2A0D0BA3"/>
    <w:rsid w:val="2A7F1AFE"/>
    <w:rsid w:val="2AA67B45"/>
    <w:rsid w:val="2ABF3334"/>
    <w:rsid w:val="2AC67343"/>
    <w:rsid w:val="2AC77901"/>
    <w:rsid w:val="2AD75E77"/>
    <w:rsid w:val="2AF01A2B"/>
    <w:rsid w:val="2B362EEB"/>
    <w:rsid w:val="2B3F13B9"/>
    <w:rsid w:val="2B686F2C"/>
    <w:rsid w:val="2B940685"/>
    <w:rsid w:val="2BB73B69"/>
    <w:rsid w:val="2C043861"/>
    <w:rsid w:val="2C145AF1"/>
    <w:rsid w:val="2C3731CD"/>
    <w:rsid w:val="2C4D294D"/>
    <w:rsid w:val="2C4E49A0"/>
    <w:rsid w:val="2C5A0F22"/>
    <w:rsid w:val="2C5D6D5D"/>
    <w:rsid w:val="2C9B770C"/>
    <w:rsid w:val="2C9E6F09"/>
    <w:rsid w:val="2CA722ED"/>
    <w:rsid w:val="2CC26D50"/>
    <w:rsid w:val="2CDC62BD"/>
    <w:rsid w:val="2CE44639"/>
    <w:rsid w:val="2D2552B7"/>
    <w:rsid w:val="2D4C45E3"/>
    <w:rsid w:val="2DBB5788"/>
    <w:rsid w:val="2E5B5251"/>
    <w:rsid w:val="2E6140F0"/>
    <w:rsid w:val="2E6A1883"/>
    <w:rsid w:val="2E6F3B74"/>
    <w:rsid w:val="2EAA4C99"/>
    <w:rsid w:val="2EAF20CF"/>
    <w:rsid w:val="2EC01BDE"/>
    <w:rsid w:val="2ED22585"/>
    <w:rsid w:val="2F072678"/>
    <w:rsid w:val="2F5A0CD2"/>
    <w:rsid w:val="2F6D2C3B"/>
    <w:rsid w:val="2FE47BD6"/>
    <w:rsid w:val="2FE958AB"/>
    <w:rsid w:val="302B4EC5"/>
    <w:rsid w:val="30316D46"/>
    <w:rsid w:val="305114F2"/>
    <w:rsid w:val="307B7FF6"/>
    <w:rsid w:val="30823A48"/>
    <w:rsid w:val="30AF151B"/>
    <w:rsid w:val="30D42165"/>
    <w:rsid w:val="310E1AB5"/>
    <w:rsid w:val="31170E1B"/>
    <w:rsid w:val="311C06C4"/>
    <w:rsid w:val="311E69F9"/>
    <w:rsid w:val="313728E3"/>
    <w:rsid w:val="313B7061"/>
    <w:rsid w:val="315344DD"/>
    <w:rsid w:val="31543128"/>
    <w:rsid w:val="316D6E89"/>
    <w:rsid w:val="31DC5C69"/>
    <w:rsid w:val="31F77552"/>
    <w:rsid w:val="31FB1671"/>
    <w:rsid w:val="32586D0E"/>
    <w:rsid w:val="329B1F23"/>
    <w:rsid w:val="32A17001"/>
    <w:rsid w:val="32B36873"/>
    <w:rsid w:val="33095F26"/>
    <w:rsid w:val="330A58F7"/>
    <w:rsid w:val="332D5024"/>
    <w:rsid w:val="338D5265"/>
    <w:rsid w:val="33CF51A0"/>
    <w:rsid w:val="34323825"/>
    <w:rsid w:val="3458146B"/>
    <w:rsid w:val="345848D2"/>
    <w:rsid w:val="347455E8"/>
    <w:rsid w:val="347B5AFD"/>
    <w:rsid w:val="34823FC6"/>
    <w:rsid w:val="34C972C7"/>
    <w:rsid w:val="34D62BAB"/>
    <w:rsid w:val="34E450B9"/>
    <w:rsid w:val="35A07141"/>
    <w:rsid w:val="35A9742A"/>
    <w:rsid w:val="35BA0DFB"/>
    <w:rsid w:val="35C92764"/>
    <w:rsid w:val="35D67B2B"/>
    <w:rsid w:val="35E5569B"/>
    <w:rsid w:val="360B4741"/>
    <w:rsid w:val="36211C20"/>
    <w:rsid w:val="362B2888"/>
    <w:rsid w:val="36410A03"/>
    <w:rsid w:val="364B6885"/>
    <w:rsid w:val="36734AE1"/>
    <w:rsid w:val="36DE1B28"/>
    <w:rsid w:val="36EF0D53"/>
    <w:rsid w:val="36F36645"/>
    <w:rsid w:val="3714121F"/>
    <w:rsid w:val="372713F7"/>
    <w:rsid w:val="372C1DF3"/>
    <w:rsid w:val="372C30AE"/>
    <w:rsid w:val="377D6746"/>
    <w:rsid w:val="37F27270"/>
    <w:rsid w:val="38015064"/>
    <w:rsid w:val="381F77E2"/>
    <w:rsid w:val="38364A80"/>
    <w:rsid w:val="3874667D"/>
    <w:rsid w:val="38AD23AA"/>
    <w:rsid w:val="38AE6E00"/>
    <w:rsid w:val="38BB25C4"/>
    <w:rsid w:val="38C64EB1"/>
    <w:rsid w:val="38D002EE"/>
    <w:rsid w:val="38ED0E82"/>
    <w:rsid w:val="392B76DE"/>
    <w:rsid w:val="393E5608"/>
    <w:rsid w:val="39743291"/>
    <w:rsid w:val="398524FE"/>
    <w:rsid w:val="399D3058"/>
    <w:rsid w:val="39A3523D"/>
    <w:rsid w:val="39B94230"/>
    <w:rsid w:val="39BE6B2C"/>
    <w:rsid w:val="3A0D464D"/>
    <w:rsid w:val="3A1002F5"/>
    <w:rsid w:val="3A1C0720"/>
    <w:rsid w:val="3A3A6DCD"/>
    <w:rsid w:val="3A790F40"/>
    <w:rsid w:val="3A8544A5"/>
    <w:rsid w:val="3A9251FE"/>
    <w:rsid w:val="3ABA65C5"/>
    <w:rsid w:val="3B532CD4"/>
    <w:rsid w:val="3B5C5DFB"/>
    <w:rsid w:val="3B6E1BB4"/>
    <w:rsid w:val="3B8E1D0F"/>
    <w:rsid w:val="3BE64743"/>
    <w:rsid w:val="3C1357F2"/>
    <w:rsid w:val="3C1B5B88"/>
    <w:rsid w:val="3C2E3E5F"/>
    <w:rsid w:val="3CA15CFF"/>
    <w:rsid w:val="3CA73C95"/>
    <w:rsid w:val="3D090345"/>
    <w:rsid w:val="3D0F493A"/>
    <w:rsid w:val="3D1905F0"/>
    <w:rsid w:val="3D2A190F"/>
    <w:rsid w:val="3D7C202D"/>
    <w:rsid w:val="3D8A73B5"/>
    <w:rsid w:val="3DC31A29"/>
    <w:rsid w:val="3DCF71B1"/>
    <w:rsid w:val="3E234C40"/>
    <w:rsid w:val="3E392A5B"/>
    <w:rsid w:val="3E665142"/>
    <w:rsid w:val="3E8B553B"/>
    <w:rsid w:val="3E8D664D"/>
    <w:rsid w:val="3ED21B07"/>
    <w:rsid w:val="3ED5303B"/>
    <w:rsid w:val="3EEA5312"/>
    <w:rsid w:val="3EEF0377"/>
    <w:rsid w:val="3EF77F02"/>
    <w:rsid w:val="3F0455BA"/>
    <w:rsid w:val="3F214DCA"/>
    <w:rsid w:val="3F416A34"/>
    <w:rsid w:val="3FA87D5B"/>
    <w:rsid w:val="3FE67405"/>
    <w:rsid w:val="4026162F"/>
    <w:rsid w:val="403D35E8"/>
    <w:rsid w:val="40591FCD"/>
    <w:rsid w:val="40665E58"/>
    <w:rsid w:val="40764AA2"/>
    <w:rsid w:val="407B009B"/>
    <w:rsid w:val="40866E16"/>
    <w:rsid w:val="40A2500A"/>
    <w:rsid w:val="41300B05"/>
    <w:rsid w:val="4134477F"/>
    <w:rsid w:val="413A3FCC"/>
    <w:rsid w:val="414578F8"/>
    <w:rsid w:val="418876C9"/>
    <w:rsid w:val="419C1390"/>
    <w:rsid w:val="41BE3809"/>
    <w:rsid w:val="41C02B53"/>
    <w:rsid w:val="41C533FF"/>
    <w:rsid w:val="41E807EC"/>
    <w:rsid w:val="41F855A3"/>
    <w:rsid w:val="41FD4DC8"/>
    <w:rsid w:val="42381070"/>
    <w:rsid w:val="42390B0C"/>
    <w:rsid w:val="42416E03"/>
    <w:rsid w:val="42694383"/>
    <w:rsid w:val="428472B0"/>
    <w:rsid w:val="429164AC"/>
    <w:rsid w:val="42E47285"/>
    <w:rsid w:val="43041100"/>
    <w:rsid w:val="43204C4F"/>
    <w:rsid w:val="4360648C"/>
    <w:rsid w:val="43860D7A"/>
    <w:rsid w:val="438C3998"/>
    <w:rsid w:val="439547A7"/>
    <w:rsid w:val="43B928D4"/>
    <w:rsid w:val="43C971BA"/>
    <w:rsid w:val="43CC1E5E"/>
    <w:rsid w:val="441C0F54"/>
    <w:rsid w:val="447447B7"/>
    <w:rsid w:val="44DF5A87"/>
    <w:rsid w:val="44EA44D8"/>
    <w:rsid w:val="44F74EBF"/>
    <w:rsid w:val="456A43EE"/>
    <w:rsid w:val="45B700A5"/>
    <w:rsid w:val="45FE0CF5"/>
    <w:rsid w:val="465A0DFB"/>
    <w:rsid w:val="467D21F0"/>
    <w:rsid w:val="46DB7EF9"/>
    <w:rsid w:val="46E64611"/>
    <w:rsid w:val="470D60EB"/>
    <w:rsid w:val="471709F3"/>
    <w:rsid w:val="471B24E4"/>
    <w:rsid w:val="476022E0"/>
    <w:rsid w:val="476E32D5"/>
    <w:rsid w:val="479C77F7"/>
    <w:rsid w:val="47C42DB6"/>
    <w:rsid w:val="47EF568F"/>
    <w:rsid w:val="47F50C40"/>
    <w:rsid w:val="48314807"/>
    <w:rsid w:val="483E787B"/>
    <w:rsid w:val="48447573"/>
    <w:rsid w:val="485843F3"/>
    <w:rsid w:val="486971CC"/>
    <w:rsid w:val="48744C87"/>
    <w:rsid w:val="487B68B7"/>
    <w:rsid w:val="488308DD"/>
    <w:rsid w:val="488A53EF"/>
    <w:rsid w:val="48BE2E0B"/>
    <w:rsid w:val="48BE5CF6"/>
    <w:rsid w:val="48E5774E"/>
    <w:rsid w:val="48EC262B"/>
    <w:rsid w:val="48EC5906"/>
    <w:rsid w:val="48EE6EB1"/>
    <w:rsid w:val="493044B4"/>
    <w:rsid w:val="49405D4B"/>
    <w:rsid w:val="4969480F"/>
    <w:rsid w:val="49701D83"/>
    <w:rsid w:val="49FA26B6"/>
    <w:rsid w:val="4A1C767F"/>
    <w:rsid w:val="4A232682"/>
    <w:rsid w:val="4AC44560"/>
    <w:rsid w:val="4AEE16DD"/>
    <w:rsid w:val="4B205C22"/>
    <w:rsid w:val="4B366B34"/>
    <w:rsid w:val="4B6B14EB"/>
    <w:rsid w:val="4BAA3452"/>
    <w:rsid w:val="4BC4333E"/>
    <w:rsid w:val="4BC5477B"/>
    <w:rsid w:val="4BE66C3B"/>
    <w:rsid w:val="4C0A72EB"/>
    <w:rsid w:val="4C3A3925"/>
    <w:rsid w:val="4C501DA4"/>
    <w:rsid w:val="4C60405C"/>
    <w:rsid w:val="4C6D6775"/>
    <w:rsid w:val="4CBD5A11"/>
    <w:rsid w:val="4CFB5A7E"/>
    <w:rsid w:val="4D11357A"/>
    <w:rsid w:val="4D2C435C"/>
    <w:rsid w:val="4D6752EC"/>
    <w:rsid w:val="4D87173A"/>
    <w:rsid w:val="4DE7321B"/>
    <w:rsid w:val="4E4B5CDE"/>
    <w:rsid w:val="4E8D488D"/>
    <w:rsid w:val="4E97612B"/>
    <w:rsid w:val="4EC30645"/>
    <w:rsid w:val="4ECD598F"/>
    <w:rsid w:val="4ECE7FDD"/>
    <w:rsid w:val="4EEE1BA3"/>
    <w:rsid w:val="4F070EDD"/>
    <w:rsid w:val="4F18045B"/>
    <w:rsid w:val="4F245AF0"/>
    <w:rsid w:val="4F27701A"/>
    <w:rsid w:val="4F325ECA"/>
    <w:rsid w:val="4F6B7839"/>
    <w:rsid w:val="4F850B37"/>
    <w:rsid w:val="4F936CAB"/>
    <w:rsid w:val="4FCF1100"/>
    <w:rsid w:val="4FE067F0"/>
    <w:rsid w:val="4FFD4731"/>
    <w:rsid w:val="503930A6"/>
    <w:rsid w:val="503A3170"/>
    <w:rsid w:val="5059015F"/>
    <w:rsid w:val="50696CDE"/>
    <w:rsid w:val="50724BB8"/>
    <w:rsid w:val="50E04034"/>
    <w:rsid w:val="51132F6E"/>
    <w:rsid w:val="512A5D50"/>
    <w:rsid w:val="51424AC7"/>
    <w:rsid w:val="51436F80"/>
    <w:rsid w:val="51B907B6"/>
    <w:rsid w:val="51CB7D37"/>
    <w:rsid w:val="51F97F25"/>
    <w:rsid w:val="521C715F"/>
    <w:rsid w:val="522761D5"/>
    <w:rsid w:val="5259617D"/>
    <w:rsid w:val="52616DC3"/>
    <w:rsid w:val="529243CA"/>
    <w:rsid w:val="52A17AA1"/>
    <w:rsid w:val="52B9654E"/>
    <w:rsid w:val="52CC2044"/>
    <w:rsid w:val="52D80EED"/>
    <w:rsid w:val="52EF41C5"/>
    <w:rsid w:val="531504A5"/>
    <w:rsid w:val="5330517C"/>
    <w:rsid w:val="53404341"/>
    <w:rsid w:val="536710E8"/>
    <w:rsid w:val="544B4A25"/>
    <w:rsid w:val="548A3D3F"/>
    <w:rsid w:val="549A61A8"/>
    <w:rsid w:val="54A907CF"/>
    <w:rsid w:val="54DA5459"/>
    <w:rsid w:val="54FD6156"/>
    <w:rsid w:val="5515684A"/>
    <w:rsid w:val="55227EC2"/>
    <w:rsid w:val="555838FA"/>
    <w:rsid w:val="55E907A8"/>
    <w:rsid w:val="55F83153"/>
    <w:rsid w:val="56186829"/>
    <w:rsid w:val="56256549"/>
    <w:rsid w:val="56330890"/>
    <w:rsid w:val="56397DF3"/>
    <w:rsid w:val="56532ADB"/>
    <w:rsid w:val="56542E9D"/>
    <w:rsid w:val="56567834"/>
    <w:rsid w:val="565D59D6"/>
    <w:rsid w:val="56AB35C5"/>
    <w:rsid w:val="56AF5AE9"/>
    <w:rsid w:val="56B620F3"/>
    <w:rsid w:val="571D01A9"/>
    <w:rsid w:val="57523710"/>
    <w:rsid w:val="577231AB"/>
    <w:rsid w:val="57915C08"/>
    <w:rsid w:val="57EC6060"/>
    <w:rsid w:val="58194528"/>
    <w:rsid w:val="583C554A"/>
    <w:rsid w:val="5853059E"/>
    <w:rsid w:val="585B5736"/>
    <w:rsid w:val="58826D91"/>
    <w:rsid w:val="58A55CCC"/>
    <w:rsid w:val="58CD6518"/>
    <w:rsid w:val="58D861FF"/>
    <w:rsid w:val="58E561F0"/>
    <w:rsid w:val="58EE6F43"/>
    <w:rsid w:val="590251D6"/>
    <w:rsid w:val="59191152"/>
    <w:rsid w:val="59373D38"/>
    <w:rsid w:val="595B63B3"/>
    <w:rsid w:val="59750726"/>
    <w:rsid w:val="59C11095"/>
    <w:rsid w:val="5A7D2048"/>
    <w:rsid w:val="5A8470CC"/>
    <w:rsid w:val="5A9151EC"/>
    <w:rsid w:val="5A964E75"/>
    <w:rsid w:val="5B17582E"/>
    <w:rsid w:val="5B1B074B"/>
    <w:rsid w:val="5B9915F6"/>
    <w:rsid w:val="5BBB046C"/>
    <w:rsid w:val="5BC225AF"/>
    <w:rsid w:val="5BD02DEB"/>
    <w:rsid w:val="5BE8647A"/>
    <w:rsid w:val="5C1A74EB"/>
    <w:rsid w:val="5C591B16"/>
    <w:rsid w:val="5C6E3866"/>
    <w:rsid w:val="5C8730E0"/>
    <w:rsid w:val="5CA30F05"/>
    <w:rsid w:val="5CCA1430"/>
    <w:rsid w:val="5CCC2549"/>
    <w:rsid w:val="5D222601"/>
    <w:rsid w:val="5D3D2898"/>
    <w:rsid w:val="5DA52845"/>
    <w:rsid w:val="5DE91B71"/>
    <w:rsid w:val="5E0D5A23"/>
    <w:rsid w:val="5E2A0E33"/>
    <w:rsid w:val="5E497AC5"/>
    <w:rsid w:val="5E836F0F"/>
    <w:rsid w:val="5E8B4E9A"/>
    <w:rsid w:val="5E9C5BF5"/>
    <w:rsid w:val="5EC1291B"/>
    <w:rsid w:val="5EE27159"/>
    <w:rsid w:val="5F086956"/>
    <w:rsid w:val="5F7921B3"/>
    <w:rsid w:val="5F967C47"/>
    <w:rsid w:val="5FA62E15"/>
    <w:rsid w:val="5FFD3339"/>
    <w:rsid w:val="600C6168"/>
    <w:rsid w:val="60171A23"/>
    <w:rsid w:val="60C23951"/>
    <w:rsid w:val="60E23C58"/>
    <w:rsid w:val="60F17E50"/>
    <w:rsid w:val="61047491"/>
    <w:rsid w:val="61312DDF"/>
    <w:rsid w:val="614E333E"/>
    <w:rsid w:val="616B1D68"/>
    <w:rsid w:val="617A44EA"/>
    <w:rsid w:val="61AA1445"/>
    <w:rsid w:val="6214708C"/>
    <w:rsid w:val="62491E16"/>
    <w:rsid w:val="626D1CAC"/>
    <w:rsid w:val="628122CD"/>
    <w:rsid w:val="62AA5D18"/>
    <w:rsid w:val="630C7E12"/>
    <w:rsid w:val="634451C5"/>
    <w:rsid w:val="63485480"/>
    <w:rsid w:val="63522358"/>
    <w:rsid w:val="63795FFC"/>
    <w:rsid w:val="63951476"/>
    <w:rsid w:val="63A54C70"/>
    <w:rsid w:val="63AF53FF"/>
    <w:rsid w:val="63D05841"/>
    <w:rsid w:val="63D7140B"/>
    <w:rsid w:val="63EB2FE5"/>
    <w:rsid w:val="640574B6"/>
    <w:rsid w:val="640A4249"/>
    <w:rsid w:val="64264CB8"/>
    <w:rsid w:val="643E2676"/>
    <w:rsid w:val="64752592"/>
    <w:rsid w:val="64DB313A"/>
    <w:rsid w:val="65067BB9"/>
    <w:rsid w:val="655F1CB6"/>
    <w:rsid w:val="65A308CB"/>
    <w:rsid w:val="65A3736C"/>
    <w:rsid w:val="65CA0CFD"/>
    <w:rsid w:val="65CE7BC5"/>
    <w:rsid w:val="65D30747"/>
    <w:rsid w:val="65D8286E"/>
    <w:rsid w:val="65EB24F7"/>
    <w:rsid w:val="66041C35"/>
    <w:rsid w:val="664D3D7D"/>
    <w:rsid w:val="665B3101"/>
    <w:rsid w:val="666049FF"/>
    <w:rsid w:val="66952B3E"/>
    <w:rsid w:val="66997C6C"/>
    <w:rsid w:val="66A523A1"/>
    <w:rsid w:val="66B33C1D"/>
    <w:rsid w:val="66B72AA3"/>
    <w:rsid w:val="66BB6485"/>
    <w:rsid w:val="66FD22DD"/>
    <w:rsid w:val="671E74EF"/>
    <w:rsid w:val="67577196"/>
    <w:rsid w:val="678B32C8"/>
    <w:rsid w:val="679942FF"/>
    <w:rsid w:val="67CC3D28"/>
    <w:rsid w:val="67F41932"/>
    <w:rsid w:val="682974CA"/>
    <w:rsid w:val="68362568"/>
    <w:rsid w:val="684D3320"/>
    <w:rsid w:val="68632E2A"/>
    <w:rsid w:val="68957249"/>
    <w:rsid w:val="68AE760A"/>
    <w:rsid w:val="68EE67FC"/>
    <w:rsid w:val="691C2949"/>
    <w:rsid w:val="697C2AAD"/>
    <w:rsid w:val="698B519A"/>
    <w:rsid w:val="69DE22B0"/>
    <w:rsid w:val="69E15581"/>
    <w:rsid w:val="6A467929"/>
    <w:rsid w:val="6A583C11"/>
    <w:rsid w:val="6A820B70"/>
    <w:rsid w:val="6AAD78D3"/>
    <w:rsid w:val="6AAF2C38"/>
    <w:rsid w:val="6B323389"/>
    <w:rsid w:val="6B3348C1"/>
    <w:rsid w:val="6B5D72DA"/>
    <w:rsid w:val="6B7C346D"/>
    <w:rsid w:val="6B884178"/>
    <w:rsid w:val="6BA63111"/>
    <w:rsid w:val="6BBE123B"/>
    <w:rsid w:val="6BEA7161"/>
    <w:rsid w:val="6C1F16F3"/>
    <w:rsid w:val="6CA73FBB"/>
    <w:rsid w:val="6D1E6AFD"/>
    <w:rsid w:val="6D447C6A"/>
    <w:rsid w:val="6D652DF5"/>
    <w:rsid w:val="6D8917F8"/>
    <w:rsid w:val="6DCE79AD"/>
    <w:rsid w:val="6DD20F27"/>
    <w:rsid w:val="6DF56E2D"/>
    <w:rsid w:val="6E15243A"/>
    <w:rsid w:val="6E563BC0"/>
    <w:rsid w:val="6EA8216A"/>
    <w:rsid w:val="6EEE5089"/>
    <w:rsid w:val="6F094839"/>
    <w:rsid w:val="6F1922E0"/>
    <w:rsid w:val="6F387D77"/>
    <w:rsid w:val="6F440184"/>
    <w:rsid w:val="6FA061D5"/>
    <w:rsid w:val="6FED13A0"/>
    <w:rsid w:val="70392619"/>
    <w:rsid w:val="70784621"/>
    <w:rsid w:val="708E0993"/>
    <w:rsid w:val="70F72370"/>
    <w:rsid w:val="7101346B"/>
    <w:rsid w:val="71447311"/>
    <w:rsid w:val="71706AB1"/>
    <w:rsid w:val="71972501"/>
    <w:rsid w:val="71BE6F98"/>
    <w:rsid w:val="71E47092"/>
    <w:rsid w:val="71F15974"/>
    <w:rsid w:val="720A62AA"/>
    <w:rsid w:val="72311568"/>
    <w:rsid w:val="725F62D6"/>
    <w:rsid w:val="7284752B"/>
    <w:rsid w:val="72AA3735"/>
    <w:rsid w:val="72C95694"/>
    <w:rsid w:val="7334245F"/>
    <w:rsid w:val="73460F57"/>
    <w:rsid w:val="73810361"/>
    <w:rsid w:val="73904291"/>
    <w:rsid w:val="739A73DF"/>
    <w:rsid w:val="73E500A5"/>
    <w:rsid w:val="74123CE2"/>
    <w:rsid w:val="74915BA6"/>
    <w:rsid w:val="74E81938"/>
    <w:rsid w:val="757B15C1"/>
    <w:rsid w:val="759A12D4"/>
    <w:rsid w:val="75BD5696"/>
    <w:rsid w:val="75BE1583"/>
    <w:rsid w:val="75DB3DEE"/>
    <w:rsid w:val="75E4733C"/>
    <w:rsid w:val="75F61C3A"/>
    <w:rsid w:val="761C2160"/>
    <w:rsid w:val="763C3036"/>
    <w:rsid w:val="7667022D"/>
    <w:rsid w:val="76B601FF"/>
    <w:rsid w:val="76B73C0E"/>
    <w:rsid w:val="76F27C2C"/>
    <w:rsid w:val="76FD2E1B"/>
    <w:rsid w:val="7703655A"/>
    <w:rsid w:val="773176E6"/>
    <w:rsid w:val="775F1CC9"/>
    <w:rsid w:val="77915591"/>
    <w:rsid w:val="77921AE2"/>
    <w:rsid w:val="77BA3D2E"/>
    <w:rsid w:val="77D017D2"/>
    <w:rsid w:val="77D47054"/>
    <w:rsid w:val="77DB173C"/>
    <w:rsid w:val="78265518"/>
    <w:rsid w:val="78535672"/>
    <w:rsid w:val="78A1117D"/>
    <w:rsid w:val="78D80AD7"/>
    <w:rsid w:val="78F34AC2"/>
    <w:rsid w:val="79421F7A"/>
    <w:rsid w:val="79537B9B"/>
    <w:rsid w:val="7A13777D"/>
    <w:rsid w:val="7A3E678D"/>
    <w:rsid w:val="7A4706CE"/>
    <w:rsid w:val="7A5E2FC2"/>
    <w:rsid w:val="7A7B0929"/>
    <w:rsid w:val="7A9A7DE1"/>
    <w:rsid w:val="7AA15AD1"/>
    <w:rsid w:val="7AB425B6"/>
    <w:rsid w:val="7AC13936"/>
    <w:rsid w:val="7AD44EAA"/>
    <w:rsid w:val="7AD92A5A"/>
    <w:rsid w:val="7AFF075D"/>
    <w:rsid w:val="7B086A5C"/>
    <w:rsid w:val="7B126103"/>
    <w:rsid w:val="7B25232A"/>
    <w:rsid w:val="7B3A04D3"/>
    <w:rsid w:val="7B4819D8"/>
    <w:rsid w:val="7B723875"/>
    <w:rsid w:val="7B984FC8"/>
    <w:rsid w:val="7BFD3CD4"/>
    <w:rsid w:val="7C193A59"/>
    <w:rsid w:val="7C2329AC"/>
    <w:rsid w:val="7C2C086D"/>
    <w:rsid w:val="7C69231B"/>
    <w:rsid w:val="7CFC35E7"/>
    <w:rsid w:val="7D1772E6"/>
    <w:rsid w:val="7D301112"/>
    <w:rsid w:val="7D453161"/>
    <w:rsid w:val="7D5D3E1B"/>
    <w:rsid w:val="7D715F67"/>
    <w:rsid w:val="7D880371"/>
    <w:rsid w:val="7D990694"/>
    <w:rsid w:val="7DDF5B2C"/>
    <w:rsid w:val="7E4D79C6"/>
    <w:rsid w:val="7E5F3D15"/>
    <w:rsid w:val="7E697E23"/>
    <w:rsid w:val="7E91611B"/>
    <w:rsid w:val="7E940152"/>
    <w:rsid w:val="7E997182"/>
    <w:rsid w:val="7F341580"/>
    <w:rsid w:val="7F4428D4"/>
    <w:rsid w:val="7F774C67"/>
    <w:rsid w:val="7F8C6CA7"/>
    <w:rsid w:val="7FC7265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imes New Roman" w:hAnsi="Times New Roman"/>
      <w:kern w:val="0"/>
      <w:sz w:val="18"/>
      <w:szCs w:val="18"/>
      <w:lang w:val="zh-CN"/>
    </w:rPr>
  </w:style>
  <w:style w:type="paragraph" w:styleId="3">
    <w:name w:val="footer"/>
    <w:basedOn w:val="1"/>
    <w:link w:val="11"/>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unhideWhenUsed/>
    <w:qFormat/>
    <w:uiPriority w:val="99"/>
    <w:pPr>
      <w:spacing w:before="100" w:beforeAutospacing="1" w:after="100" w:afterAutospacing="1"/>
    </w:pPr>
    <w:rPr>
      <w:rFonts w:ascii="宋体" w:hAnsi="宋体" w:cs="宋体"/>
    </w:r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脚 字符"/>
    <w:link w:val="3"/>
    <w:qFormat/>
    <w:uiPriority w:val="99"/>
    <w:rPr>
      <w:sz w:val="18"/>
      <w:szCs w:val="18"/>
    </w:rPr>
  </w:style>
  <w:style w:type="character" w:customStyle="1" w:styleId="12">
    <w:name w:val="页眉 字符"/>
    <w:link w:val="4"/>
    <w:qFormat/>
    <w:uiPriority w:val="99"/>
    <w:rPr>
      <w:sz w:val="18"/>
      <w:szCs w:val="18"/>
    </w:rPr>
  </w:style>
  <w:style w:type="character" w:customStyle="1" w:styleId="13">
    <w:name w:val="批注框文本 字符"/>
    <w:link w:val="2"/>
    <w:semiHidden/>
    <w:qFormat/>
    <w:uiPriority w:val="99"/>
    <w:rPr>
      <w:sz w:val="18"/>
      <w:szCs w:val="18"/>
    </w:rPr>
  </w:style>
  <w:style w:type="paragraph" w:customStyle="1" w:styleId="14">
    <w:name w:val="列出段落1"/>
    <w:basedOn w:val="1"/>
    <w:qFormat/>
    <w:uiPriority w:val="34"/>
    <w:pPr>
      <w:ind w:firstLine="420" w:firstLineChars="200"/>
    </w:pPr>
  </w:style>
  <w:style w:type="paragraph" w:customStyle="1" w:styleId="15">
    <w:name w:val="Default"/>
    <w:unhideWhenUsed/>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5F65-1868-44A6-9217-E82DB8CC55F2}">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5</Pages>
  <Words>2552</Words>
  <Characters>2816</Characters>
  <Lines>20</Lines>
  <Paragraphs>5</Paragraphs>
  <TotalTime>21</TotalTime>
  <ScaleCrop>false</ScaleCrop>
  <LinksUpToDate>false</LinksUpToDate>
  <CharactersWithSpaces>2841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2022-07-17T03:16:00Z</dcterms:created>
  <dc:creator>SDWM</dc:creator>
  <cp:lastModifiedBy>WPS_1579582066</cp:lastModifiedBy>
  <cp:lastPrinted>2017-01-05T00:33:00Z</cp:lastPrinted>
  <dcterms:modified xsi:type="dcterms:W3CDTF">2023-02-23T08:24:49Z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C20F6F33E7B5400E9281E7BFFC2F8BF1</vt:lpwstr>
  </property>
</Properties>
</file>