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pPr>
        <w:keepNext w:val="0"/>
        <w:keepLines w:val="0"/>
        <w:pageBreakBefore w:val="0"/>
        <w:widowControl w:val="0"/>
        <w:kinsoku/>
        <w:wordWrap/>
        <w:overflowPunct/>
        <w:topLinePunct w:val="0"/>
        <w:autoSpaceDN/>
        <w:bidi w:val="0"/>
        <w:adjustRightInd/>
        <w:spacing w:line="594" w:lineRule="exact"/>
        <w:ind w:firstLine="592" w:firstLineChars="200"/>
        <w:textAlignment w:val="auto"/>
        <w:outlineLvl w:val="0"/>
        <w:rPr>
          <w:rFonts w:ascii="黑体" w:hAnsi="黑体" w:eastAsia="黑体"/>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kern w:val="32"/>
          <w:sz w:val="32"/>
          <w:szCs w:val="32"/>
          <w:lang w:eastAsia="zh-CN"/>
        </w:rPr>
        <w:t>《马铃薯片（条、块）》（QB/T 2686</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eastAsia="zh-CN"/>
        </w:rPr>
        <w:t>2021）中规定，马铃薯片</w:t>
      </w:r>
      <w:r>
        <w:rPr>
          <w:rFonts w:ascii="Times New Roman" w:hAnsi="Times New Roman" w:eastAsia="仿宋_GB2312"/>
          <w:snapToGrid w:val="0"/>
          <w:kern w:val="0"/>
          <w:sz w:val="32"/>
          <w:szCs w:val="32"/>
        </w:rPr>
        <w:t>中</w:t>
      </w:r>
      <w:r>
        <w:rPr>
          <w:rFonts w:ascii="Times New Roman" w:hAnsi="Times New Roman" w:eastAsia="仿宋_GB2312"/>
          <w:sz w:val="32"/>
          <w:szCs w:val="32"/>
        </w:rPr>
        <w:t>同一批次产品5个样品的菌落总数检测结果均不得超过10</w:t>
      </w:r>
      <w:r>
        <w:rPr>
          <w:rFonts w:ascii="Times New Roman" w:hAnsi="Times New Roman" w:eastAsia="仿宋_GB2312"/>
          <w:sz w:val="32"/>
          <w:szCs w:val="32"/>
          <w:vertAlign w:val="superscript"/>
        </w:rPr>
        <w:t>5</w:t>
      </w:r>
      <w:r>
        <w:rPr>
          <w:rFonts w:ascii="Times New Roman" w:hAnsi="Times New Roman" w:eastAsia="仿宋_GB2312"/>
          <w:sz w:val="32"/>
          <w:szCs w:val="32"/>
        </w:rPr>
        <w:t>CFU/g，且最多允许2个样品的</w:t>
      </w:r>
      <w:r>
        <w:rPr>
          <w:rFonts w:ascii="Times New Roman" w:hAnsi="Times New Roman" w:eastAsia="仿宋_GB2312"/>
          <w:color w:val="000000" w:themeColor="text1"/>
          <w:sz w:val="32"/>
          <w:szCs w:val="32"/>
        </w:rPr>
        <w:t>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ascii="Times New Roman" w:hAnsi="Times New Roman" w:eastAsia="仿宋_GB2312"/>
          <w:snapToGrid w:val="0"/>
          <w:kern w:val="0"/>
          <w:sz w:val="32"/>
          <w:szCs w:val="32"/>
        </w:rPr>
        <w:t>。</w:t>
      </w:r>
      <w:r>
        <w:rPr>
          <w:rFonts w:hint="eastAsia" w:ascii="Times New Roman" w:hAnsi="Times New Roman" w:eastAsia="仿宋_GB2312"/>
          <w:kern w:val="32"/>
          <w:sz w:val="32"/>
          <w:szCs w:val="32"/>
          <w:lang w:eastAsia="zh-CN"/>
        </w:rPr>
        <w:t>马铃薯片</w:t>
      </w:r>
      <w:r>
        <w:rPr>
          <w:rFonts w:ascii="Times New Roman" w:hAnsi="Times New Roman" w:eastAsia="仿宋_GB2312"/>
          <w:snapToGrid w:val="0"/>
          <w:kern w:val="0"/>
          <w:sz w:val="32"/>
          <w:szCs w:val="32"/>
        </w:rPr>
        <w:t>中菌落总数超标的原因，</w:t>
      </w:r>
      <w:r>
        <w:rPr>
          <w:rFonts w:ascii="Times New Roman" w:hAnsi="Times New Roman" w:eastAsia="仿宋_GB2312"/>
          <w:color w:val="000000" w:themeColor="text1"/>
          <w:sz w:val="32"/>
          <w:szCs w:val="32"/>
        </w:rPr>
        <w:t>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pPr>
        <w:keepNext w:val="0"/>
        <w:keepLines w:val="0"/>
        <w:pageBreakBefore w:val="0"/>
        <w:kinsoku/>
        <w:wordWrap/>
        <w:overflowPunct/>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rPr>
        <w:t>消毒餐（饮）具中检出大肠</w:t>
      </w:r>
      <w:bookmarkStart w:id="0" w:name="_GoBack"/>
      <w:bookmarkEnd w:id="0"/>
      <w:r>
        <w:rPr>
          <w:rFonts w:hint="eastAsia" w:ascii="Times New Roman" w:hAnsi="Times New Roman" w:eastAsia="仿宋_GB2312"/>
          <w:kern w:val="32"/>
          <w:sz w:val="32"/>
          <w:szCs w:val="32"/>
        </w:rPr>
        <w:t>菌群的原因，可能是餐饮具在存放过程受到环境的污染，或是灭菌不彻底。</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pPr>
        <w:keepNext w:val="0"/>
        <w:keepLines w:val="0"/>
        <w:pageBreakBefore w:val="0"/>
        <w:kinsoku/>
        <w:wordWrap/>
        <w:overflowPunct/>
        <w:autoSpaceDN/>
        <w:bidi w:val="0"/>
        <w:adjustRightInd/>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阿维菌素</w:t>
      </w:r>
    </w:p>
    <w:p>
      <w:pPr>
        <w:keepNext w:val="0"/>
        <w:keepLines w:val="0"/>
        <w:pageBreakBefore w:val="0"/>
        <w:kinsoku/>
        <w:wordWrap/>
        <w:overflowPunct/>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lang w:val="en-US" w:eastAsia="zh-CN"/>
        </w:rPr>
        <w:t>阿维菌素是一种抗生素类药物，用于杀虫、杀螨、杀线虫，具有广谱、高效、低残留等特点。《食品安全国家标准 食品中农药最大残留限量》（GB 2763—2021）中规定，阿维菌素</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小油菜</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1</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。小油菜中阿维菌素残留量超标的原因，可能是菜农对农药使用的安全间隔期不了解从而违规使用。食用阿维菌素残留超标的食品，可能引起四肢无力、肌肉震颤等症状，甚至还可能导致抽搐、昏迷等。</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五</w:t>
      </w:r>
      <w:r>
        <w:rPr>
          <w:rFonts w:hint="eastAsia" w:ascii="Times New Roman" w:hAnsi="Times New Roman" w:eastAsia="黑体"/>
          <w:kern w:val="32"/>
          <w:sz w:val="32"/>
          <w:szCs w:val="32"/>
          <w:lang w:eastAsia="zh-CN"/>
        </w:rPr>
        <w:t>、</w:t>
      </w:r>
      <w:r>
        <w:rPr>
          <w:rFonts w:hint="eastAsia" w:ascii="Times New Roman" w:hAnsi="Times New Roman" w:eastAsia="黑体"/>
          <w:kern w:val="32"/>
          <w:sz w:val="32"/>
          <w:szCs w:val="32"/>
        </w:rPr>
        <w:t>毒死蜱</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rPr>
        <w:t>毒死蜱是一种硫代磷酸酯类有机磷杀虫、杀螨剂，具有良好的触杀、胃毒和熏蒸作用。长期食用毒死蜱</w:t>
      </w:r>
      <w:r>
        <w:rPr>
          <w:rFonts w:hint="eastAsia" w:ascii="仿宋_GB2312" w:hAnsi="仿宋_GB2312" w:eastAsia="仿宋_GB2312" w:cs="仿宋_GB2312"/>
          <w:kern w:val="32"/>
          <w:sz w:val="32"/>
          <w:szCs w:val="32"/>
          <w:lang w:val="en-US" w:eastAsia="zh-CN"/>
        </w:rPr>
        <w:t>残留</w:t>
      </w:r>
      <w:r>
        <w:rPr>
          <w:rFonts w:hint="eastAsia" w:ascii="仿宋_GB2312" w:hAnsi="仿宋_GB2312" w:eastAsia="仿宋_GB2312" w:cs="仿宋_GB2312"/>
          <w:kern w:val="32"/>
          <w:sz w:val="32"/>
          <w:szCs w:val="32"/>
        </w:rPr>
        <w:t>超标的食品，可能会引起头痛、头昏、无力、呕吐等症状，甚至还可能导致癫痫样抽搐。《食品安全国家标准 食品中农药最大残留限量》（</w:t>
      </w:r>
      <w:r>
        <w:rPr>
          <w:rFonts w:hint="eastAsia" w:ascii="Times New Roman" w:hAnsi="Times New Roman" w:eastAsia="仿宋_GB2312" w:cs="Times New Roman"/>
          <w:kern w:val="32"/>
          <w:sz w:val="32"/>
          <w:szCs w:val="32"/>
          <w:lang w:eastAsia="zh-CN"/>
        </w:rPr>
        <w:t>GB 2763</w:t>
      </w:r>
      <w:r>
        <w:rPr>
          <w:rFonts w:hint="eastAsia" w:ascii="仿宋_GB2312" w:hAnsi="仿宋_GB2312" w:eastAsia="仿宋_GB2312" w:cs="仿宋_GB2312"/>
          <w:kern w:val="32"/>
          <w:sz w:val="32"/>
          <w:szCs w:val="32"/>
          <w:lang w:eastAsia="zh-CN"/>
        </w:rPr>
        <w:t>—</w:t>
      </w:r>
      <w:r>
        <w:rPr>
          <w:rFonts w:hint="eastAsia" w:ascii="Times New Roman" w:hAnsi="Times New Roman" w:eastAsia="仿宋_GB2312" w:cs="Times New Roman"/>
          <w:kern w:val="32"/>
          <w:sz w:val="32"/>
          <w:szCs w:val="32"/>
          <w:lang w:eastAsia="zh-CN"/>
        </w:rPr>
        <w:t>2021）</w:t>
      </w:r>
      <w:r>
        <w:rPr>
          <w:rFonts w:hint="eastAsia" w:ascii="仿宋_GB2312" w:hAnsi="仿宋_GB2312" w:eastAsia="仿宋_GB2312" w:cs="仿宋_GB2312"/>
          <w:kern w:val="32"/>
          <w:sz w:val="32"/>
          <w:szCs w:val="32"/>
        </w:rPr>
        <w:t>中规定，毒死蜱</w:t>
      </w:r>
      <w:r>
        <w:rPr>
          <w:rFonts w:hint="eastAsia" w:ascii="仿宋_GB2312" w:hAnsi="仿宋_GB2312" w:eastAsia="仿宋_GB2312" w:cs="仿宋_GB2312"/>
          <w:kern w:val="32"/>
          <w:sz w:val="32"/>
          <w:szCs w:val="32"/>
          <w:lang w:eastAsia="zh-CN"/>
        </w:rPr>
        <w:t>在鳞茎类蔬菜中的最大残留限量值为</w:t>
      </w:r>
      <w:r>
        <w:rPr>
          <w:rFonts w:hint="default" w:ascii="Times New Roman" w:hAnsi="Times New Roman" w:eastAsia="仿宋_GB2312" w:cs="Times New Roman"/>
          <w:kern w:val="32"/>
          <w:sz w:val="32"/>
          <w:szCs w:val="32"/>
          <w:lang w:eastAsia="zh-CN"/>
        </w:rPr>
        <w:t>0.0</w:t>
      </w:r>
      <w:r>
        <w:rPr>
          <w:rFonts w:hint="default"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lang w:eastAsia="zh-CN"/>
        </w:rPr>
        <w:t>mg/kg</w:t>
      </w:r>
      <w:r>
        <w:rPr>
          <w:rFonts w:hint="eastAsia" w:ascii="仿宋_GB2312" w:hAnsi="仿宋_GB2312" w:eastAsia="仿宋_GB2312" w:cs="仿宋_GB2312"/>
          <w:kern w:val="32"/>
          <w:sz w:val="32"/>
          <w:szCs w:val="32"/>
          <w:lang w:eastAsia="zh-CN"/>
        </w:rPr>
        <w:t>。韭菜中毒死蜱残留量超标的原因，可能是菜农为控制虫害而违规使用，致使上市销售时蔬菜中的毒死蜱残留量未降解至标准限量以下。</w:t>
      </w:r>
    </w:p>
    <w:p>
      <w:pPr>
        <w:keepNext w:val="0"/>
        <w:keepLines w:val="0"/>
        <w:pageBreakBefore w:val="0"/>
        <w:numPr>
          <w:ilvl w:val="0"/>
          <w:numId w:val="0"/>
        </w:numPr>
        <w:kinsoku/>
        <w:wordWrap/>
        <w:overflowPunct/>
        <w:autoSpaceDN/>
        <w:bidi w:val="0"/>
        <w:adjustRightInd/>
        <w:spacing w:line="594" w:lineRule="exact"/>
        <w:ind w:firstLine="592" w:firstLineChars="200"/>
        <w:textAlignment w:val="auto"/>
        <w:outlineLvl w:val="0"/>
        <w:rPr>
          <w:rFonts w:hint="eastAsia" w:ascii="黑体" w:hAnsi="黑体" w:eastAsia="黑体"/>
          <w:spacing w:val="-12"/>
          <w:sz w:val="32"/>
          <w:szCs w:val="32"/>
        </w:rPr>
      </w:pPr>
      <w:r>
        <w:rPr>
          <w:rFonts w:hint="eastAsia" w:ascii="黑体" w:hAnsi="黑体" w:eastAsia="黑体"/>
          <w:spacing w:val="-12"/>
          <w:sz w:val="32"/>
          <w:szCs w:val="32"/>
          <w:lang w:val="en-US" w:eastAsia="zh-CN"/>
        </w:rPr>
        <w:t>六、</w:t>
      </w:r>
      <w:r>
        <w:rPr>
          <w:rFonts w:hint="eastAsia" w:ascii="黑体" w:hAnsi="黑体" w:eastAsia="黑体"/>
          <w:spacing w:val="-12"/>
          <w:sz w:val="32"/>
          <w:szCs w:val="32"/>
        </w:rPr>
        <w:t>氟虫腈</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仿宋_GB2312" w:hAnsi="仿宋_GB2312" w:eastAsia="仿宋_GB2312" w:cs="仿宋_GB2312"/>
          <w:kern w:val="0"/>
          <w:sz w:val="32"/>
          <w:szCs w:val="32"/>
        </w:rPr>
        <w:t>氟虫腈是一种苯基吡唑类杀虫剂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杀虫谱广，对害虫以胃毒作用为主，兼有触杀和一定的内吸作用。《食品安全国家标准 食品中农药最大残留限量》（</w:t>
      </w:r>
      <w:r>
        <w:rPr>
          <w:rFonts w:hint="default" w:ascii="Times New Roman" w:hAnsi="Times New Roman" w:eastAsia="仿宋_GB2312" w:cs="Times New Roman"/>
          <w:kern w:val="0"/>
          <w:sz w:val="32"/>
          <w:szCs w:val="32"/>
        </w:rPr>
        <w:t>GB 2763</w:t>
      </w:r>
      <w:r>
        <w:rPr>
          <w:rFonts w:hint="eastAsia" w:ascii="Times New Roman" w:hAnsi="Times New Roman" w:eastAsia="仿宋_GB2312"/>
          <w:kern w:val="32"/>
          <w:sz w:val="32"/>
          <w:szCs w:val="32"/>
        </w:rPr>
        <w:t>—</w:t>
      </w:r>
      <w:r>
        <w:rPr>
          <w:rFonts w:hint="eastAsia" w:ascii="Times New Roman" w:hAnsi="Times New Roman" w:eastAsia="仿宋_GB2312" w:cs="Times New Roman"/>
          <w:kern w:val="0"/>
          <w:sz w:val="32"/>
          <w:szCs w:val="32"/>
          <w:lang w:val="en-US" w:eastAsia="zh-CN"/>
        </w:rPr>
        <w:t>2021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中</w:t>
      </w:r>
      <w:r>
        <w:rPr>
          <w:rFonts w:hint="eastAsia" w:ascii="仿宋_GB2312" w:hAnsi="仿宋_GB2312" w:eastAsia="仿宋_GB2312" w:cs="仿宋_GB2312"/>
          <w:kern w:val="0"/>
          <w:sz w:val="32"/>
          <w:szCs w:val="32"/>
        </w:rPr>
        <w:t>规定，氟虫腈在</w:t>
      </w:r>
      <w:r>
        <w:rPr>
          <w:rFonts w:hint="eastAsia" w:ascii="仿宋_GB2312" w:hAnsi="仿宋_GB2312" w:eastAsia="仿宋_GB2312" w:cs="仿宋_GB2312"/>
          <w:kern w:val="0"/>
          <w:sz w:val="32"/>
          <w:szCs w:val="32"/>
          <w:lang w:val="en-US" w:eastAsia="zh-CN"/>
        </w:rPr>
        <w:t>浆果和其他小型类水果</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02</w:t>
      </w:r>
      <w:r>
        <w:rPr>
          <w:rFonts w:hint="eastAsia" w:ascii="Times New Roman" w:hAnsi="Times New Roman" w:eastAsia="仿宋_GB2312"/>
          <w:kern w:val="32"/>
          <w:sz w:val="32"/>
          <w:szCs w:val="32"/>
        </w:rPr>
        <w:t>mg/kg</w:t>
      </w:r>
      <w:r>
        <w:rPr>
          <w:rFonts w:hint="eastAsia" w:ascii="仿宋_GB2312" w:hAnsi="仿宋_GB2312" w:eastAsia="仿宋_GB2312" w:cs="仿宋_GB2312"/>
          <w:kern w:val="0"/>
          <w:sz w:val="32"/>
          <w:szCs w:val="32"/>
        </w:rPr>
        <w:t>。</w:t>
      </w:r>
      <w:r>
        <w:rPr>
          <w:rFonts w:hint="eastAsia" w:ascii="Times New Roman" w:hAnsi="Times New Roman" w:eastAsia="仿宋_GB2312" w:cs="Times New Roman"/>
          <w:sz w:val="32"/>
          <w:szCs w:val="32"/>
          <w:lang w:val="en-US" w:eastAsia="zh-CN"/>
        </w:rPr>
        <w:t>葡萄</w:t>
      </w:r>
      <w:r>
        <w:rPr>
          <w:rFonts w:hint="eastAsia" w:ascii="Times New Roman" w:hAnsi="Times New Roman" w:eastAsia="仿宋_GB2312" w:cs="Times New Roman"/>
          <w:sz w:val="32"/>
          <w:szCs w:val="32"/>
        </w:rPr>
        <w:t>中</w:t>
      </w:r>
      <w:r>
        <w:rPr>
          <w:rFonts w:hint="eastAsia" w:ascii="仿宋_GB2312" w:hAnsi="仿宋_GB2312" w:eastAsia="仿宋_GB2312" w:cs="仿宋_GB2312"/>
          <w:kern w:val="0"/>
          <w:sz w:val="32"/>
          <w:szCs w:val="32"/>
        </w:rPr>
        <w:t>氟虫腈</w:t>
      </w:r>
      <w:r>
        <w:rPr>
          <w:rFonts w:hint="eastAsia" w:ascii="Times New Roman" w:hAnsi="Times New Roman" w:eastAsia="仿宋_GB2312"/>
          <w:kern w:val="32"/>
          <w:sz w:val="32"/>
          <w:szCs w:val="32"/>
        </w:rPr>
        <w:t>残留量超标的原因，可能是农户为控制虫害而</w:t>
      </w:r>
      <w:r>
        <w:rPr>
          <w:rFonts w:hint="eastAsia" w:ascii="Times New Roman" w:hAnsi="Times New Roman" w:eastAsia="仿宋_GB2312"/>
          <w:kern w:val="32"/>
          <w:sz w:val="32"/>
          <w:szCs w:val="32"/>
          <w:lang w:val="en-US" w:eastAsia="zh-CN"/>
        </w:rPr>
        <w:t>随意加大用药量</w:t>
      </w:r>
      <w:r>
        <w:rPr>
          <w:rFonts w:hint="eastAsia" w:ascii="Times New Roman" w:hAnsi="Times New Roman" w:eastAsia="仿宋_GB2312"/>
          <w:kern w:val="32"/>
          <w:sz w:val="32"/>
          <w:szCs w:val="32"/>
        </w:rPr>
        <w:t>所致</w:t>
      </w:r>
      <w:r>
        <w:rPr>
          <w:rFonts w:hint="eastAsia" w:ascii="仿宋_GB2312" w:hAnsi="仿宋_GB2312" w:eastAsia="仿宋_GB2312" w:cs="仿宋_GB2312"/>
          <w:kern w:val="0"/>
          <w:sz w:val="32"/>
          <w:szCs w:val="32"/>
        </w:rPr>
        <w:t>。</w:t>
      </w:r>
      <w:r>
        <w:rPr>
          <w:rFonts w:hint="eastAsia" w:ascii="Times New Roman" w:hAnsi="Times New Roman" w:eastAsia="仿宋_GB2312"/>
          <w:kern w:val="32"/>
          <w:sz w:val="32"/>
          <w:szCs w:val="32"/>
        </w:rPr>
        <w:t>少量的农药残留不会引起人体急性中毒，但长期食用</w:t>
      </w:r>
      <w:r>
        <w:rPr>
          <w:rFonts w:hint="eastAsia" w:ascii="Times New Roman" w:hAnsi="Times New Roman" w:eastAsia="仿宋_GB2312"/>
          <w:kern w:val="32"/>
          <w:sz w:val="32"/>
          <w:szCs w:val="32"/>
          <w:lang w:val="en-US" w:eastAsia="zh-CN"/>
        </w:rPr>
        <w:t>农药</w:t>
      </w:r>
      <w:r>
        <w:rPr>
          <w:rFonts w:hint="eastAsia" w:ascii="Times New Roman" w:hAnsi="Times New Roman" w:eastAsia="仿宋_GB2312"/>
          <w:kern w:val="32"/>
          <w:sz w:val="32"/>
          <w:szCs w:val="32"/>
        </w:rPr>
        <w:t>残留超标的食品，对人体健康可能有一定影响。</w:t>
      </w:r>
    </w:p>
    <w:p>
      <w:pPr>
        <w:keepNext w:val="0"/>
        <w:keepLines w:val="0"/>
        <w:pageBreakBefore w:val="0"/>
        <w:kinsoku/>
        <w:wordWrap/>
        <w:overflowPunct/>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七</w:t>
      </w:r>
      <w:r>
        <w:rPr>
          <w:rFonts w:hint="eastAsia" w:ascii="Times New Roman" w:hAnsi="Times New Roman" w:eastAsia="黑体"/>
          <w:kern w:val="32"/>
          <w:sz w:val="32"/>
          <w:szCs w:val="32"/>
        </w:rPr>
        <w:t>、氯氟氰菊酯和高效氯氟氰菊酯</w:t>
      </w:r>
    </w:p>
    <w:p>
      <w:pPr>
        <w:keepNext w:val="0"/>
        <w:keepLines w:val="0"/>
        <w:pageBreakBefore w:val="0"/>
        <w:kinsoku/>
        <w:wordWrap/>
        <w:overflowPunct/>
        <w:autoSpaceDN/>
        <w:bidi w:val="0"/>
        <w:adjustRightInd/>
        <w:spacing w:line="594" w:lineRule="exact"/>
        <w:ind w:firstLine="640" w:firstLineChars="200"/>
        <w:textAlignment w:val="auto"/>
        <w:rPr>
          <w:rFonts w:hint="eastAsia" w:ascii="Times New Roman" w:hAnsi="Times New Roman" w:eastAsia="仿宋_GB2312"/>
          <w:kern w:val="32"/>
          <w:sz w:val="32"/>
          <w:szCs w:val="32"/>
          <w:lang w:eastAsia="zh-CN"/>
        </w:rPr>
      </w:pPr>
      <w:r>
        <w:rPr>
          <w:rFonts w:hint="eastAsia" w:ascii="Times New Roman" w:hAnsi="Times New Roman" w:eastAsia="仿宋_GB2312"/>
          <w:kern w:val="32"/>
          <w:sz w:val="32"/>
          <w:szCs w:val="32"/>
        </w:rPr>
        <w:t>氯氟氰菊酯又叫三氟氯氰菊酯，高效氯氟氰菊酯是其同分异构体。氯氟氰菊酯是中等毒杀虫剂，具有杀虫广谱、高效、速度快、持效期长的特点。《食品安全国家标准 食品中农药最大残留限量》（GB 2763—20</w:t>
      </w:r>
      <w:r>
        <w:rPr>
          <w:rFonts w:hint="eastAsia" w:ascii="Times New Roman" w:hAnsi="Times New Roman" w:eastAsia="仿宋_GB2312"/>
          <w:kern w:val="32"/>
          <w:sz w:val="32"/>
          <w:szCs w:val="32"/>
          <w:lang w:val="en-US" w:eastAsia="zh-CN"/>
        </w:rPr>
        <w:t>21</w:t>
      </w:r>
      <w:r>
        <w:rPr>
          <w:rFonts w:hint="eastAsia" w:ascii="Times New Roman" w:hAnsi="Times New Roman" w:eastAsia="仿宋_GB2312"/>
          <w:kern w:val="32"/>
          <w:sz w:val="32"/>
          <w:szCs w:val="32"/>
        </w:rPr>
        <w:t>）中规定，氯氟氰菊酯和高效氯氟氰菊酯在</w:t>
      </w:r>
      <w:r>
        <w:rPr>
          <w:rFonts w:hint="eastAsia" w:ascii="Times New Roman" w:hAnsi="Times New Roman" w:eastAsia="仿宋_GB2312"/>
          <w:kern w:val="32"/>
          <w:sz w:val="32"/>
          <w:szCs w:val="32"/>
          <w:lang w:val="en-US" w:eastAsia="zh-CN"/>
        </w:rPr>
        <w:t>根茎类和薯芋类蔬菜（马铃薯除外）</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01</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甘薯</w:t>
      </w:r>
      <w:r>
        <w:rPr>
          <w:rFonts w:ascii="Times New Roman" w:hAnsi="Times New Roman" w:eastAsia="仿宋_GB2312"/>
          <w:kern w:val="32"/>
          <w:sz w:val="32"/>
          <w:szCs w:val="32"/>
        </w:rPr>
        <w:t>中</w:t>
      </w:r>
      <w:r>
        <w:rPr>
          <w:rFonts w:hint="eastAsia" w:ascii="Times New Roman" w:hAnsi="Times New Roman" w:eastAsia="仿宋_GB2312"/>
          <w:kern w:val="32"/>
          <w:sz w:val="32"/>
          <w:szCs w:val="32"/>
        </w:rPr>
        <w:t>氯氟氰菊酯和高效氯氟氰菊酯</w:t>
      </w:r>
      <w:r>
        <w:rPr>
          <w:rFonts w:ascii="Times New Roman" w:hAnsi="Times New Roman" w:eastAsia="仿宋_GB2312"/>
          <w:kern w:val="32"/>
          <w:sz w:val="32"/>
          <w:szCs w:val="32"/>
        </w:rPr>
        <w:t>残留量超标的原因，</w:t>
      </w:r>
      <w:r>
        <w:rPr>
          <w:rFonts w:hint="eastAsia" w:ascii="Times New Roman" w:hAnsi="Times New Roman" w:eastAsia="仿宋_GB2312"/>
          <w:kern w:val="32"/>
          <w:sz w:val="32"/>
          <w:szCs w:val="32"/>
        </w:rPr>
        <w:t>可能是菜农为快速控制虫害，</w:t>
      </w:r>
      <w:r>
        <w:rPr>
          <w:rFonts w:hint="eastAsia" w:ascii="Times New Roman" w:hAnsi="Times New Roman" w:eastAsia="仿宋_GB2312"/>
          <w:kern w:val="32"/>
          <w:sz w:val="32"/>
          <w:szCs w:val="32"/>
          <w:lang w:val="en-US" w:eastAsia="zh-CN"/>
        </w:rPr>
        <w:t>随意</w:t>
      </w:r>
      <w:r>
        <w:rPr>
          <w:rFonts w:hint="eastAsia" w:ascii="Times New Roman" w:hAnsi="Times New Roman" w:eastAsia="仿宋_GB2312"/>
          <w:kern w:val="32"/>
          <w:sz w:val="32"/>
          <w:szCs w:val="32"/>
        </w:rPr>
        <w:t>加大用药量或未遵守采摘间隔期规定，致使上市销售的产品中</w:t>
      </w:r>
      <w:r>
        <w:rPr>
          <w:rFonts w:hint="eastAsia" w:ascii="Times New Roman" w:hAnsi="Times New Roman" w:eastAsia="仿宋_GB2312"/>
          <w:kern w:val="32"/>
          <w:sz w:val="32"/>
          <w:szCs w:val="32"/>
          <w:lang w:val="en-US" w:eastAsia="zh-CN"/>
        </w:rPr>
        <w:t>农药</w:t>
      </w:r>
      <w:r>
        <w:rPr>
          <w:rFonts w:hint="eastAsia" w:ascii="Times New Roman" w:hAnsi="Times New Roman" w:eastAsia="仿宋_GB2312"/>
          <w:kern w:val="32"/>
          <w:sz w:val="32"/>
          <w:szCs w:val="32"/>
        </w:rPr>
        <w:t>残留超标</w:t>
      </w:r>
      <w:r>
        <w:rPr>
          <w:rFonts w:hint="eastAsia" w:ascii="Times New Roman" w:hAnsi="Times New Roman" w:eastAsia="仿宋_GB2312"/>
          <w:kern w:val="32"/>
          <w:sz w:val="32"/>
          <w:szCs w:val="32"/>
          <w:lang w:eastAsia="zh-CN"/>
        </w:rPr>
        <w:t>。</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八</w:t>
      </w:r>
      <w:r>
        <w:rPr>
          <w:rFonts w:hint="eastAsia" w:ascii="Times New Roman" w:hAnsi="Times New Roman" w:eastAsia="黑体"/>
          <w:kern w:val="32"/>
          <w:sz w:val="32"/>
          <w:szCs w:val="32"/>
        </w:rPr>
        <w:t>、噻虫胺</w:t>
      </w:r>
    </w:p>
    <w:p>
      <w:pPr>
        <w:pStyle w:val="21"/>
        <w:keepNext w:val="0"/>
        <w:keepLines w:val="0"/>
        <w:pageBreakBefore w:val="0"/>
        <w:widowControl w:val="0"/>
        <w:tabs>
          <w:tab w:val="left" w:pos="901"/>
        </w:tabs>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噻虫胺是新烟碱类杀虫剂，是一类高效安全、高选择性的新型杀虫剂，其作用与烟碱乙酰胆碱受体类似，具有触杀、胃毒和内吸活性。少量的残留不会引起人体急性中毒，但长期食用噻虫胺残留超标的食品，对人体健康可能有一定影响。《食品安全国家标准 食品中农药最大残留限量》（GB 2763—2021）中规定，噻虫胺在根茎类蔬菜、杧果中的最大残留限量值分别为0.2mg/kg、0.04mg/kg。胡萝卜、芒果中噻虫胺残留量超标的原因，可能是种植户为快速控制虫害，随意加大用药浓度、用药频次导致残留超标。</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lang w:eastAsia="zh-CN"/>
        </w:rPr>
        <w:t>、噻虫嗪</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kern w:val="32"/>
          <w:sz w:val="32"/>
          <w:szCs w:val="32"/>
        </w:rPr>
      </w:pPr>
      <w:r>
        <w:rPr>
          <w:rFonts w:hint="eastAsia" w:ascii="仿宋_GB2312" w:hAnsi="仿宋_GB2312" w:eastAsia="仿宋_GB2312" w:cs="仿宋_GB2312"/>
          <w:kern w:val="32"/>
          <w:sz w:val="32"/>
          <w:szCs w:val="32"/>
        </w:rPr>
        <w:t>噻虫嗪是一种全新结构的第二代烟碱类高效低毒杀虫剂，对害虫具有胃毒、触杀及内吸活性，用于叶面喷雾及土壤灌根处理。食品中少量的残留不会引起人体急性中毒，但长期食用噻虫嗪</w:t>
      </w:r>
      <w:r>
        <w:rPr>
          <w:rFonts w:hint="eastAsia" w:ascii="仿宋_GB2312" w:hAnsi="仿宋_GB2312" w:eastAsia="仿宋_GB2312" w:cs="仿宋_GB2312"/>
          <w:kern w:val="32"/>
          <w:sz w:val="32"/>
          <w:szCs w:val="32"/>
          <w:lang w:val="en-US" w:eastAsia="zh-CN"/>
        </w:rPr>
        <w:t>残留</w:t>
      </w:r>
      <w:r>
        <w:rPr>
          <w:rFonts w:hint="eastAsia" w:ascii="仿宋_GB2312" w:hAnsi="仿宋_GB2312" w:eastAsia="仿宋_GB2312" w:cs="仿宋_GB2312"/>
          <w:kern w:val="32"/>
          <w:sz w:val="32"/>
          <w:szCs w:val="32"/>
        </w:rPr>
        <w:t>超标的食品对人体健康有一定影响。《食品安全国家标准 食品中农药最大残留限量》（</w:t>
      </w:r>
      <w:r>
        <w:rPr>
          <w:rFonts w:hint="eastAsia" w:ascii="Times New Roman" w:hAnsi="Times New Roman" w:eastAsia="仿宋_GB2312" w:cs="Times New Roman"/>
          <w:kern w:val="32"/>
          <w:sz w:val="32"/>
          <w:szCs w:val="32"/>
          <w:lang w:val="en-US" w:eastAsia="zh-CN" w:bidi="ar-SA"/>
        </w:rPr>
        <w:t>GB 2763—2021</w:t>
      </w:r>
      <w:r>
        <w:rPr>
          <w:rFonts w:hint="eastAsia" w:ascii="仿宋_GB2312" w:hAnsi="仿宋_GB2312" w:eastAsia="仿宋_GB2312" w:cs="仿宋_GB2312"/>
          <w:kern w:val="32"/>
          <w:sz w:val="32"/>
          <w:szCs w:val="32"/>
        </w:rPr>
        <w:t>）中规定，噻虫嗪在</w:t>
      </w:r>
      <w:r>
        <w:rPr>
          <w:rFonts w:hint="eastAsia" w:ascii="仿宋_GB2312" w:hAnsi="仿宋_GB2312" w:eastAsia="仿宋_GB2312" w:cs="仿宋_GB2312"/>
          <w:kern w:val="32"/>
          <w:sz w:val="32"/>
          <w:szCs w:val="32"/>
          <w:lang w:val="en-US" w:eastAsia="zh-CN"/>
        </w:rPr>
        <w:t>葱</w:t>
      </w:r>
      <w:r>
        <w:rPr>
          <w:rFonts w:hint="eastAsia" w:ascii="仿宋_GB2312" w:hAnsi="仿宋_GB2312" w:eastAsia="仿宋_GB2312" w:cs="仿宋_GB2312"/>
          <w:kern w:val="32"/>
          <w:sz w:val="32"/>
          <w:szCs w:val="32"/>
        </w:rPr>
        <w:t>中的最大残留限量值为</w:t>
      </w:r>
      <w:r>
        <w:rPr>
          <w:rFonts w:hint="default" w:ascii="Times New Roman" w:hAnsi="Times New Roman" w:eastAsia="仿宋_GB2312" w:cs="Times New Roman"/>
          <w:kern w:val="32"/>
          <w:sz w:val="32"/>
          <w:szCs w:val="32"/>
        </w:rPr>
        <w:t>0.</w:t>
      </w:r>
      <w:r>
        <w:rPr>
          <w:rFonts w:hint="eastAsia"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rPr>
        <w:t>mg/kg</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葱</w:t>
      </w:r>
      <w:r>
        <w:rPr>
          <w:rFonts w:hint="eastAsia" w:ascii="仿宋_GB2312" w:hAnsi="仿宋_GB2312" w:eastAsia="仿宋_GB2312" w:cs="仿宋_GB2312"/>
          <w:kern w:val="32"/>
          <w:sz w:val="32"/>
          <w:szCs w:val="32"/>
        </w:rPr>
        <w:t>中噻虫嗪残留量超标的原因，</w:t>
      </w:r>
      <w:r>
        <w:rPr>
          <w:rFonts w:hint="eastAsia" w:ascii="仿宋_GB2312" w:hAnsi="Times New Roman" w:eastAsia="仿宋_GB2312"/>
          <w:kern w:val="32"/>
          <w:sz w:val="32"/>
          <w:szCs w:val="32"/>
        </w:rPr>
        <w:t>可能是菜农为快速控制虫害，加大用药量或未遵守采摘间隔期规定</w:t>
      </w:r>
      <w:r>
        <w:rPr>
          <w:rFonts w:hint="eastAsia" w:ascii="仿宋_GB2312" w:hAnsi="Times New Roman" w:eastAsia="仿宋_GB2312"/>
          <w:kern w:val="32"/>
          <w:sz w:val="32"/>
          <w:szCs w:val="32"/>
          <w:lang w:val="en-US" w:eastAsia="zh-CN"/>
        </w:rPr>
        <w:t>所致</w:t>
      </w:r>
      <w:r>
        <w:rPr>
          <w:rFonts w:hint="eastAsia" w:ascii="仿宋_GB2312" w:hAnsi="仿宋_GB2312" w:eastAsia="仿宋_GB2312" w:cs="仿宋_GB2312"/>
          <w:kern w:val="32"/>
          <w:sz w:val="32"/>
          <w:szCs w:val="32"/>
        </w:rPr>
        <w:t>。</w:t>
      </w:r>
    </w:p>
    <w:p>
      <w:pPr>
        <w:keepNext w:val="0"/>
        <w:keepLines w:val="0"/>
        <w:pageBreakBefore w:val="0"/>
        <w:kinsoku/>
        <w:wordWrap/>
        <w:overflowPunct/>
        <w:autoSpaceDN/>
        <w:bidi w:val="0"/>
        <w:adjustRightInd/>
        <w:spacing w:line="594" w:lineRule="exact"/>
        <w:ind w:firstLine="640" w:firstLineChars="200"/>
        <w:textAlignment w:val="auto"/>
        <w:rPr>
          <w:rFonts w:hint="eastAsia" w:ascii="Times New Roman" w:hAnsi="Times New Roman" w:eastAsia="黑体" w:cs="Times New Roman"/>
          <w:kern w:val="32"/>
          <w:sz w:val="32"/>
          <w:szCs w:val="32"/>
        </w:rPr>
      </w:pPr>
      <w:r>
        <w:rPr>
          <w:rFonts w:hint="eastAsia" w:ascii="Times New Roman" w:hAnsi="Times New Roman" w:eastAsia="黑体"/>
          <w:kern w:val="32"/>
          <w:sz w:val="32"/>
          <w:szCs w:val="32"/>
          <w:lang w:val="en-US" w:eastAsia="zh-CN"/>
        </w:rPr>
        <w:t>十</w:t>
      </w:r>
      <w:r>
        <w:rPr>
          <w:rFonts w:hint="eastAsia" w:ascii="Times New Roman" w:hAnsi="Times New Roman" w:eastAsia="黑体"/>
          <w:kern w:val="32"/>
          <w:sz w:val="32"/>
          <w:szCs w:val="32"/>
        </w:rPr>
        <w:t>、</w:t>
      </w:r>
      <w:r>
        <w:rPr>
          <w:rFonts w:hint="eastAsia" w:ascii="Times New Roman" w:hAnsi="Times New Roman" w:eastAsia="黑体" w:cs="Times New Roman"/>
          <w:kern w:val="32"/>
          <w:sz w:val="32"/>
          <w:szCs w:val="32"/>
          <w:lang w:eastAsia="zh-CN"/>
        </w:rPr>
        <w:t>戊唑醇</w:t>
      </w:r>
    </w:p>
    <w:p>
      <w:pPr>
        <w:keepNext w:val="0"/>
        <w:keepLines w:val="0"/>
        <w:pageBreakBefore w:val="0"/>
        <w:kinsoku/>
        <w:wordWrap/>
        <w:overflowPunct/>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戊唑醇是一种三唑类内吸治疗性广谱低毒</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"http://www.360doc.com/content/16/1219/11/38300334_615946312.shtml" \t "http://www.360doc.com/content/16/1219/11/_blank"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杀菌剂</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，杀菌活性高，持效期长。使用后，既可杀灭作物表面或附着在种子表面的病菌，也可在植物体内向顶（上）传导，进而杀死作物内部的病菌。少量的残留不会引起人体急性中毒，但长期食用戊唑醇超标的食品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对人体健康可能有一定影响。《食品安全国家标准 食品中农药最大残留限量》（GB 2763—2021）中规定，戊唑醇在杧果</w:t>
      </w:r>
      <w:r>
        <w:rPr>
          <w:rFonts w:hint="eastAsia" w:ascii="Times New Roman" w:hAnsi="Times New Roman" w:eastAsia="仿宋_GB2312"/>
          <w:sz w:val="32"/>
          <w:szCs w:val="32"/>
          <w:lang w:val="en-US" w:eastAsia="zh-CN"/>
        </w:rPr>
        <w:t>中</w:t>
      </w:r>
      <w:r>
        <w:rPr>
          <w:rFonts w:hint="eastAsia" w:ascii="Times New Roman" w:hAnsi="Times New Roman" w:eastAsia="仿宋_GB2312"/>
          <w:sz w:val="32"/>
          <w:szCs w:val="32"/>
        </w:rPr>
        <w:t>的最大残留限量值为0.05mg/kg。芒果中戊唑醇残留量超标的原因，可能是种植户为快速控制病情，</w:t>
      </w:r>
      <w:r>
        <w:rPr>
          <w:rFonts w:hint="eastAsia" w:ascii="Times New Roman" w:hAnsi="Times New Roman" w:eastAsia="仿宋_GB2312"/>
          <w:sz w:val="32"/>
          <w:szCs w:val="32"/>
          <w:lang w:val="en-US" w:eastAsia="zh-CN"/>
        </w:rPr>
        <w:t>随意加大用药量或用药频率</w:t>
      </w:r>
      <w:r>
        <w:rPr>
          <w:rFonts w:hint="eastAsia" w:ascii="Times New Roman" w:hAnsi="Times New Roman" w:eastAsia="仿宋_GB2312"/>
          <w:sz w:val="32"/>
          <w:szCs w:val="32"/>
        </w:rPr>
        <w:t>。</w:t>
      </w:r>
    </w:p>
    <w:p>
      <w:pPr>
        <w:keepNext w:val="0"/>
        <w:keepLines w:val="0"/>
        <w:pageBreakBefore w:val="0"/>
        <w:widowControl w:val="0"/>
        <w:kinsoku/>
        <w:wordWrap/>
        <w:overflowPunct/>
        <w:autoSpaceDN/>
        <w:bidi w:val="0"/>
        <w:adjustRightIn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十一</w:t>
      </w:r>
      <w:r>
        <w:rPr>
          <w:rFonts w:hint="eastAsia" w:ascii="黑体" w:hAnsi="黑体" w:eastAsia="黑体"/>
          <w:sz w:val="32"/>
          <w:szCs w:val="32"/>
        </w:rPr>
        <w:t>、磺胺类（总量）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磺胺类药物是一类人工合成的抑菌药，具有抗菌谱广、性质稳定、便于贮存、吸收迅速等优点，用于动物疫病治疗。长期大量食用磺胺类（总量）残留超标的食品，可能在人体内蓄积，引起过敏反应和耐药性菌株的产生。《食品安全国家标准 食品中兽药最大残留限量》（GB 31650—2019）中规定，磺胺类（总量）在所有食品动物</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肝</w:t>
      </w:r>
      <w:r>
        <w:rPr>
          <w:rFonts w:hint="eastAsia" w:ascii="Times New Roman" w:hAnsi="Times New Roman" w:eastAsia="仿宋_GB2312"/>
          <w:sz w:val="32"/>
          <w:szCs w:val="32"/>
        </w:rPr>
        <w:t>中的最大残留限量值为</w:t>
      </w:r>
      <w:r>
        <w:rPr>
          <w:rFonts w:ascii="Times New Roman" w:hAnsi="Times New Roman" w:eastAsia="仿宋_GB2312"/>
          <w:sz w:val="32"/>
          <w:szCs w:val="32"/>
        </w:rPr>
        <w:t>100μg/kg</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猪肝</w:t>
      </w:r>
      <w:r>
        <w:rPr>
          <w:rFonts w:hint="eastAsia" w:ascii="Times New Roman" w:hAnsi="Times New Roman" w:eastAsia="仿宋_GB2312"/>
          <w:sz w:val="32"/>
          <w:szCs w:val="32"/>
        </w:rPr>
        <w:t>中磺胺类药物残留量超标的原因，</w:t>
      </w:r>
      <w:r>
        <w:rPr>
          <w:rFonts w:ascii="Times New Roman" w:hAnsi="Times New Roman" w:eastAsia="仿宋_GB2312"/>
          <w:sz w:val="32"/>
          <w:szCs w:val="32"/>
        </w:rPr>
        <w:t>可能是</w:t>
      </w:r>
      <w:r>
        <w:rPr>
          <w:rFonts w:hint="eastAsia" w:ascii="Times New Roman" w:hAnsi="Times New Roman" w:eastAsia="仿宋_GB2312"/>
          <w:sz w:val="32"/>
          <w:szCs w:val="32"/>
        </w:rPr>
        <w:t>养殖户在养殖过程中为快速控制疫病，违规加大用药量或不遵守休药期规定所致。</w:t>
      </w:r>
    </w:p>
    <w:p>
      <w:pPr>
        <w:keepNext w:val="0"/>
        <w:keepLines w:val="0"/>
        <w:pageBreakBefore w:val="0"/>
        <w:widowControl w:val="0"/>
        <w:kinsoku/>
        <w:wordWrap/>
        <w:overflowPunct/>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十二</w:t>
      </w:r>
      <w:r>
        <w:rPr>
          <w:rFonts w:hint="eastAsia" w:ascii="Times New Roman" w:hAnsi="Times New Roman" w:eastAsia="黑体"/>
          <w:kern w:val="32"/>
          <w:sz w:val="32"/>
          <w:szCs w:val="32"/>
        </w:rPr>
        <w:t>、甲氧苄啶</w:t>
      </w:r>
    </w:p>
    <w:p>
      <w:pPr>
        <w:keepNext w:val="0"/>
        <w:keepLines w:val="0"/>
        <w:pageBreakBefore w:val="0"/>
        <w:widowControl w:val="0"/>
        <w:kinsoku/>
        <w:wordWrap/>
        <w:overflowPunct/>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kern w:val="32"/>
          <w:sz w:val="32"/>
          <w:szCs w:val="32"/>
        </w:rPr>
        <w:t>甲氧苄啶属于二氨基嘧啶类药物，常与磺胺类药物一同使用，以达到抗菌增效的效果，所以又称为磺胺增效剂。《食品安全国家标准 食品中兽药最大残留限量》（GB 31650—2019）中规定，甲氧苄啶在猪</w:t>
      </w:r>
      <w:r>
        <w:rPr>
          <w:rFonts w:hint="eastAsia" w:ascii="Times New Roman" w:hAnsi="Times New Roman" w:eastAsia="仿宋_GB2312"/>
          <w:kern w:val="32"/>
          <w:sz w:val="32"/>
          <w:szCs w:val="32"/>
          <w:lang w:val="en-US" w:eastAsia="zh-CN"/>
        </w:rPr>
        <w:t>肝</w:t>
      </w:r>
      <w:r>
        <w:rPr>
          <w:rFonts w:hint="eastAsia" w:ascii="Times New Roman" w:hAnsi="Times New Roman" w:eastAsia="仿宋_GB2312"/>
          <w:kern w:val="32"/>
          <w:sz w:val="32"/>
          <w:szCs w:val="32"/>
        </w:rPr>
        <w:t>中的最大残留限量值为50</w:t>
      </w:r>
      <w:r>
        <w:rPr>
          <w:rFonts w:ascii="Times New Roman" w:hAnsi="Times New Roman" w:eastAsia="仿宋_GB2312"/>
          <w:sz w:val="32"/>
          <w:szCs w:val="32"/>
        </w:rPr>
        <w:t>μg/kg</w:t>
      </w:r>
      <w:r>
        <w:rPr>
          <w:rFonts w:hint="eastAsia" w:ascii="Times New Roman" w:hAnsi="Times New Roman" w:eastAsia="仿宋_GB2312"/>
          <w:kern w:val="32"/>
          <w:sz w:val="32"/>
          <w:szCs w:val="32"/>
        </w:rPr>
        <w:t>。猪</w:t>
      </w:r>
      <w:r>
        <w:rPr>
          <w:rFonts w:hint="eastAsia" w:ascii="Times New Roman" w:hAnsi="Times New Roman" w:eastAsia="仿宋_GB2312"/>
          <w:kern w:val="32"/>
          <w:sz w:val="32"/>
          <w:szCs w:val="32"/>
          <w:lang w:val="en-US" w:eastAsia="zh-CN"/>
        </w:rPr>
        <w:t>肝</w:t>
      </w:r>
      <w:r>
        <w:rPr>
          <w:rFonts w:hint="eastAsia" w:ascii="Times New Roman" w:hAnsi="Times New Roman" w:eastAsia="仿宋_GB2312"/>
          <w:kern w:val="32"/>
          <w:sz w:val="32"/>
          <w:szCs w:val="32"/>
        </w:rPr>
        <w:t>中甲氧苄啶残留量超标的原因，可能是养殖户在养殖过程中未严格遵守</w:t>
      </w:r>
      <w:r>
        <w:rPr>
          <w:rFonts w:hint="eastAsia" w:ascii="Times New Roman" w:hAnsi="Times New Roman" w:eastAsia="仿宋_GB2312"/>
          <w:kern w:val="32"/>
          <w:sz w:val="32"/>
          <w:szCs w:val="32"/>
          <w:lang w:val="en-US" w:eastAsia="zh-CN"/>
        </w:rPr>
        <w:t>休</w:t>
      </w:r>
      <w:r>
        <w:rPr>
          <w:rFonts w:hint="eastAsia" w:ascii="Times New Roman" w:hAnsi="Times New Roman" w:eastAsia="仿宋_GB2312"/>
          <w:kern w:val="32"/>
          <w:sz w:val="32"/>
          <w:szCs w:val="32"/>
        </w:rPr>
        <w:t>药期规定，违规使用相关兽药。长期摄入甲氧苄啶残留超标的食物，可能造成其在人体中蓄积，产生耐药性，引起骨髓微核抑制等其他不良反应。</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十三</w:t>
      </w:r>
      <w:r>
        <w:rPr>
          <w:rFonts w:hint="eastAsia" w:ascii="Times New Roman" w:hAnsi="Times New Roman" w:eastAsia="黑体"/>
          <w:kern w:val="32"/>
          <w:sz w:val="32"/>
          <w:szCs w:val="32"/>
          <w:lang w:eastAsia="zh-CN"/>
        </w:rPr>
        <w:t>、</w:t>
      </w:r>
      <w:r>
        <w:rPr>
          <w:rFonts w:hint="eastAsia" w:ascii="黑体" w:hAnsi="黑体" w:eastAsia="黑体" w:cs="黑体"/>
          <w:kern w:val="32"/>
          <w:sz w:val="32"/>
          <w:szCs w:val="32"/>
          <w:lang w:eastAsia="zh-CN"/>
        </w:rPr>
        <w:t>镉（以Cd计）</w:t>
      </w:r>
    </w:p>
    <w:p>
      <w:pPr>
        <w:pStyle w:val="9"/>
        <w:keepNext w:val="0"/>
        <w:keepLines w:val="0"/>
        <w:pageBreakBefore w:val="0"/>
        <w:widowControl/>
        <w:kinsoku/>
        <w:wordWrap/>
        <w:overflowPunct/>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最大限量值为0.05mg/kg。韭菜、辣椒中镉（以Cd计）检测值超标的原因，主要是其生长过程中富集环境中的镉元素。</w:t>
      </w:r>
    </w:p>
    <w:p>
      <w:pPr>
        <w:keepNext w:val="0"/>
        <w:keepLines w:val="0"/>
        <w:pageBreakBefore w:val="0"/>
        <w:widowControl w:val="0"/>
        <w:kinsoku/>
        <w:wordWrap/>
        <w:overflowPunct/>
        <w:autoSpaceDE/>
        <w:autoSpaceDN/>
        <w:bidi w:val="0"/>
        <w:adjustRightInd/>
        <w:snapToGrid/>
        <w:spacing w:line="594" w:lineRule="exact"/>
        <w:ind w:firstLine="640" w:firstLineChars="200"/>
        <w:jc w:val="both"/>
        <w:textAlignment w:val="auto"/>
        <w:rPr>
          <w:rFonts w:hint="eastAsia" w:ascii="黑体" w:hAnsi="黑体" w:eastAsia="黑体"/>
          <w:snapToGrid w:val="0"/>
          <w:kern w:val="0"/>
          <w:sz w:val="32"/>
          <w:szCs w:val="32"/>
          <w:lang w:eastAsia="zh-CN"/>
        </w:rPr>
      </w:pPr>
      <w:r>
        <w:rPr>
          <w:rFonts w:hint="eastAsia" w:ascii="Times New Roman" w:hAnsi="Times New Roman" w:eastAsia="黑体" w:cs="Times New Roman"/>
          <w:kern w:val="32"/>
          <w:sz w:val="32"/>
          <w:szCs w:val="32"/>
          <w:lang w:val="en-US" w:eastAsia="zh-CN"/>
        </w:rPr>
        <w:t>十四</w:t>
      </w:r>
      <w:r>
        <w:rPr>
          <w:rFonts w:hint="eastAsia" w:ascii="Times New Roman" w:hAnsi="Times New Roman" w:eastAsia="黑体" w:cs="Times New Roman"/>
          <w:kern w:val="32"/>
          <w:sz w:val="32"/>
          <w:szCs w:val="32"/>
          <w:lang w:eastAsia="zh-CN"/>
        </w:rPr>
        <w:t>、</w:t>
      </w:r>
      <w:r>
        <w:rPr>
          <w:rFonts w:hint="eastAsia" w:ascii="黑体" w:hAnsi="黑体" w:eastAsia="黑体"/>
          <w:snapToGrid w:val="0"/>
          <w:kern w:val="0"/>
          <w:sz w:val="32"/>
          <w:szCs w:val="32"/>
        </w:rPr>
        <w:t>亚硝酸盐</w:t>
      </w:r>
      <w:r>
        <w:rPr>
          <w:rFonts w:hint="eastAsia" w:ascii="黑体" w:hAnsi="黑体" w:eastAsia="黑体"/>
          <w:snapToGrid w:val="0"/>
          <w:kern w:val="0"/>
          <w:sz w:val="32"/>
          <w:szCs w:val="32"/>
          <w:lang w:eastAsia="zh-CN"/>
        </w:rPr>
        <w:t>（</w:t>
      </w:r>
      <w:r>
        <w:rPr>
          <w:rFonts w:hint="eastAsia" w:ascii="黑体" w:hAnsi="黑体" w:eastAsia="黑体"/>
          <w:snapToGrid w:val="0"/>
          <w:kern w:val="0"/>
          <w:sz w:val="32"/>
          <w:szCs w:val="32"/>
        </w:rPr>
        <w:t>以</w:t>
      </w:r>
      <w:r>
        <w:rPr>
          <w:rFonts w:ascii="黑体" w:hAnsi="黑体" w:eastAsia="黑体"/>
          <w:snapToGrid w:val="0"/>
          <w:kern w:val="0"/>
          <w:sz w:val="32"/>
          <w:szCs w:val="32"/>
        </w:rPr>
        <w:t>NO</w:t>
      </w:r>
      <w:r>
        <w:rPr>
          <w:rFonts w:hint="eastAsia" w:ascii="Cambria Math" w:hAnsi="Cambria Math" w:eastAsia="黑体" w:cs="Cambria Math"/>
          <w:snapToGrid w:val="0"/>
          <w:kern w:val="0"/>
          <w:sz w:val="32"/>
          <w:szCs w:val="32"/>
          <w:vertAlign w:val="subscript"/>
          <w:lang w:val="en-US" w:eastAsia="zh-CN"/>
        </w:rPr>
        <w:t>2</w:t>
      </w:r>
      <w:r>
        <w:rPr>
          <w:rFonts w:ascii="Cambria Math" w:hAnsi="Cambria Math" w:eastAsia="黑体" w:cs="Cambria Math"/>
          <w:snapToGrid w:val="0"/>
          <w:kern w:val="0"/>
          <w:sz w:val="32"/>
          <w:szCs w:val="32"/>
          <w:vertAlign w:val="superscript"/>
        </w:rPr>
        <w:t>⁻</w:t>
      </w:r>
      <w:r>
        <w:rPr>
          <w:rFonts w:hint="eastAsia" w:ascii="黑体" w:hAnsi="黑体" w:eastAsia="黑体"/>
          <w:snapToGrid w:val="0"/>
          <w:kern w:val="0"/>
          <w:sz w:val="32"/>
          <w:szCs w:val="32"/>
        </w:rPr>
        <w:t>计</w:t>
      </w:r>
      <w:r>
        <w:rPr>
          <w:rFonts w:hint="eastAsia" w:ascii="黑体" w:hAnsi="黑体" w:eastAsia="黑体"/>
          <w:snapToGrid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亚硝酸盐在一定程度上能反映水体被污染的情况，若饮用亚硝酸盐严重超标的水可能会引起中毒。《食品安全国家标准 食品中污染物限量》（GB 2762—2022）中规定，</w:t>
      </w:r>
      <w:r>
        <w:rPr>
          <w:rFonts w:hint="eastAsia" w:ascii="Times New Roman" w:hAnsi="Times New Roman" w:eastAsia="仿宋_GB2312"/>
          <w:kern w:val="32"/>
          <w:sz w:val="32"/>
          <w:szCs w:val="32"/>
        </w:rPr>
        <w:t>亚硝酸盐（以NO</w:t>
      </w:r>
      <w:r>
        <w:rPr>
          <w:rFonts w:hint="eastAsia" w:ascii="Times New Roman" w:hAnsi="Times New Roman" w:eastAsia="仿宋_GB2312"/>
          <w:kern w:val="32"/>
          <w:sz w:val="32"/>
          <w:szCs w:val="32"/>
          <w:vertAlign w:val="subscript"/>
          <w:lang w:val="en-US" w:eastAsia="zh-CN"/>
        </w:rPr>
        <w:t>2</w:t>
      </w:r>
      <w:r>
        <w:rPr>
          <w:rFonts w:hint="eastAsia" w:ascii="Times New Roman" w:hAnsi="Times New Roman" w:eastAsia="仿宋_GB2312"/>
          <w:kern w:val="32"/>
          <w:sz w:val="32"/>
          <w:szCs w:val="32"/>
          <w:vertAlign w:val="superscript"/>
          <w:lang w:val="en-US" w:eastAsia="zh-CN"/>
        </w:rPr>
        <w:t>-</w:t>
      </w:r>
      <w:r>
        <w:rPr>
          <w:rFonts w:hint="eastAsia" w:ascii="Times New Roman" w:hAnsi="Times New Roman" w:eastAsia="仿宋_GB2312"/>
          <w:kern w:val="32"/>
          <w:sz w:val="32"/>
          <w:szCs w:val="32"/>
        </w:rPr>
        <w:t>计）在包装饮用水（</w:t>
      </w:r>
      <w:r>
        <w:rPr>
          <w:rFonts w:hint="eastAsia" w:ascii="Times New Roman" w:hAnsi="Times New Roman" w:eastAsia="仿宋_GB2312"/>
          <w:kern w:val="32"/>
          <w:sz w:val="32"/>
          <w:szCs w:val="32"/>
          <w:lang w:val="en-US" w:eastAsia="zh-CN"/>
        </w:rPr>
        <w:t>饮用天然矿泉水除外</w:t>
      </w:r>
      <w:r>
        <w:rPr>
          <w:rFonts w:hint="eastAsia" w:ascii="Times New Roman" w:hAnsi="Times New Roman" w:eastAsia="仿宋_GB2312"/>
          <w:kern w:val="32"/>
          <w:sz w:val="32"/>
          <w:szCs w:val="32"/>
        </w:rPr>
        <w:t>）中的最大限量值为0.005mg/L</w:t>
      </w:r>
      <w:r>
        <w:rPr>
          <w:rFonts w:hint="eastAsia" w:ascii="Times New Roman" w:hAnsi="Times New Roman" w:eastAsia="仿宋_GB2312" w:cs="Times New Roman"/>
          <w:kern w:val="32"/>
          <w:sz w:val="32"/>
          <w:szCs w:val="32"/>
          <w:lang w:val="en-US" w:eastAsia="zh-CN" w:bidi="ar-SA"/>
        </w:rPr>
        <w:t>。水中的亚硝酸盐可由硝酸盐转化而来，硝酸盐有天然来源和人为来源。包装饮用水中亚硝酸盐超标的原因可能是水体被细菌污染后，在一定温度下细菌会释放出硝酸盐还原酶，将水中的硝酸盐还原成亚硝酸盐，另外如果消毒过程控制不当，也会导致水体中亚硝酸盐浓度升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、柠檬黄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r>
        <w:rPr>
          <w:rFonts w:hint="eastAsia" w:ascii="仿宋_GB2312" w:eastAsia="仿宋_GB2312"/>
          <w:sz w:val="32"/>
          <w:szCs w:val="32"/>
        </w:rPr>
        <w:t>）</w:t>
      </w:r>
      <w:r>
        <w:rPr>
          <w:rFonts w:hint="eastAsia" w:ascii="仿宋_GB2312" w:eastAsia="仿宋_GB2312"/>
          <w:sz w:val="32"/>
          <w:szCs w:val="32"/>
          <w:lang w:val="en-US" w:eastAsia="zh-CN"/>
        </w:rPr>
        <w:t>及</w:t>
      </w:r>
      <w:r>
        <w:rPr>
          <w:rFonts w:hint="eastAsia" w:ascii="仿宋_GB2312" w:eastAsia="仿宋_GB2312"/>
          <w:sz w:val="32"/>
          <w:szCs w:val="32"/>
        </w:rPr>
        <w:t>（</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挂面</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lang w:val="en-US" w:eastAsia="zh-CN"/>
        </w:rPr>
        <w:t>挂面中检出柠檬黄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cs="Times New Roman"/>
          <w:kern w:val="32"/>
          <w:sz w:val="32"/>
          <w:szCs w:val="32"/>
          <w:lang w:val="en-US" w:eastAsia="zh-CN"/>
        </w:rPr>
        <w:t>十六、</w:t>
      </w:r>
      <w:r>
        <w:rPr>
          <w:rFonts w:hint="eastAsia" w:ascii="Times New Roman" w:hAnsi="Times New Roman" w:eastAsia="黑体"/>
          <w:kern w:val="32"/>
          <w:sz w:val="32"/>
          <w:szCs w:val="32"/>
        </w:rPr>
        <w:t>二氧化硫残留量</w:t>
      </w:r>
    </w:p>
    <w:p>
      <w:pPr>
        <w:pStyle w:val="21"/>
        <w:keepNext w:val="0"/>
        <w:keepLines w:val="0"/>
        <w:pageBreakBefore w:val="0"/>
        <w:widowControl w:val="0"/>
        <w:kinsoku/>
        <w:wordWrap/>
        <w:overflowPunct/>
        <w:topLinePunct w:val="0"/>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2024）中规定，二氧化硫残留量在干制蔬菜、腌渍的蔬菜中的最大限量值分别为0.2g/kg、0.1g/kg。蔬菜干制品、酱腌菜中二氧化硫残留量超标的原因，可能是生产者为降低成本使用劣质原料，又为了提高产品色泽和防腐而超限量使用亚硫酸盐等二氧化硫类食品添加剂，也有可能是使用时不计量或计量不准确所致。</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十七、脱氢乙酸及其钠盐（以脱氢乙酸计）</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eastAsia="zh-CN"/>
        </w:rPr>
      </w:pPr>
      <w:r>
        <w:rPr>
          <w:rFonts w:ascii="Times New Roman" w:hAnsi="Times New Roman" w:eastAsia="仿宋_GB2312"/>
          <w:kern w:val="3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w:t>
      </w:r>
      <w:r>
        <w:rPr>
          <w:rFonts w:hint="eastAsia" w:ascii="Times New Roman" w:hAnsi="Times New Roman" w:eastAsia="仿宋_GB2312"/>
          <w:kern w:val="32"/>
          <w:sz w:val="32"/>
          <w:szCs w:val="32"/>
          <w:lang w:val="en-US" w:eastAsia="zh-CN"/>
        </w:rPr>
        <w:t>米粉制品中不得使用</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米皮</w:t>
      </w:r>
      <w:r>
        <w:rPr>
          <w:rFonts w:hint="eastAsia" w:ascii="Times New Roman" w:hAnsi="Times New Roman" w:eastAsia="仿宋_GB2312"/>
          <w:kern w:val="32"/>
          <w:sz w:val="32"/>
          <w:szCs w:val="32"/>
          <w:lang w:val="en-US" w:eastAsia="zh-CN"/>
        </w:rPr>
        <w:t>中检出</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eastAsia="zh-CN"/>
        </w:rPr>
        <w:t>的</w:t>
      </w:r>
      <w:r>
        <w:rPr>
          <w:rFonts w:hint="eastAsia" w:ascii="仿宋_GB2312" w:hAnsi="仿宋_GB2312" w:eastAsia="仿宋_GB2312" w:cs="仿宋_GB2312"/>
          <w:kern w:val="32"/>
          <w:sz w:val="32"/>
          <w:szCs w:val="32"/>
          <w:lang w:val="en-US" w:eastAsia="zh-CN"/>
        </w:rPr>
        <w:t>原因，</w:t>
      </w:r>
      <w:r>
        <w:rPr>
          <w:rFonts w:ascii="Times New Roman" w:hAnsi="Times New Roman" w:eastAsia="仿宋_GB2312"/>
          <w:kern w:val="32"/>
          <w:sz w:val="32"/>
          <w:szCs w:val="32"/>
        </w:rPr>
        <w:t>可能是</w:t>
      </w:r>
      <w:r>
        <w:rPr>
          <w:rFonts w:hint="eastAsia" w:ascii="Times New Roman" w:hAnsi="Times New Roman" w:eastAsia="仿宋_GB2312"/>
          <w:kern w:val="32"/>
          <w:sz w:val="32"/>
          <w:szCs w:val="32"/>
          <w:lang w:val="en-US" w:eastAsia="zh-CN"/>
        </w:rPr>
        <w:t>生产者</w:t>
      </w:r>
      <w:r>
        <w:rPr>
          <w:rFonts w:ascii="Times New Roman" w:hAnsi="Times New Roman" w:eastAsia="仿宋_GB2312"/>
          <w:kern w:val="32"/>
          <w:sz w:val="32"/>
          <w:szCs w:val="32"/>
        </w:rPr>
        <w:t>为</w:t>
      </w:r>
      <w:r>
        <w:rPr>
          <w:rFonts w:hint="eastAsia" w:ascii="Times New Roman" w:hAnsi="Times New Roman" w:eastAsia="仿宋_GB2312"/>
          <w:kern w:val="32"/>
          <w:sz w:val="32"/>
          <w:szCs w:val="32"/>
          <w:lang w:val="en-US" w:eastAsia="zh-CN"/>
        </w:rPr>
        <w:t>延长保质期，</w:t>
      </w:r>
      <w:r>
        <w:rPr>
          <w:rFonts w:ascii="Times New Roman" w:hAnsi="Times New Roman" w:eastAsia="仿宋_GB2312"/>
          <w:kern w:val="32"/>
          <w:sz w:val="32"/>
          <w:szCs w:val="32"/>
        </w:rPr>
        <w:t>防止食品变质</w:t>
      </w:r>
      <w:r>
        <w:rPr>
          <w:rFonts w:hint="eastAsia" w:ascii="Times New Roman" w:hAnsi="Times New Roman" w:eastAsia="仿宋_GB2312"/>
          <w:kern w:val="32"/>
          <w:sz w:val="32"/>
          <w:szCs w:val="32"/>
          <w:lang w:val="en-US" w:eastAsia="zh-CN"/>
        </w:rPr>
        <w:t>而</w:t>
      </w:r>
      <w:r>
        <w:rPr>
          <w:rFonts w:ascii="Times New Roman" w:hAnsi="Times New Roman" w:eastAsia="仿宋_GB2312"/>
          <w:kern w:val="32"/>
          <w:sz w:val="32"/>
          <w:szCs w:val="32"/>
        </w:rPr>
        <w:t>超</w:t>
      </w:r>
      <w:r>
        <w:rPr>
          <w:rFonts w:hint="eastAsia" w:ascii="Times New Roman" w:hAnsi="Times New Roman" w:eastAsia="仿宋_GB2312"/>
          <w:kern w:val="32"/>
          <w:sz w:val="32"/>
          <w:szCs w:val="32"/>
          <w:lang w:val="en-US" w:eastAsia="zh-CN"/>
        </w:rPr>
        <w:t>范围</w:t>
      </w:r>
      <w:r>
        <w:rPr>
          <w:rFonts w:ascii="Times New Roman" w:hAnsi="Times New Roman" w:eastAsia="仿宋_GB2312"/>
          <w:kern w:val="32"/>
          <w:sz w:val="32"/>
          <w:szCs w:val="32"/>
        </w:rPr>
        <w:t>使用</w:t>
      </w:r>
      <w:r>
        <w:rPr>
          <w:rFonts w:hint="eastAsia" w:ascii="仿宋_GB2312" w:hAnsi="仿宋_GB2312" w:eastAsia="仿宋_GB2312" w:cs="仿宋_GB2312"/>
          <w:kern w:val="32"/>
          <w:sz w:val="32"/>
          <w:szCs w:val="32"/>
          <w:lang w:eastAsia="zh-CN"/>
        </w:rPr>
        <w:t>。</w:t>
      </w:r>
    </w:p>
    <w:p>
      <w:pPr>
        <w:keepNext w:val="0"/>
        <w:keepLines w:val="0"/>
        <w:pageBreakBefore w:val="0"/>
        <w:kinsoku/>
        <w:wordWrap/>
        <w:overflowPunct/>
        <w:autoSpaceDE w:val="0"/>
        <w:autoSpaceDN/>
        <w:bidi w:val="0"/>
        <w:adjustRightInd/>
        <w:spacing w:line="594"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val="en-US" w:eastAsia="zh-CN"/>
        </w:rPr>
        <w:t>十八</w:t>
      </w:r>
      <w:r>
        <w:rPr>
          <w:rFonts w:hint="eastAsia" w:ascii="黑体" w:hAnsi="黑体" w:eastAsia="黑体"/>
          <w:sz w:val="32"/>
          <w:szCs w:val="32"/>
        </w:rPr>
        <w:t>、防腐剂混合使用时各自用量占其最大使用量的比例之和</w:t>
      </w:r>
    </w:p>
    <w:p>
      <w:pPr>
        <w:keepNext w:val="0"/>
        <w:keepLines w:val="0"/>
        <w:pageBreakBefore w:val="0"/>
        <w:kinsoku/>
        <w:wordWrap/>
        <w:overflowPunct/>
        <w:autoSpaceDE w:val="0"/>
        <w:autoSpaceDN/>
        <w:bidi w:val="0"/>
        <w:adjustRightInd/>
        <w:spacing w:line="594"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4）中规定</w:t>
      </w:r>
      <w:r>
        <w:rPr>
          <w:rFonts w:hint="eastAsia" w:ascii="仿宋_GB2312" w:hAnsi="Times New Roman" w:eastAsia="仿宋_GB2312"/>
          <w:sz w:val="32"/>
          <w:szCs w:val="32"/>
        </w:rPr>
        <w:t>了食品添加剂的允许使用品种、适用范围以及最大使用量或残留量，并规定同一功能的食品添加剂（防腐剂等）在混合使用时，各自用量占其最大使用量的比例之和不应超过</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面包</w:t>
      </w:r>
      <w:r>
        <w:rPr>
          <w:rFonts w:hint="eastAsia" w:ascii="Times New Roman" w:hAnsi="Times New Roman" w:eastAsia="仿宋_GB2312"/>
          <w:sz w:val="32"/>
          <w:szCs w:val="32"/>
        </w:rPr>
        <w:t>中</w:t>
      </w:r>
      <w:r>
        <w:rPr>
          <w:rFonts w:ascii="Times New Roman" w:hAnsi="Times New Roman" w:eastAsia="仿宋_GB2312"/>
          <w:sz w:val="32"/>
          <w:szCs w:val="32"/>
        </w:rPr>
        <w:t>防腐剂混合使用时各自用量占其最大使用量的比例之和超标的原因，可能是生产企业在生产加工过程中未严格控制各防腐剂的用量造成的。</w:t>
      </w:r>
    </w:p>
    <w:p>
      <w:pPr>
        <w:keepNext w:val="0"/>
        <w:keepLines w:val="0"/>
        <w:pageBreakBefore w:val="0"/>
        <w:widowControl w:val="0"/>
        <w:numPr>
          <w:ilvl w:val="0"/>
          <w:numId w:val="0"/>
        </w:numPr>
        <w:kinsoku/>
        <w:wordWrap/>
        <w:overflowPunct/>
        <w:topLinePunct w:val="0"/>
        <w:autoSpaceDN/>
        <w:bidi w:val="0"/>
        <w:adjustRightInd/>
        <w:spacing w:line="594" w:lineRule="exact"/>
        <w:ind w:firstLine="640" w:firstLineChars="200"/>
        <w:textAlignment w:val="auto"/>
        <w:rPr>
          <w:rFonts w:hint="eastAsia" w:ascii="黑体" w:hAnsi="黑体" w:eastAsia="黑体"/>
          <w:kern w:val="32"/>
          <w:sz w:val="32"/>
          <w:szCs w:val="32"/>
          <w:lang w:val="en-US" w:eastAsia="zh-CN"/>
        </w:rPr>
      </w:pPr>
      <w:r>
        <w:rPr>
          <w:rFonts w:hint="eastAsia" w:ascii="黑体" w:hAnsi="黑体" w:eastAsia="黑体"/>
          <w:kern w:val="32"/>
          <w:sz w:val="32"/>
          <w:szCs w:val="32"/>
          <w:lang w:val="en-US" w:eastAsia="zh-CN"/>
        </w:rPr>
        <w:t>十九、二氧化碳气容量</w:t>
      </w:r>
    </w:p>
    <w:p>
      <w:pPr>
        <w:keepNext w:val="0"/>
        <w:keepLines w:val="0"/>
        <w:pageBreakBefore w:val="0"/>
        <w:widowControl w:val="0"/>
        <w:numPr>
          <w:ilvl w:val="0"/>
          <w:numId w:val="0"/>
        </w:numPr>
        <w:kinsoku/>
        <w:wordWrap/>
        <w:overflowPunct/>
        <w:topLinePunct w:val="0"/>
        <w:autoSpaceDE w:val="0"/>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二氧化碳气容量是碳酸饮料的一个重要特征指标，指的是在一定温度和压力下，单位体积饮料中所含二氧化碳的体积。这个指标不仅影响饮料的口感和风味，还与其质量和稳定性密切相关。《碳酸饮料</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汽水</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》（GB/T 10792</w:t>
      </w:r>
      <w:r>
        <w:rPr>
          <w:rFonts w:hint="eastAsia" w:ascii="Times New Roman" w:hAnsi="Times New Roman" w:eastAsia="仿宋_GB2312"/>
          <w:kern w:val="32"/>
          <w:sz w:val="32"/>
          <w:szCs w:val="32"/>
          <w:lang w:val="en-US" w:eastAsia="zh-CN"/>
        </w:rPr>
        <w:t>—</w:t>
      </w:r>
      <w:r>
        <w:rPr>
          <w:rFonts w:hint="eastAsia" w:ascii="Times New Roman" w:hAnsi="Times New Roman" w:eastAsia="仿宋_GB2312"/>
          <w:kern w:val="32"/>
          <w:sz w:val="32"/>
          <w:szCs w:val="32"/>
        </w:rPr>
        <w:t>2008）中规定，碳酸饮料（汽水）在20℃时的二氧化碳气容量（容积倍数）应</w:t>
      </w:r>
      <w:r>
        <w:rPr>
          <w:rFonts w:hint="eastAsia" w:ascii="Times New Roman" w:hAnsi="Times New Roman" w:eastAsia="仿宋_GB2312"/>
          <w:kern w:val="32"/>
          <w:sz w:val="32"/>
          <w:szCs w:val="32"/>
          <w:lang w:val="en-US" w:eastAsia="zh-CN"/>
        </w:rPr>
        <w:t>≥</w:t>
      </w:r>
      <w:r>
        <w:rPr>
          <w:rFonts w:hint="eastAsia" w:ascii="Times New Roman" w:hAnsi="Times New Roman" w:eastAsia="仿宋_GB2312"/>
          <w:kern w:val="32"/>
          <w:sz w:val="32"/>
          <w:szCs w:val="32"/>
        </w:rPr>
        <w:t>1.5。碳酸饮料（汽水）中二氧化碳气容量</w:t>
      </w:r>
      <w:r>
        <w:rPr>
          <w:rFonts w:hint="eastAsia" w:ascii="Times New Roman" w:hAnsi="Times New Roman" w:eastAsia="仿宋_GB2312"/>
          <w:kern w:val="32"/>
          <w:sz w:val="32"/>
          <w:szCs w:val="32"/>
          <w:lang w:val="en-US" w:eastAsia="zh-CN"/>
        </w:rPr>
        <w:t>不达标</w:t>
      </w:r>
      <w:r>
        <w:rPr>
          <w:rFonts w:hint="eastAsia" w:ascii="Times New Roman" w:hAnsi="Times New Roman" w:eastAsia="仿宋_GB2312"/>
          <w:kern w:val="32"/>
          <w:sz w:val="32"/>
          <w:szCs w:val="32"/>
        </w:rPr>
        <w:t>的原因，可能是生产</w:t>
      </w:r>
      <w:r>
        <w:rPr>
          <w:rFonts w:hint="eastAsia" w:ascii="Times New Roman" w:hAnsi="Times New Roman" w:eastAsia="仿宋_GB2312"/>
          <w:kern w:val="32"/>
          <w:sz w:val="32"/>
          <w:szCs w:val="32"/>
          <w:lang w:val="en-US" w:eastAsia="zh-CN"/>
        </w:rPr>
        <w:t>企业</w:t>
      </w:r>
      <w:r>
        <w:rPr>
          <w:rFonts w:hint="eastAsia" w:ascii="Times New Roman" w:hAnsi="Times New Roman" w:eastAsia="仿宋_GB2312"/>
          <w:kern w:val="32"/>
          <w:sz w:val="32"/>
          <w:szCs w:val="32"/>
        </w:rPr>
        <w:t>在生产或包装过程中，由于操作不当或设备故障，导致碳酸饮料瓶或罐的密封性受损，从而在储存或运输过程中发生慢性漏气</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w:t>
      </w:r>
      <w:r>
        <w:rPr>
          <w:rFonts w:hint="eastAsia" w:ascii="Times New Roman" w:hAnsi="Times New Roman" w:eastAsia="仿宋_GB2312"/>
          <w:kern w:val="32"/>
          <w:sz w:val="32"/>
          <w:szCs w:val="32"/>
          <w:lang w:eastAsia="zh-CN"/>
        </w:rPr>
        <w:t>使用的二氧化碳气体不纯，含有杂质或其他气体，影响其在水中的溶解度，从而影响气容量。</w:t>
      </w:r>
    </w:p>
    <w:p>
      <w:pPr>
        <w:keepNext w:val="0"/>
        <w:keepLines w:val="0"/>
        <w:pageBreakBefore w:val="0"/>
        <w:widowControl w:val="0"/>
        <w:tabs>
          <w:tab w:val="left" w:pos="572"/>
        </w:tabs>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w:t>
      </w:r>
      <w:r>
        <w:rPr>
          <w:rFonts w:hint="eastAsia" w:ascii="Times New Roman" w:hAnsi="Times New Roman" w:eastAsia="黑体"/>
          <w:kern w:val="32"/>
          <w:sz w:val="32"/>
          <w:szCs w:val="32"/>
        </w:rPr>
        <w:t>、过氧化值（以脂肪计）</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葵花籽</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w:t>
      </w:r>
      <w:r>
        <w:rPr>
          <w:rFonts w:hint="eastAsia" w:ascii="Times New Roman" w:hAnsi="Times New Roman" w:eastAsia="仿宋_GB2312"/>
          <w:kern w:val="32"/>
          <w:sz w:val="32"/>
          <w:szCs w:val="32"/>
          <w:lang w:val="en-US" w:eastAsia="zh-CN"/>
        </w:rPr>
        <w:t>熟制其他类</w:t>
      </w:r>
      <w:r>
        <w:rPr>
          <w:rFonts w:hint="eastAsia" w:ascii="Times New Roman" w:hAnsi="Times New Roman" w:eastAsia="仿宋_GB2312"/>
          <w:kern w:val="32"/>
          <w:sz w:val="32"/>
          <w:szCs w:val="32"/>
        </w:rPr>
        <w:t>中</w:t>
      </w:r>
      <w:r>
        <w:rPr>
          <w:rFonts w:hint="eastAsia" w:ascii="Times New Roman" w:hAnsi="Times New Roman" w:eastAsia="仿宋_GB2312"/>
          <w:kern w:val="32"/>
          <w:sz w:val="32"/>
          <w:szCs w:val="32"/>
          <w:lang w:val="en-US" w:eastAsia="zh-CN"/>
        </w:rPr>
        <w:t>过氧化值</w:t>
      </w:r>
      <w:r>
        <w:rPr>
          <w:rFonts w:hint="eastAsia" w:ascii="Times New Roman" w:hAnsi="Times New Roman" w:eastAsia="仿宋_GB2312"/>
          <w:kern w:val="32"/>
          <w:sz w:val="32"/>
          <w:szCs w:val="32"/>
        </w:rPr>
        <w:t>（以脂肪计）的最大限量值为</w:t>
      </w:r>
      <w:r>
        <w:rPr>
          <w:rFonts w:hint="eastAsia" w:ascii="Times New Roman" w:hAnsi="Times New Roman" w:eastAsia="仿宋_GB2312"/>
          <w:kern w:val="32"/>
          <w:sz w:val="32"/>
          <w:szCs w:val="32"/>
          <w:lang w:val="en-US" w:eastAsia="zh-CN"/>
        </w:rPr>
        <w:t>0.50</w:t>
      </w:r>
      <w:r>
        <w:rPr>
          <w:rFonts w:hint="eastAsia" w:ascii="Times New Roman" w:hAnsi="Times New Roman" w:eastAsia="仿宋_GB2312"/>
          <w:kern w:val="32"/>
          <w:sz w:val="32"/>
          <w:szCs w:val="32"/>
        </w:rPr>
        <w:t>g/</w:t>
      </w:r>
      <w:r>
        <w:rPr>
          <w:rFonts w:hint="eastAsia" w:ascii="Times New Roman" w:hAnsi="Times New Roman" w:eastAsia="仿宋_GB2312"/>
          <w:kern w:val="32"/>
          <w:sz w:val="32"/>
          <w:szCs w:val="32"/>
          <w:lang w:val="en-US" w:eastAsia="zh-CN"/>
        </w:rPr>
        <w:t>100</w:t>
      </w:r>
      <w:r>
        <w:rPr>
          <w:rFonts w:hint="eastAsia" w:ascii="Times New Roman" w:hAnsi="Times New Roman" w:eastAsia="仿宋_GB2312"/>
          <w:kern w:val="32"/>
          <w:sz w:val="32"/>
          <w:szCs w:val="32"/>
        </w:rPr>
        <w:t>g</w:t>
      </w:r>
      <w:r>
        <w:rPr>
          <w:rFonts w:hint="eastAsia" w:ascii="Times New Roman" w:hAnsi="Times New Roman" w:eastAsia="仿宋_GB2312"/>
          <w:sz w:val="32"/>
          <w:szCs w:val="32"/>
          <w:lang w:eastAsia="zh-CN"/>
        </w:rPr>
        <w:t>。瓜子、</w:t>
      </w:r>
      <w:r>
        <w:rPr>
          <w:rFonts w:hint="eastAsia" w:ascii="Times New Roman" w:hAnsi="Times New Roman" w:eastAsia="仿宋_GB2312"/>
          <w:sz w:val="32"/>
          <w:szCs w:val="32"/>
          <w:lang w:val="en-US" w:eastAsia="zh-CN"/>
        </w:rPr>
        <w:t>花生</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二十一</w:t>
      </w:r>
      <w:r>
        <w:rPr>
          <w:rFonts w:hint="eastAsia" w:ascii="Times New Roman" w:hAnsi="Times New Roman" w:eastAsia="黑体"/>
          <w:kern w:val="32"/>
          <w:sz w:val="32"/>
          <w:szCs w:val="32"/>
        </w:rPr>
        <w:t>、阴离子合成洗涤剂（以十二烷基苯磺酸钠计）</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615794"/>
    <w:rsid w:val="016814B1"/>
    <w:rsid w:val="0169061A"/>
    <w:rsid w:val="016A6FD7"/>
    <w:rsid w:val="01852063"/>
    <w:rsid w:val="01864A27"/>
    <w:rsid w:val="019A4E21"/>
    <w:rsid w:val="019B53E2"/>
    <w:rsid w:val="01A404E2"/>
    <w:rsid w:val="01A4698D"/>
    <w:rsid w:val="01AE3368"/>
    <w:rsid w:val="01B02791"/>
    <w:rsid w:val="01B45E3B"/>
    <w:rsid w:val="01B56ECD"/>
    <w:rsid w:val="01BB5A85"/>
    <w:rsid w:val="01CB1F98"/>
    <w:rsid w:val="01DF74D9"/>
    <w:rsid w:val="01EA0118"/>
    <w:rsid w:val="020236B3"/>
    <w:rsid w:val="020531A4"/>
    <w:rsid w:val="02063A29"/>
    <w:rsid w:val="0239518F"/>
    <w:rsid w:val="024C2B81"/>
    <w:rsid w:val="024F3AFA"/>
    <w:rsid w:val="02584761"/>
    <w:rsid w:val="025A704C"/>
    <w:rsid w:val="027B36D1"/>
    <w:rsid w:val="027F6AB2"/>
    <w:rsid w:val="028E120A"/>
    <w:rsid w:val="029A7D90"/>
    <w:rsid w:val="02AD678C"/>
    <w:rsid w:val="02AE04BA"/>
    <w:rsid w:val="02AF3A41"/>
    <w:rsid w:val="02B20860"/>
    <w:rsid w:val="02C44E0D"/>
    <w:rsid w:val="02CD1F13"/>
    <w:rsid w:val="02DD235B"/>
    <w:rsid w:val="02E1151B"/>
    <w:rsid w:val="02ED7EC0"/>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47DEB"/>
    <w:rsid w:val="040E27E3"/>
    <w:rsid w:val="040E5DDE"/>
    <w:rsid w:val="041476CE"/>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74006"/>
    <w:rsid w:val="05AE250F"/>
    <w:rsid w:val="05CD2772"/>
    <w:rsid w:val="05D41222"/>
    <w:rsid w:val="05D63B8E"/>
    <w:rsid w:val="05D830A9"/>
    <w:rsid w:val="05E05ABA"/>
    <w:rsid w:val="05E57574"/>
    <w:rsid w:val="05F92253"/>
    <w:rsid w:val="060E0879"/>
    <w:rsid w:val="06112C9B"/>
    <w:rsid w:val="061207FF"/>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7075C32"/>
    <w:rsid w:val="0708652D"/>
    <w:rsid w:val="071B72C1"/>
    <w:rsid w:val="071C34B5"/>
    <w:rsid w:val="071C7E5F"/>
    <w:rsid w:val="0728596A"/>
    <w:rsid w:val="072D659E"/>
    <w:rsid w:val="072F59AF"/>
    <w:rsid w:val="07340395"/>
    <w:rsid w:val="073B6A3E"/>
    <w:rsid w:val="073E6F3C"/>
    <w:rsid w:val="07432200"/>
    <w:rsid w:val="07486206"/>
    <w:rsid w:val="074E2EF7"/>
    <w:rsid w:val="074E5322"/>
    <w:rsid w:val="077B0190"/>
    <w:rsid w:val="07845AE3"/>
    <w:rsid w:val="0793255D"/>
    <w:rsid w:val="07943000"/>
    <w:rsid w:val="07BA4828"/>
    <w:rsid w:val="07C363B5"/>
    <w:rsid w:val="07EC18BB"/>
    <w:rsid w:val="07EC6998"/>
    <w:rsid w:val="07FD446B"/>
    <w:rsid w:val="0807473B"/>
    <w:rsid w:val="080B2B96"/>
    <w:rsid w:val="081577F3"/>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E0B04"/>
    <w:rsid w:val="09865425"/>
    <w:rsid w:val="098E1F7C"/>
    <w:rsid w:val="09991B47"/>
    <w:rsid w:val="09B04833"/>
    <w:rsid w:val="09C6146A"/>
    <w:rsid w:val="09C86F91"/>
    <w:rsid w:val="09EB2C7F"/>
    <w:rsid w:val="09F81D0F"/>
    <w:rsid w:val="0A1C4869"/>
    <w:rsid w:val="0A1E0E95"/>
    <w:rsid w:val="0A2148F3"/>
    <w:rsid w:val="0A216936"/>
    <w:rsid w:val="0A31466E"/>
    <w:rsid w:val="0A3E54A5"/>
    <w:rsid w:val="0A4C7D07"/>
    <w:rsid w:val="0A587B48"/>
    <w:rsid w:val="0A664271"/>
    <w:rsid w:val="0A7809B7"/>
    <w:rsid w:val="0A793240"/>
    <w:rsid w:val="0A795662"/>
    <w:rsid w:val="0A895CDE"/>
    <w:rsid w:val="0A8E3E71"/>
    <w:rsid w:val="0A984BB5"/>
    <w:rsid w:val="0A994099"/>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43757"/>
    <w:rsid w:val="0BA655D2"/>
    <w:rsid w:val="0BAB4DBC"/>
    <w:rsid w:val="0BB772BD"/>
    <w:rsid w:val="0BCA216D"/>
    <w:rsid w:val="0BD1281F"/>
    <w:rsid w:val="0BD5582F"/>
    <w:rsid w:val="0BE17F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782EF0"/>
    <w:rsid w:val="0C81648E"/>
    <w:rsid w:val="0C873133"/>
    <w:rsid w:val="0C880C59"/>
    <w:rsid w:val="0CC25F19"/>
    <w:rsid w:val="0CC87B29"/>
    <w:rsid w:val="0CD345CA"/>
    <w:rsid w:val="0CD8398F"/>
    <w:rsid w:val="0CD86F5F"/>
    <w:rsid w:val="0CD914B5"/>
    <w:rsid w:val="0CE04884"/>
    <w:rsid w:val="0CE125DD"/>
    <w:rsid w:val="0CE42333"/>
    <w:rsid w:val="0CF0006A"/>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374C93"/>
    <w:rsid w:val="0F38013E"/>
    <w:rsid w:val="0F490B74"/>
    <w:rsid w:val="0F4A15F0"/>
    <w:rsid w:val="0F596AA6"/>
    <w:rsid w:val="0F655282"/>
    <w:rsid w:val="0F7565D7"/>
    <w:rsid w:val="0F8751F8"/>
    <w:rsid w:val="0F8C280E"/>
    <w:rsid w:val="0F930041"/>
    <w:rsid w:val="0F935731"/>
    <w:rsid w:val="0FA20284"/>
    <w:rsid w:val="0FAB0611"/>
    <w:rsid w:val="0FAB0EE6"/>
    <w:rsid w:val="0FB00BF3"/>
    <w:rsid w:val="0FCB37D0"/>
    <w:rsid w:val="0FD31749"/>
    <w:rsid w:val="0FE4264A"/>
    <w:rsid w:val="0FE871E7"/>
    <w:rsid w:val="100967EC"/>
    <w:rsid w:val="102028C9"/>
    <w:rsid w:val="102B64CB"/>
    <w:rsid w:val="1030763E"/>
    <w:rsid w:val="1032785A"/>
    <w:rsid w:val="10345E4A"/>
    <w:rsid w:val="1039687B"/>
    <w:rsid w:val="103A58B2"/>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307256"/>
    <w:rsid w:val="113468A3"/>
    <w:rsid w:val="113A332A"/>
    <w:rsid w:val="113F112A"/>
    <w:rsid w:val="11401B02"/>
    <w:rsid w:val="114845A8"/>
    <w:rsid w:val="114B3E5E"/>
    <w:rsid w:val="115F7498"/>
    <w:rsid w:val="116625B7"/>
    <w:rsid w:val="116850B5"/>
    <w:rsid w:val="117A5014"/>
    <w:rsid w:val="117E6314"/>
    <w:rsid w:val="117F087D"/>
    <w:rsid w:val="118A2837"/>
    <w:rsid w:val="11A227BD"/>
    <w:rsid w:val="11A91930"/>
    <w:rsid w:val="11AC7198"/>
    <w:rsid w:val="11B17CC1"/>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897BDB"/>
    <w:rsid w:val="129802FE"/>
    <w:rsid w:val="12A029B2"/>
    <w:rsid w:val="12B13E61"/>
    <w:rsid w:val="12BE189B"/>
    <w:rsid w:val="12C10A21"/>
    <w:rsid w:val="12C4685D"/>
    <w:rsid w:val="12C86432"/>
    <w:rsid w:val="12CD4BAE"/>
    <w:rsid w:val="12D96C86"/>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E31B9"/>
    <w:rsid w:val="172A0FAC"/>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146A54"/>
    <w:rsid w:val="183103F7"/>
    <w:rsid w:val="183613E4"/>
    <w:rsid w:val="183909C5"/>
    <w:rsid w:val="183D0B4A"/>
    <w:rsid w:val="18406E7A"/>
    <w:rsid w:val="184823B8"/>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67AD5"/>
    <w:rsid w:val="19296BEB"/>
    <w:rsid w:val="192F0DDA"/>
    <w:rsid w:val="19382A8D"/>
    <w:rsid w:val="194C0D15"/>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0C23"/>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9119E5"/>
    <w:rsid w:val="1B9C202B"/>
    <w:rsid w:val="1B9C4291"/>
    <w:rsid w:val="1BC51582"/>
    <w:rsid w:val="1BC73A6F"/>
    <w:rsid w:val="1BC7690A"/>
    <w:rsid w:val="1BC83FED"/>
    <w:rsid w:val="1BD17F27"/>
    <w:rsid w:val="1BD6378F"/>
    <w:rsid w:val="1BD658E4"/>
    <w:rsid w:val="1C055E22"/>
    <w:rsid w:val="1C0624EC"/>
    <w:rsid w:val="1C0A0143"/>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D7FF4"/>
    <w:rsid w:val="1CE4012E"/>
    <w:rsid w:val="1CE55F66"/>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C74F6"/>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75508"/>
    <w:rsid w:val="20E33F9F"/>
    <w:rsid w:val="20E371A5"/>
    <w:rsid w:val="20E56222"/>
    <w:rsid w:val="20EE4E2F"/>
    <w:rsid w:val="21015F9B"/>
    <w:rsid w:val="21134B3E"/>
    <w:rsid w:val="211B0CE6"/>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B6A9C"/>
    <w:rsid w:val="241E68C2"/>
    <w:rsid w:val="24224FB8"/>
    <w:rsid w:val="24235575"/>
    <w:rsid w:val="242A28CA"/>
    <w:rsid w:val="2435722E"/>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402651"/>
    <w:rsid w:val="254A1F6B"/>
    <w:rsid w:val="255319AC"/>
    <w:rsid w:val="2556149D"/>
    <w:rsid w:val="25583A87"/>
    <w:rsid w:val="25590984"/>
    <w:rsid w:val="25994F22"/>
    <w:rsid w:val="25A26D6C"/>
    <w:rsid w:val="25A31F57"/>
    <w:rsid w:val="25AC7E41"/>
    <w:rsid w:val="25AD6DA4"/>
    <w:rsid w:val="25AE12D9"/>
    <w:rsid w:val="25C44658"/>
    <w:rsid w:val="25CA5624"/>
    <w:rsid w:val="25D1041A"/>
    <w:rsid w:val="25D94D82"/>
    <w:rsid w:val="25FD2213"/>
    <w:rsid w:val="260E6546"/>
    <w:rsid w:val="260F621B"/>
    <w:rsid w:val="26163620"/>
    <w:rsid w:val="26256CDC"/>
    <w:rsid w:val="26297460"/>
    <w:rsid w:val="263A2B6C"/>
    <w:rsid w:val="263A4113"/>
    <w:rsid w:val="26553787"/>
    <w:rsid w:val="265C2AE3"/>
    <w:rsid w:val="26661BB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426CA6"/>
    <w:rsid w:val="27461961"/>
    <w:rsid w:val="27475901"/>
    <w:rsid w:val="27481C89"/>
    <w:rsid w:val="275023A2"/>
    <w:rsid w:val="276B56D3"/>
    <w:rsid w:val="276C31F9"/>
    <w:rsid w:val="27710810"/>
    <w:rsid w:val="27792C5F"/>
    <w:rsid w:val="277F62B7"/>
    <w:rsid w:val="27840543"/>
    <w:rsid w:val="27897907"/>
    <w:rsid w:val="279045D1"/>
    <w:rsid w:val="2792416F"/>
    <w:rsid w:val="2799466D"/>
    <w:rsid w:val="279B21C1"/>
    <w:rsid w:val="27A47C71"/>
    <w:rsid w:val="27A66DBF"/>
    <w:rsid w:val="27C10F21"/>
    <w:rsid w:val="27C84BC1"/>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B4DAA"/>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510ABE"/>
    <w:rsid w:val="2A542A73"/>
    <w:rsid w:val="2A573CED"/>
    <w:rsid w:val="2A6B59EA"/>
    <w:rsid w:val="2A703001"/>
    <w:rsid w:val="2A713A65"/>
    <w:rsid w:val="2A7A3A47"/>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517CD"/>
    <w:rsid w:val="2B1940D6"/>
    <w:rsid w:val="2B1C4F36"/>
    <w:rsid w:val="2B23356C"/>
    <w:rsid w:val="2B346370"/>
    <w:rsid w:val="2B381D70"/>
    <w:rsid w:val="2B397896"/>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D134CD"/>
    <w:rsid w:val="2BE05F64"/>
    <w:rsid w:val="2BE462CA"/>
    <w:rsid w:val="2BEE68D3"/>
    <w:rsid w:val="2BF51A0F"/>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C279B8"/>
    <w:rsid w:val="2CD54662"/>
    <w:rsid w:val="2CEA45E0"/>
    <w:rsid w:val="2CFC1259"/>
    <w:rsid w:val="2CFD12CE"/>
    <w:rsid w:val="2CFF241A"/>
    <w:rsid w:val="2D087520"/>
    <w:rsid w:val="2D1A7254"/>
    <w:rsid w:val="2D207FD1"/>
    <w:rsid w:val="2D236108"/>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420CE"/>
    <w:rsid w:val="2EDD0FB3"/>
    <w:rsid w:val="2EDE49DD"/>
    <w:rsid w:val="2EE4515F"/>
    <w:rsid w:val="2EF64D07"/>
    <w:rsid w:val="2EFF2BA5"/>
    <w:rsid w:val="2F0361F1"/>
    <w:rsid w:val="2F0A3A24"/>
    <w:rsid w:val="2F0B779C"/>
    <w:rsid w:val="2F11484F"/>
    <w:rsid w:val="2F1403FE"/>
    <w:rsid w:val="2F1948A9"/>
    <w:rsid w:val="2F1B08DB"/>
    <w:rsid w:val="2F212704"/>
    <w:rsid w:val="2F25085E"/>
    <w:rsid w:val="2F252B54"/>
    <w:rsid w:val="2F2B7FC7"/>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342FDA"/>
    <w:rsid w:val="313F251C"/>
    <w:rsid w:val="313F54DB"/>
    <w:rsid w:val="314825E1"/>
    <w:rsid w:val="314B1C20"/>
    <w:rsid w:val="314B6FC4"/>
    <w:rsid w:val="314D19A6"/>
    <w:rsid w:val="31586592"/>
    <w:rsid w:val="317038E6"/>
    <w:rsid w:val="3186135C"/>
    <w:rsid w:val="318A0E4C"/>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61F58"/>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627F38"/>
    <w:rsid w:val="356910D3"/>
    <w:rsid w:val="356C0059"/>
    <w:rsid w:val="356E5A46"/>
    <w:rsid w:val="35700359"/>
    <w:rsid w:val="35704437"/>
    <w:rsid w:val="35747E49"/>
    <w:rsid w:val="3575771D"/>
    <w:rsid w:val="35805C30"/>
    <w:rsid w:val="35882BB7"/>
    <w:rsid w:val="358D4A67"/>
    <w:rsid w:val="35900175"/>
    <w:rsid w:val="35CF32D1"/>
    <w:rsid w:val="35D6790D"/>
    <w:rsid w:val="35DD2AFA"/>
    <w:rsid w:val="35DE52C2"/>
    <w:rsid w:val="35DF0514"/>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7A54BF"/>
    <w:rsid w:val="377F4883"/>
    <w:rsid w:val="3788258A"/>
    <w:rsid w:val="37922AD5"/>
    <w:rsid w:val="379A1CEF"/>
    <w:rsid w:val="379B4223"/>
    <w:rsid w:val="37B564F7"/>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F0A37"/>
    <w:rsid w:val="3CD64F45"/>
    <w:rsid w:val="3CDE5C4B"/>
    <w:rsid w:val="3CFD4653"/>
    <w:rsid w:val="3D023F8C"/>
    <w:rsid w:val="3D097450"/>
    <w:rsid w:val="3D125944"/>
    <w:rsid w:val="3D1B4D1A"/>
    <w:rsid w:val="3D1D426D"/>
    <w:rsid w:val="3D1F4715"/>
    <w:rsid w:val="3D211F38"/>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E3444"/>
    <w:rsid w:val="3E603179"/>
    <w:rsid w:val="3E682515"/>
    <w:rsid w:val="3E75253C"/>
    <w:rsid w:val="3E7C049D"/>
    <w:rsid w:val="3E860BED"/>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653B9C"/>
    <w:rsid w:val="3F661CE4"/>
    <w:rsid w:val="3F6A7BC7"/>
    <w:rsid w:val="3F6F1681"/>
    <w:rsid w:val="3F761C89"/>
    <w:rsid w:val="3F76656C"/>
    <w:rsid w:val="3F7C2086"/>
    <w:rsid w:val="3F880418"/>
    <w:rsid w:val="3F8E5FAB"/>
    <w:rsid w:val="3F9133A5"/>
    <w:rsid w:val="3F93711E"/>
    <w:rsid w:val="3FA27361"/>
    <w:rsid w:val="3FAF13AE"/>
    <w:rsid w:val="3FBA2E0B"/>
    <w:rsid w:val="3FC419CD"/>
    <w:rsid w:val="3FC92B3F"/>
    <w:rsid w:val="3FD12164"/>
    <w:rsid w:val="3FE71217"/>
    <w:rsid w:val="3FE742EB"/>
    <w:rsid w:val="40155D85"/>
    <w:rsid w:val="40316936"/>
    <w:rsid w:val="403230FE"/>
    <w:rsid w:val="403B7942"/>
    <w:rsid w:val="40410390"/>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F2ADA"/>
    <w:rsid w:val="42E64850"/>
    <w:rsid w:val="42E77E92"/>
    <w:rsid w:val="42ED123B"/>
    <w:rsid w:val="42ED4FA9"/>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715B7"/>
    <w:rsid w:val="43F37E69"/>
    <w:rsid w:val="440C6FD6"/>
    <w:rsid w:val="441822E7"/>
    <w:rsid w:val="441B3B85"/>
    <w:rsid w:val="441C2FAC"/>
    <w:rsid w:val="442C7B41"/>
    <w:rsid w:val="443773EC"/>
    <w:rsid w:val="443B7384"/>
    <w:rsid w:val="4441183E"/>
    <w:rsid w:val="444A0940"/>
    <w:rsid w:val="44562E10"/>
    <w:rsid w:val="44625310"/>
    <w:rsid w:val="4472378B"/>
    <w:rsid w:val="44872FC9"/>
    <w:rsid w:val="44A616A1"/>
    <w:rsid w:val="44A65BEB"/>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964D0"/>
    <w:rsid w:val="454A2974"/>
    <w:rsid w:val="454B183C"/>
    <w:rsid w:val="45505AB1"/>
    <w:rsid w:val="455A7440"/>
    <w:rsid w:val="45651290"/>
    <w:rsid w:val="456669A6"/>
    <w:rsid w:val="456F15BE"/>
    <w:rsid w:val="457A1327"/>
    <w:rsid w:val="45817B3D"/>
    <w:rsid w:val="45885B85"/>
    <w:rsid w:val="45A33E32"/>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E524E0"/>
    <w:rsid w:val="47E7550C"/>
    <w:rsid w:val="47EC43E0"/>
    <w:rsid w:val="47ED3A55"/>
    <w:rsid w:val="48030BB8"/>
    <w:rsid w:val="48097C08"/>
    <w:rsid w:val="480F1604"/>
    <w:rsid w:val="48217291"/>
    <w:rsid w:val="482413D6"/>
    <w:rsid w:val="482E0134"/>
    <w:rsid w:val="482F19AD"/>
    <w:rsid w:val="483268AF"/>
    <w:rsid w:val="48396CD0"/>
    <w:rsid w:val="48573FB3"/>
    <w:rsid w:val="486756A5"/>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301FE3"/>
    <w:rsid w:val="4931500B"/>
    <w:rsid w:val="49366D6C"/>
    <w:rsid w:val="493E4EB6"/>
    <w:rsid w:val="49550F6D"/>
    <w:rsid w:val="496B2EB9"/>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A77F21"/>
    <w:rsid w:val="4AB13C8E"/>
    <w:rsid w:val="4AB34B18"/>
    <w:rsid w:val="4AB701DC"/>
    <w:rsid w:val="4AC94B13"/>
    <w:rsid w:val="4ACC5BD9"/>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C13445"/>
    <w:rsid w:val="4BC16A32"/>
    <w:rsid w:val="4BC30D8B"/>
    <w:rsid w:val="4BD1079D"/>
    <w:rsid w:val="4BD20FCE"/>
    <w:rsid w:val="4BD42F98"/>
    <w:rsid w:val="4BE60F1D"/>
    <w:rsid w:val="4BEA4569"/>
    <w:rsid w:val="4BF947AC"/>
    <w:rsid w:val="4BFF5B3B"/>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616410"/>
    <w:rsid w:val="5162060C"/>
    <w:rsid w:val="51752B27"/>
    <w:rsid w:val="517C742D"/>
    <w:rsid w:val="518C60C3"/>
    <w:rsid w:val="51915487"/>
    <w:rsid w:val="519B1808"/>
    <w:rsid w:val="519C6BF2"/>
    <w:rsid w:val="51A026FC"/>
    <w:rsid w:val="51A054E7"/>
    <w:rsid w:val="51B355E6"/>
    <w:rsid w:val="51C21AE4"/>
    <w:rsid w:val="51D57A6A"/>
    <w:rsid w:val="51D66ADD"/>
    <w:rsid w:val="51D75E09"/>
    <w:rsid w:val="51E04197"/>
    <w:rsid w:val="51E073BF"/>
    <w:rsid w:val="51E371DA"/>
    <w:rsid w:val="51F3415F"/>
    <w:rsid w:val="51F83507"/>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C69C1"/>
    <w:rsid w:val="53BD6A07"/>
    <w:rsid w:val="53C14498"/>
    <w:rsid w:val="53EC14F6"/>
    <w:rsid w:val="53F4459D"/>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3669C"/>
    <w:rsid w:val="55047CFE"/>
    <w:rsid w:val="550A5C7C"/>
    <w:rsid w:val="550F6DEF"/>
    <w:rsid w:val="551A3CA4"/>
    <w:rsid w:val="552354D0"/>
    <w:rsid w:val="554C3717"/>
    <w:rsid w:val="554D6FB0"/>
    <w:rsid w:val="55653867"/>
    <w:rsid w:val="556E620B"/>
    <w:rsid w:val="557A2BAA"/>
    <w:rsid w:val="557D644E"/>
    <w:rsid w:val="55872E29"/>
    <w:rsid w:val="55945546"/>
    <w:rsid w:val="559A0800"/>
    <w:rsid w:val="559D264C"/>
    <w:rsid w:val="55A0560C"/>
    <w:rsid w:val="55A734CB"/>
    <w:rsid w:val="55AA2FBB"/>
    <w:rsid w:val="55BB220A"/>
    <w:rsid w:val="55C67DF5"/>
    <w:rsid w:val="55D45164"/>
    <w:rsid w:val="55DA03DE"/>
    <w:rsid w:val="55DA564E"/>
    <w:rsid w:val="56026DBA"/>
    <w:rsid w:val="56064695"/>
    <w:rsid w:val="560768CE"/>
    <w:rsid w:val="56096DE2"/>
    <w:rsid w:val="56197D89"/>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643855"/>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E4BE5"/>
    <w:rsid w:val="59B12B6A"/>
    <w:rsid w:val="59B2243E"/>
    <w:rsid w:val="59B85CA7"/>
    <w:rsid w:val="59C97EB4"/>
    <w:rsid w:val="59D14FBA"/>
    <w:rsid w:val="59D86398"/>
    <w:rsid w:val="59E06FAB"/>
    <w:rsid w:val="59E53268"/>
    <w:rsid w:val="59E55DA4"/>
    <w:rsid w:val="59F77CCA"/>
    <w:rsid w:val="5A2055FA"/>
    <w:rsid w:val="5A212E99"/>
    <w:rsid w:val="5A297ACF"/>
    <w:rsid w:val="5A50198F"/>
    <w:rsid w:val="5A6538CC"/>
    <w:rsid w:val="5A6574B1"/>
    <w:rsid w:val="5A673229"/>
    <w:rsid w:val="5A72688B"/>
    <w:rsid w:val="5A8E0A57"/>
    <w:rsid w:val="5A8F0B51"/>
    <w:rsid w:val="5A90452E"/>
    <w:rsid w:val="5A964045"/>
    <w:rsid w:val="5A9923BB"/>
    <w:rsid w:val="5AB67D0C"/>
    <w:rsid w:val="5AB9748C"/>
    <w:rsid w:val="5ACF7EA7"/>
    <w:rsid w:val="5AD84127"/>
    <w:rsid w:val="5ADE23D2"/>
    <w:rsid w:val="5ADF54B5"/>
    <w:rsid w:val="5AE3111E"/>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AA401A"/>
    <w:rsid w:val="5CB27795"/>
    <w:rsid w:val="5CC76201"/>
    <w:rsid w:val="5CE84F40"/>
    <w:rsid w:val="5CEA0563"/>
    <w:rsid w:val="5CEC5224"/>
    <w:rsid w:val="5CFA4962"/>
    <w:rsid w:val="5CFD2F61"/>
    <w:rsid w:val="5D001F09"/>
    <w:rsid w:val="5D1A706B"/>
    <w:rsid w:val="5D1C26BC"/>
    <w:rsid w:val="5D281CF6"/>
    <w:rsid w:val="5D284EF1"/>
    <w:rsid w:val="5D2E468D"/>
    <w:rsid w:val="5D3660F3"/>
    <w:rsid w:val="5D42436B"/>
    <w:rsid w:val="5D446039"/>
    <w:rsid w:val="5D5F1B97"/>
    <w:rsid w:val="5D5F1CC0"/>
    <w:rsid w:val="5D72616D"/>
    <w:rsid w:val="5D8F31C2"/>
    <w:rsid w:val="5DBB4356"/>
    <w:rsid w:val="5DBC1ADE"/>
    <w:rsid w:val="5DC15346"/>
    <w:rsid w:val="5DC87A75"/>
    <w:rsid w:val="5DCF488F"/>
    <w:rsid w:val="5DDE3802"/>
    <w:rsid w:val="5DE11544"/>
    <w:rsid w:val="5DEF7705"/>
    <w:rsid w:val="5DF474C9"/>
    <w:rsid w:val="5DF61D90"/>
    <w:rsid w:val="5DFA39CC"/>
    <w:rsid w:val="5E0A0A9B"/>
    <w:rsid w:val="5E0F5C92"/>
    <w:rsid w:val="5E196F30"/>
    <w:rsid w:val="5E1C4785"/>
    <w:rsid w:val="5E1D5B3E"/>
    <w:rsid w:val="5E6261E1"/>
    <w:rsid w:val="5E823644"/>
    <w:rsid w:val="5E870951"/>
    <w:rsid w:val="5E8C7702"/>
    <w:rsid w:val="5E9B5B97"/>
    <w:rsid w:val="5EB0034C"/>
    <w:rsid w:val="5EB574EB"/>
    <w:rsid w:val="5EBC6E5E"/>
    <w:rsid w:val="5EBD3D5F"/>
    <w:rsid w:val="5EBD78BB"/>
    <w:rsid w:val="5ED60488"/>
    <w:rsid w:val="5ED66BCF"/>
    <w:rsid w:val="5EDB13D3"/>
    <w:rsid w:val="5EE65C0B"/>
    <w:rsid w:val="5EE70385"/>
    <w:rsid w:val="5EEE3F19"/>
    <w:rsid w:val="5EFA4E95"/>
    <w:rsid w:val="5F06097C"/>
    <w:rsid w:val="5F070134"/>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4A18BA"/>
    <w:rsid w:val="60545FFD"/>
    <w:rsid w:val="605C4EFD"/>
    <w:rsid w:val="60620F67"/>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40B64"/>
    <w:rsid w:val="61873DB2"/>
    <w:rsid w:val="6188094D"/>
    <w:rsid w:val="6189617B"/>
    <w:rsid w:val="618D5FBE"/>
    <w:rsid w:val="619F291B"/>
    <w:rsid w:val="61A409C1"/>
    <w:rsid w:val="61AA2E28"/>
    <w:rsid w:val="61AD553E"/>
    <w:rsid w:val="61C871C8"/>
    <w:rsid w:val="61CB6119"/>
    <w:rsid w:val="61D513C0"/>
    <w:rsid w:val="61DF468F"/>
    <w:rsid w:val="61E41603"/>
    <w:rsid w:val="61F001EC"/>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858B0"/>
    <w:rsid w:val="64CE0B72"/>
    <w:rsid w:val="64CE2842"/>
    <w:rsid w:val="64E5191A"/>
    <w:rsid w:val="64F15C1C"/>
    <w:rsid w:val="64FC67DF"/>
    <w:rsid w:val="64FD3107"/>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543A"/>
    <w:rsid w:val="65EC523C"/>
    <w:rsid w:val="65EF2B25"/>
    <w:rsid w:val="65F30861"/>
    <w:rsid w:val="65F53DDF"/>
    <w:rsid w:val="65F862EA"/>
    <w:rsid w:val="6609788A"/>
    <w:rsid w:val="66101A94"/>
    <w:rsid w:val="6610639D"/>
    <w:rsid w:val="66155D64"/>
    <w:rsid w:val="661701F9"/>
    <w:rsid w:val="66236B9E"/>
    <w:rsid w:val="66285F62"/>
    <w:rsid w:val="66307CD5"/>
    <w:rsid w:val="66380BB3"/>
    <w:rsid w:val="663B627E"/>
    <w:rsid w:val="663E0BF4"/>
    <w:rsid w:val="66430B34"/>
    <w:rsid w:val="66442670"/>
    <w:rsid w:val="664D3F2E"/>
    <w:rsid w:val="66540B05"/>
    <w:rsid w:val="666A3195"/>
    <w:rsid w:val="66723681"/>
    <w:rsid w:val="66780F45"/>
    <w:rsid w:val="66947B1D"/>
    <w:rsid w:val="669F3D94"/>
    <w:rsid w:val="66A355E9"/>
    <w:rsid w:val="66B43C9A"/>
    <w:rsid w:val="66BA2932"/>
    <w:rsid w:val="66C33EDD"/>
    <w:rsid w:val="66CB4B3F"/>
    <w:rsid w:val="66CC2AA0"/>
    <w:rsid w:val="66CF2882"/>
    <w:rsid w:val="66D734E4"/>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A55B1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814FB"/>
    <w:rsid w:val="6C1227AE"/>
    <w:rsid w:val="6C1F5711"/>
    <w:rsid w:val="6C3D038B"/>
    <w:rsid w:val="6C494E84"/>
    <w:rsid w:val="6C4A32D1"/>
    <w:rsid w:val="6C582FD6"/>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B12CE1"/>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D2BC3"/>
    <w:rsid w:val="6E8201DA"/>
    <w:rsid w:val="6EA12D56"/>
    <w:rsid w:val="6EA305CE"/>
    <w:rsid w:val="6EA42846"/>
    <w:rsid w:val="6EA81477"/>
    <w:rsid w:val="6EAA2402"/>
    <w:rsid w:val="6EB1360C"/>
    <w:rsid w:val="6EE90259"/>
    <w:rsid w:val="6EF2710D"/>
    <w:rsid w:val="6F0D2769"/>
    <w:rsid w:val="6F124918"/>
    <w:rsid w:val="6F151595"/>
    <w:rsid w:val="6F1D0466"/>
    <w:rsid w:val="6F1E43A6"/>
    <w:rsid w:val="6F297677"/>
    <w:rsid w:val="6F2F1B46"/>
    <w:rsid w:val="6F467459"/>
    <w:rsid w:val="6F51652A"/>
    <w:rsid w:val="6F54601A"/>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2D2F7E"/>
    <w:rsid w:val="732F5A65"/>
    <w:rsid w:val="73326672"/>
    <w:rsid w:val="734120D5"/>
    <w:rsid w:val="7349251B"/>
    <w:rsid w:val="734A2905"/>
    <w:rsid w:val="734C0DB6"/>
    <w:rsid w:val="73866EC6"/>
    <w:rsid w:val="738B6F15"/>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13FF1"/>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D3D5D"/>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F5791D"/>
    <w:rsid w:val="75F8069B"/>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46D0"/>
    <w:rsid w:val="76910A04"/>
    <w:rsid w:val="76981E32"/>
    <w:rsid w:val="769B71B7"/>
    <w:rsid w:val="76A37A02"/>
    <w:rsid w:val="76AF1D88"/>
    <w:rsid w:val="76D37F3A"/>
    <w:rsid w:val="76D417EE"/>
    <w:rsid w:val="76DB2892"/>
    <w:rsid w:val="76E26939"/>
    <w:rsid w:val="76E6252F"/>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43952"/>
    <w:rsid w:val="798B2638"/>
    <w:rsid w:val="799C7584"/>
    <w:rsid w:val="79A64B2E"/>
    <w:rsid w:val="79B002F1"/>
    <w:rsid w:val="79BA116F"/>
    <w:rsid w:val="79BF33E8"/>
    <w:rsid w:val="79C97604"/>
    <w:rsid w:val="79CA3C40"/>
    <w:rsid w:val="79CB0C87"/>
    <w:rsid w:val="79CD0EA3"/>
    <w:rsid w:val="79D12015"/>
    <w:rsid w:val="79D740FE"/>
    <w:rsid w:val="79FA5A10"/>
    <w:rsid w:val="79FE73B0"/>
    <w:rsid w:val="7A08012D"/>
    <w:rsid w:val="7A1847B2"/>
    <w:rsid w:val="7A3C1B84"/>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3040D0"/>
    <w:rsid w:val="7C336FB7"/>
    <w:rsid w:val="7C43544C"/>
    <w:rsid w:val="7C4D62CB"/>
    <w:rsid w:val="7C4E2BA2"/>
    <w:rsid w:val="7C5331B5"/>
    <w:rsid w:val="7C5B3EF0"/>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C1A"/>
    <w:rsid w:val="7DC600E3"/>
    <w:rsid w:val="7DC97BD3"/>
    <w:rsid w:val="7DCF1F7B"/>
    <w:rsid w:val="7DD8618E"/>
    <w:rsid w:val="7DDB4FFE"/>
    <w:rsid w:val="7DFB2068"/>
    <w:rsid w:val="7E0522D0"/>
    <w:rsid w:val="7E17201D"/>
    <w:rsid w:val="7E1A3F8B"/>
    <w:rsid w:val="7E237D47"/>
    <w:rsid w:val="7E2471FB"/>
    <w:rsid w:val="7E2766A8"/>
    <w:rsid w:val="7E4030DF"/>
    <w:rsid w:val="7E423B38"/>
    <w:rsid w:val="7E465C4D"/>
    <w:rsid w:val="7E5D4D17"/>
    <w:rsid w:val="7E5E59A0"/>
    <w:rsid w:val="7E655B4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906365"/>
    <w:rsid w:val="7FAE5157"/>
    <w:rsid w:val="7FC32F20"/>
    <w:rsid w:val="7FC33C46"/>
    <w:rsid w:val="7FC44AF6"/>
    <w:rsid w:val="7FD221E9"/>
    <w:rsid w:val="7FDC1E3F"/>
    <w:rsid w:val="7FE64A6C"/>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9</Pages>
  <Words>2713</Words>
  <Characters>2912</Characters>
  <Lines>346</Lines>
  <Paragraphs>97</Paragraphs>
  <TotalTime>4</TotalTime>
  <ScaleCrop>false</ScaleCrop>
  <LinksUpToDate>false</LinksUpToDate>
  <CharactersWithSpaces>2937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廖妍俨</cp:lastModifiedBy>
  <cp:lastPrinted>2024-02-27T02:41:00Z</cp:lastPrinted>
  <dcterms:modified xsi:type="dcterms:W3CDTF">2025-10-31T08:31:11Z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