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2</w:t>
      </w:r>
      <w:r>
        <w:rPr>
          <w:rFonts w:ascii="方正小标宋简体" w:eastAsia="方正小标宋简体"/>
          <w:sz w:val="44"/>
        </w:rPr>
        <w:t>年度市场监管工作真抓实干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成效</w:t>
      </w:r>
      <w:r>
        <w:rPr>
          <w:rFonts w:hint="eastAsia" w:ascii="方正小标宋简体" w:eastAsia="方正小标宋简体"/>
          <w:sz w:val="44"/>
          <w:lang w:eastAsia="zh-CN"/>
        </w:rPr>
        <w:t>明显</w:t>
      </w:r>
      <w:r>
        <w:rPr>
          <w:rFonts w:hint="eastAsia" w:ascii="方正小标宋简体" w:eastAsia="方正小标宋简体"/>
          <w:sz w:val="44"/>
        </w:rPr>
        <w:t>拟予激励支持</w:t>
      </w:r>
      <w:r>
        <w:rPr>
          <w:rFonts w:ascii="方正小标宋简体" w:eastAsia="方正小标宋简体"/>
          <w:sz w:val="44"/>
        </w:rPr>
        <w:t>地方</w:t>
      </w:r>
      <w:r>
        <w:rPr>
          <w:rFonts w:hint="eastAsia" w:ascii="方正小标宋简体" w:eastAsia="方正小标宋简体"/>
          <w:sz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（按行政区划排序）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深化商事制度改革领域（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11个地方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贵阳市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安顺市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六盘水市、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黔南州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，南明区、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盘州市、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大方县、威宁县、三穗县、罗甸县、三都县。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推进质量强省建设领域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10个地方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铜仁市、黔东南州、黔南州，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南明区、仁怀市、赤水市、盘州市、大方县、福泉市、兴义市。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三、推进知识产权强省建设领域（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12个地方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阳市、六盘水市、黔南州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,贵阳高新区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、赤水市、西秀区、盘州市、大方县、玉屏县、台江县、福泉市、兴义市。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635B3F9F"/>
    <w:rsid w:val="635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2023-05-24T03:44:00Z</dcterms:created>
  <dc:creator>L</dc:creator>
  <cp:lastModifiedBy>L</cp:lastModifiedBy>
  <dcterms:modified xsi:type="dcterms:W3CDTF">2023-05-24T03:44:27Z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A80A03C8B6E346CFB86DEB7E22EF47C1_11</vt:lpwstr>
  </property>
</Properties>
</file>