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rPr>
        <w:t>贵州省金属家具</w:t>
      </w:r>
      <w:r>
        <w:rPr>
          <w:rFonts w:ascii="Times New Roman" w:hAnsi="Times New Roman" w:eastAsia="方正小标宋简体" w:cs="方正仿宋简体"/>
          <w:color w:val="000000"/>
          <w:sz w:val="32"/>
          <w:szCs w:val="32"/>
        </w:rPr>
        <w:t>产品质量监督抽查实施细则</w:t>
      </w:r>
    </w:p>
    <w:p>
      <w:pPr>
        <w:adjustRightInd w:val="0"/>
        <w:snapToGrid w:val="0"/>
        <w:spacing w:line="594" w:lineRule="exact"/>
        <w:jc w:val="center"/>
        <w:rPr>
          <w:rFonts w:ascii="Times New Roman" w:hAnsi="Times New Roman" w:eastAsia="方正小标宋简体" w:cs="方正仿宋简体"/>
          <w:color w:val="000000"/>
          <w:sz w:val="32"/>
          <w:szCs w:val="32"/>
        </w:rPr>
      </w:pPr>
      <w:r>
        <w:rPr>
          <w:rFonts w:ascii="Times New Roman" w:hAnsi="Times New Roman" w:eastAsia="方正小标宋简体" w:cs="方正仿宋简体"/>
          <w:color w:val="000000"/>
          <w:sz w:val="32"/>
          <w:szCs w:val="32"/>
        </w:rPr>
        <w:t>（</w:t>
      </w:r>
      <w:r>
        <w:rPr>
          <w:rFonts w:hint="eastAsia" w:ascii="Times New Roman" w:hAnsi="Times New Roman" w:eastAsia="方正小标宋简体" w:cs="方正仿宋简体"/>
          <w:color w:val="000000"/>
          <w:sz w:val="32"/>
          <w:szCs w:val="32"/>
        </w:rPr>
        <w:t>202</w:t>
      </w:r>
      <w:r>
        <w:rPr>
          <w:rFonts w:hint="eastAsia" w:ascii="Times New Roman" w:hAnsi="Times New Roman" w:eastAsia="方正小标宋简体" w:cs="方正仿宋简体"/>
          <w:color w:val="000000"/>
          <w:sz w:val="32"/>
          <w:szCs w:val="32"/>
          <w:lang w:val="en-US" w:eastAsia="zh-CN"/>
        </w:rPr>
        <w:t>2</w:t>
      </w:r>
      <w:r>
        <w:rPr>
          <w:rFonts w:hint="eastAsia" w:ascii="Times New Roman" w:hAnsi="Times New Roman" w:eastAsia="方正小标宋简体" w:cs="方正仿宋简体"/>
          <w:color w:val="000000"/>
          <w:sz w:val="32"/>
          <w:szCs w:val="32"/>
        </w:rPr>
        <w:t>年版</w:t>
      </w:r>
      <w:r>
        <w:rPr>
          <w:rFonts w:ascii="Times New Roman" w:hAnsi="Times New Roman" w:eastAsia="方正小标宋简体" w:cs="方正仿宋简体"/>
          <w:color w:val="000000"/>
          <w:sz w:val="32"/>
          <w:szCs w:val="32"/>
        </w:rPr>
        <w:t>）</w:t>
      </w:r>
    </w:p>
    <w:p>
      <w:pPr>
        <w:snapToGrid w:val="0"/>
        <w:spacing w:before="156" w:beforeLines="50" w:after="156" w:afterLines="50"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以随机抽样的方式在被抽样生产者、销售者的待销产品中抽取。</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随机数一般可使用随机数表等方法产生。</w:t>
      </w:r>
    </w:p>
    <w:p>
      <w:pPr>
        <w:adjustRightInd w:val="0"/>
        <w:snapToGrid w:val="0"/>
        <w:spacing w:line="440" w:lineRule="exact"/>
        <w:ind w:firstLine="420" w:firstLineChars="200"/>
        <w:rPr>
          <w:rFonts w:ascii="宋体" w:hAnsi="宋体"/>
          <w:szCs w:val="21"/>
        </w:rPr>
      </w:pPr>
      <w:r>
        <w:rPr>
          <w:rFonts w:hint="eastAsia" w:ascii="宋体" w:hAnsi="宋体"/>
          <w:szCs w:val="21"/>
        </w:rPr>
        <w:t>每批次产品抽取样品</w:t>
      </w:r>
      <w:r>
        <w:rPr>
          <w:rFonts w:ascii="Times New Roman" w:hAnsi="Times New Roman"/>
          <w:szCs w:val="21"/>
        </w:rPr>
        <w:t>2</w:t>
      </w:r>
      <w:r>
        <w:rPr>
          <w:rFonts w:hint="eastAsia" w:ascii="Times New Roman" w:hAnsi="Times New Roman"/>
          <w:szCs w:val="21"/>
        </w:rPr>
        <w:t>件</w:t>
      </w:r>
      <w:r>
        <w:rPr>
          <w:rFonts w:ascii="Times New Roman" w:hAnsi="Times New Roman"/>
          <w:szCs w:val="21"/>
        </w:rPr>
        <w:t>，其中1</w:t>
      </w:r>
      <w:r>
        <w:rPr>
          <w:rFonts w:hint="eastAsia" w:ascii="Times New Roman" w:hAnsi="Times New Roman"/>
          <w:szCs w:val="21"/>
        </w:rPr>
        <w:t>件</w:t>
      </w:r>
      <w:r>
        <w:rPr>
          <w:rFonts w:ascii="Times New Roman" w:hAnsi="Times New Roman"/>
          <w:szCs w:val="21"/>
        </w:rPr>
        <w:t>作为检验样品，另1</w:t>
      </w:r>
      <w:r>
        <w:rPr>
          <w:rFonts w:hint="eastAsia" w:ascii="Times New Roman" w:hAnsi="Times New Roman"/>
          <w:szCs w:val="21"/>
        </w:rPr>
        <w:t>件</w:t>
      </w:r>
      <w:r>
        <w:rPr>
          <w:rFonts w:ascii="Times New Roman" w:hAnsi="Times New Roman"/>
          <w:szCs w:val="21"/>
        </w:rPr>
        <w:t>作</w:t>
      </w:r>
      <w:r>
        <w:rPr>
          <w:rFonts w:hint="eastAsia" w:ascii="宋体" w:hAnsi="宋体"/>
          <w:szCs w:val="21"/>
        </w:rPr>
        <w:t>为备用样品。</w:t>
      </w:r>
    </w:p>
    <w:p>
      <w:pPr>
        <w:snapToGrid w:val="0"/>
        <w:spacing w:before="156" w:beforeLines="50" w:after="156" w:afterLines="50" w:line="440" w:lineRule="exact"/>
        <w:rPr>
          <w:rFonts w:ascii="Times New Roman" w:hAnsi="Times New Roman" w:eastAsia="黑体"/>
          <w:color w:val="000000"/>
          <w:szCs w:val="21"/>
        </w:rPr>
      </w:pPr>
      <w:r>
        <w:rPr>
          <w:rFonts w:ascii="Times New Roman" w:hAnsi="Times New Roman" w:eastAsia="黑体"/>
          <w:color w:val="000000"/>
          <w:szCs w:val="21"/>
        </w:rPr>
        <w:t>2 检验依据</w:t>
      </w:r>
    </w:p>
    <w:tbl>
      <w:tblPr>
        <w:tblStyle w:val="10"/>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2025"/>
        <w:gridCol w:w="3333"/>
        <w:gridCol w:w="257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序号</w:t>
            </w:r>
          </w:p>
        </w:tc>
        <w:tc>
          <w:tcPr>
            <w:tcW w:w="5358" w:type="dxa"/>
            <w:gridSpan w:val="2"/>
            <w:vAlign w:val="center"/>
          </w:tcPr>
          <w:p>
            <w:pPr>
              <w:snapToGrid w:val="0"/>
              <w:jc w:val="center"/>
              <w:rPr>
                <w:rFonts w:ascii="宋体" w:hAnsi="宋体"/>
                <w:szCs w:val="21"/>
              </w:rPr>
            </w:pPr>
            <w:r>
              <w:rPr>
                <w:rFonts w:hint="eastAsia" w:ascii="宋体" w:hAnsi="宋体"/>
                <w:szCs w:val="21"/>
              </w:rPr>
              <w:t>检验项目</w:t>
            </w:r>
          </w:p>
        </w:tc>
        <w:tc>
          <w:tcPr>
            <w:tcW w:w="2591" w:type="dxa"/>
            <w:gridSpan w:val="2"/>
            <w:vAlign w:val="center"/>
          </w:tcPr>
          <w:p>
            <w:pPr>
              <w:snapToGrid w:val="0"/>
              <w:jc w:val="center"/>
              <w:rPr>
                <w:rFonts w:ascii="宋体" w:hAnsi="宋体"/>
                <w:szCs w:val="21"/>
              </w:rPr>
            </w:pPr>
            <w:r>
              <w:rPr>
                <w:rFonts w:hint="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blHeader/>
          <w:jc w:val="center"/>
        </w:trPr>
        <w:tc>
          <w:tcPr>
            <w:tcW w:w="8845" w:type="dxa"/>
            <w:gridSpan w:val="5"/>
            <w:vAlign w:val="center"/>
          </w:tcPr>
          <w:p>
            <w:pPr>
              <w:snapToGrid w:val="0"/>
              <w:jc w:val="left"/>
              <w:rPr>
                <w:color w:val="000000"/>
                <w:szCs w:val="21"/>
              </w:rPr>
            </w:pPr>
            <w:r>
              <w:rPr>
                <w:rFonts w:hint="eastAsia"/>
                <w:color w:val="000000"/>
                <w:szCs w:val="21"/>
              </w:rPr>
              <w:t>一、金属家具</w:t>
            </w: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1</w:t>
            </w:r>
          </w:p>
        </w:tc>
        <w:tc>
          <w:tcPr>
            <w:tcW w:w="2025" w:type="dxa"/>
            <w:vMerge w:val="restart"/>
            <w:vAlign w:val="center"/>
          </w:tcPr>
          <w:p>
            <w:pPr>
              <w:snapToGrid w:val="0"/>
              <w:jc w:val="center"/>
              <w:rPr>
                <w:rFonts w:ascii="宋体" w:hAnsi="宋体"/>
                <w:szCs w:val="21"/>
              </w:rPr>
            </w:pPr>
            <w:r>
              <w:rPr>
                <w:rFonts w:hint="eastAsia" w:ascii="宋体" w:hAnsi="宋体"/>
                <w:szCs w:val="21"/>
              </w:rPr>
              <w:t>外观性能要求</w:t>
            </w:r>
          </w:p>
        </w:tc>
        <w:tc>
          <w:tcPr>
            <w:tcW w:w="3333" w:type="dxa"/>
            <w:vAlign w:val="center"/>
          </w:tcPr>
          <w:p>
            <w:pPr>
              <w:snapToGrid w:val="0"/>
              <w:jc w:val="center"/>
              <w:rPr>
                <w:rFonts w:ascii="宋体" w:hAnsi="宋体"/>
                <w:szCs w:val="21"/>
              </w:rPr>
            </w:pPr>
            <w:r>
              <w:rPr>
                <w:rFonts w:hint="eastAsia" w:ascii="宋体" w:hAnsi="宋体"/>
                <w:szCs w:val="21"/>
              </w:rPr>
              <w:t>金属件（基本）</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2</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木制件（基本）</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3</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塑料件（基本）</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4</w:t>
            </w:r>
          </w:p>
        </w:tc>
        <w:tc>
          <w:tcPr>
            <w:tcW w:w="5358" w:type="dxa"/>
            <w:gridSpan w:val="2"/>
            <w:vAlign w:val="center"/>
          </w:tcPr>
          <w:p>
            <w:pPr>
              <w:snapToGrid w:val="0"/>
              <w:jc w:val="center"/>
              <w:rPr>
                <w:rFonts w:ascii="宋体" w:hAnsi="宋体"/>
                <w:szCs w:val="21"/>
              </w:rPr>
            </w:pPr>
            <w:r>
              <w:rPr>
                <w:rFonts w:hint="eastAsia" w:ascii="宋体" w:hAnsi="宋体"/>
                <w:szCs w:val="21"/>
              </w:rPr>
              <w:t>结构安全</w:t>
            </w:r>
          </w:p>
        </w:tc>
        <w:tc>
          <w:tcPr>
            <w:tcW w:w="2591" w:type="dxa"/>
            <w:gridSpan w:val="2"/>
            <w:vAlign w:val="center"/>
          </w:tcPr>
          <w:p>
            <w:pPr>
              <w:jc w:val="cente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5</w:t>
            </w:r>
          </w:p>
        </w:tc>
        <w:tc>
          <w:tcPr>
            <w:tcW w:w="5358" w:type="dxa"/>
            <w:gridSpan w:val="2"/>
            <w:vAlign w:val="center"/>
          </w:tcPr>
          <w:p>
            <w:pPr>
              <w:snapToGrid w:val="0"/>
              <w:jc w:val="center"/>
              <w:rPr>
                <w:rFonts w:ascii="宋体" w:hAnsi="宋体"/>
                <w:szCs w:val="21"/>
              </w:rPr>
            </w:pPr>
            <w:r>
              <w:rPr>
                <w:rFonts w:hint="eastAsia" w:ascii="宋体" w:hAnsi="宋体"/>
                <w:szCs w:val="21"/>
              </w:rPr>
              <w:t>甲醛释放量</w:t>
            </w:r>
          </w:p>
        </w:tc>
        <w:tc>
          <w:tcPr>
            <w:tcW w:w="2591" w:type="dxa"/>
            <w:gridSpan w:val="2"/>
            <w:vAlign w:val="center"/>
          </w:tcPr>
          <w:p>
            <w:pPr>
              <w:jc w:val="center"/>
            </w:pPr>
            <w:r>
              <w:rPr>
                <w:rFonts w:ascii="宋体" w:hAnsi="宋体"/>
                <w:szCs w:val="21"/>
              </w:rPr>
              <w:t>GB</w:t>
            </w:r>
            <w:r>
              <w:rPr>
                <w:rFonts w:hint="eastAsia" w:ascii="宋体" w:hAnsi="宋体"/>
                <w:szCs w:val="21"/>
              </w:rPr>
              <w:t xml:space="preserve"> 18580</w:t>
            </w:r>
            <w:r>
              <w:rPr>
                <w:rFonts w:ascii="宋体" w:hAnsi="宋体"/>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6</w:t>
            </w:r>
          </w:p>
        </w:tc>
        <w:tc>
          <w:tcPr>
            <w:tcW w:w="5358" w:type="dxa"/>
            <w:gridSpan w:val="2"/>
            <w:vAlign w:val="center"/>
          </w:tcPr>
          <w:p>
            <w:pPr>
              <w:snapToGrid w:val="0"/>
              <w:jc w:val="center"/>
              <w:rPr>
                <w:rFonts w:ascii="宋体" w:hAnsi="宋体"/>
                <w:szCs w:val="21"/>
              </w:rPr>
            </w:pPr>
            <w:r>
              <w:rPr>
                <w:rFonts w:hint="eastAsia" w:ascii="宋体" w:hAnsi="宋体"/>
                <w:szCs w:val="21"/>
              </w:rPr>
              <w:t>可溶性重金属</w:t>
            </w:r>
          </w:p>
        </w:tc>
        <w:tc>
          <w:tcPr>
            <w:tcW w:w="2591" w:type="dxa"/>
            <w:gridSpan w:val="2"/>
            <w:vAlign w:val="center"/>
          </w:tcPr>
          <w:p>
            <w:pPr>
              <w:snapToGrid w:val="0"/>
              <w:jc w:val="center"/>
              <w:rPr>
                <w:rFonts w:ascii="宋体" w:hAnsi="宋体"/>
                <w:szCs w:val="21"/>
              </w:rPr>
            </w:pPr>
            <w:r>
              <w:rPr>
                <w:rFonts w:ascii="宋体" w:hAnsi="宋体"/>
                <w:szCs w:val="21"/>
              </w:rPr>
              <w:t>GB</w:t>
            </w:r>
            <w:r>
              <w:rPr>
                <w:rFonts w:hint="eastAsia" w:ascii="宋体" w:hAnsi="宋体"/>
                <w:szCs w:val="21"/>
              </w:rPr>
              <w:t xml:space="preserve"> 18584</w:t>
            </w:r>
            <w:r>
              <w:rPr>
                <w:rFonts w:ascii="宋体" w:hAnsi="宋体"/>
                <w:szCs w:val="21"/>
              </w:rPr>
              <w:t>-2001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7</w:t>
            </w:r>
          </w:p>
        </w:tc>
        <w:tc>
          <w:tcPr>
            <w:tcW w:w="2025" w:type="dxa"/>
            <w:vMerge w:val="restart"/>
            <w:vAlign w:val="center"/>
          </w:tcPr>
          <w:p>
            <w:pPr>
              <w:jc w:val="center"/>
              <w:rPr>
                <w:color w:val="000000"/>
                <w:szCs w:val="21"/>
              </w:rPr>
            </w:pPr>
            <w:r>
              <w:rPr>
                <w:rFonts w:hint="eastAsia"/>
                <w:color w:val="000000"/>
                <w:szCs w:val="21"/>
              </w:rPr>
              <w:t>表面理化性能-金属喷漆（塑）涂层</w:t>
            </w:r>
          </w:p>
        </w:tc>
        <w:tc>
          <w:tcPr>
            <w:tcW w:w="3333" w:type="dxa"/>
            <w:vAlign w:val="center"/>
          </w:tcPr>
          <w:p>
            <w:pPr>
              <w:jc w:val="center"/>
              <w:rPr>
                <w:color w:val="000000"/>
                <w:szCs w:val="21"/>
              </w:rPr>
            </w:pPr>
            <w:r>
              <w:rPr>
                <w:rFonts w:hint="eastAsia"/>
                <w:color w:val="000000"/>
                <w:szCs w:val="21"/>
              </w:rPr>
              <w:t>硬度</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8</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color w:val="000000"/>
                <w:szCs w:val="21"/>
              </w:rPr>
              <w:t>冲击强度</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9</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color w:val="000000"/>
                <w:szCs w:val="21"/>
              </w:rPr>
              <w:t>附着力</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hint="eastAsia" w:ascii="宋体" w:hAnsi="宋体"/>
                <w:szCs w:val="21"/>
              </w:rPr>
              <w:t>10</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color w:val="000000"/>
                <w:szCs w:val="21"/>
              </w:rPr>
              <w:t>耐腐蚀</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11</w:t>
            </w:r>
          </w:p>
        </w:tc>
        <w:tc>
          <w:tcPr>
            <w:tcW w:w="5358" w:type="dxa"/>
            <w:gridSpan w:val="2"/>
            <w:vAlign w:val="center"/>
          </w:tcPr>
          <w:p>
            <w:pPr>
              <w:snapToGrid w:val="0"/>
              <w:jc w:val="center"/>
              <w:rPr>
                <w:rFonts w:ascii="宋体" w:hAnsi="宋体"/>
                <w:szCs w:val="21"/>
              </w:rPr>
            </w:pPr>
            <w:r>
              <w:rPr>
                <w:rFonts w:hint="eastAsia"/>
                <w:color w:val="000000"/>
                <w:szCs w:val="21"/>
              </w:rPr>
              <w:t>表面理化性能-金属电镀层-抗盐雾</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12</w:t>
            </w:r>
          </w:p>
        </w:tc>
        <w:tc>
          <w:tcPr>
            <w:tcW w:w="2025" w:type="dxa"/>
            <w:vAlign w:val="center"/>
          </w:tcPr>
          <w:p>
            <w:pPr>
              <w:snapToGrid w:val="0"/>
              <w:jc w:val="center"/>
              <w:rPr>
                <w:rFonts w:ascii="宋体" w:hAnsi="宋体"/>
                <w:szCs w:val="21"/>
              </w:rPr>
            </w:pPr>
            <w:r>
              <w:rPr>
                <w:rFonts w:hint="eastAsia" w:ascii="宋体" w:hAnsi="宋体"/>
                <w:szCs w:val="21"/>
              </w:rPr>
              <w:t>木质件</w:t>
            </w:r>
          </w:p>
        </w:tc>
        <w:tc>
          <w:tcPr>
            <w:tcW w:w="3333" w:type="dxa"/>
            <w:vAlign w:val="center"/>
          </w:tcPr>
          <w:p>
            <w:pPr>
              <w:snapToGrid w:val="0"/>
              <w:jc w:val="center"/>
              <w:rPr>
                <w:rFonts w:ascii="宋体" w:hAnsi="宋体"/>
                <w:szCs w:val="21"/>
              </w:rPr>
            </w:pPr>
            <w:r>
              <w:rPr>
                <w:rFonts w:hint="eastAsia" w:ascii="宋体" w:hAnsi="宋体"/>
                <w:szCs w:val="21"/>
              </w:rPr>
              <w:t>含水率</w:t>
            </w:r>
          </w:p>
        </w:tc>
        <w:tc>
          <w:tcPr>
            <w:tcW w:w="2591" w:type="dxa"/>
            <w:gridSpan w:val="2"/>
            <w:vAlign w:val="center"/>
          </w:tcPr>
          <w:p>
            <w:pPr>
              <w:jc w:val="cente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13</w:t>
            </w:r>
          </w:p>
        </w:tc>
        <w:tc>
          <w:tcPr>
            <w:tcW w:w="2025" w:type="dxa"/>
            <w:vAlign w:val="center"/>
          </w:tcPr>
          <w:p>
            <w:pPr>
              <w:snapToGrid w:val="0"/>
              <w:jc w:val="center"/>
              <w:rPr>
                <w:rFonts w:ascii="宋体" w:hAnsi="宋体"/>
                <w:szCs w:val="21"/>
              </w:rPr>
            </w:pPr>
            <w:r>
              <w:rPr>
                <w:rFonts w:hint="eastAsia" w:ascii="宋体" w:hAnsi="宋体"/>
                <w:szCs w:val="21"/>
              </w:rPr>
              <w:t>人造板件</w:t>
            </w:r>
          </w:p>
        </w:tc>
        <w:tc>
          <w:tcPr>
            <w:tcW w:w="3333" w:type="dxa"/>
            <w:vAlign w:val="center"/>
          </w:tcPr>
          <w:p>
            <w:pPr>
              <w:snapToGrid w:val="0"/>
              <w:jc w:val="center"/>
              <w:rPr>
                <w:rFonts w:ascii="宋体" w:hAnsi="宋体"/>
                <w:szCs w:val="21"/>
              </w:rPr>
            </w:pPr>
            <w:r>
              <w:rPr>
                <w:rFonts w:hint="eastAsia" w:ascii="宋体" w:hAnsi="宋体"/>
                <w:szCs w:val="21"/>
              </w:rPr>
              <w:t>封边条表面胶合强度</w:t>
            </w:r>
          </w:p>
        </w:tc>
        <w:tc>
          <w:tcPr>
            <w:tcW w:w="2591" w:type="dxa"/>
            <w:gridSpan w:val="2"/>
            <w:vAlign w:val="center"/>
          </w:tcPr>
          <w:p>
            <w:pPr>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14</w:t>
            </w:r>
          </w:p>
        </w:tc>
        <w:tc>
          <w:tcPr>
            <w:tcW w:w="2025" w:type="dxa"/>
            <w:vMerge w:val="restart"/>
            <w:vAlign w:val="center"/>
          </w:tcPr>
          <w:p>
            <w:pPr>
              <w:snapToGrid w:val="0"/>
              <w:jc w:val="center"/>
              <w:rPr>
                <w:rFonts w:ascii="宋体" w:hAnsi="宋体"/>
                <w:szCs w:val="21"/>
              </w:rPr>
            </w:pPr>
            <w:r>
              <w:rPr>
                <w:rFonts w:hint="eastAsia" w:ascii="宋体" w:hAnsi="宋体"/>
                <w:szCs w:val="21"/>
              </w:rPr>
              <w:t>力学性能(桌类)</w:t>
            </w:r>
          </w:p>
        </w:tc>
        <w:tc>
          <w:tcPr>
            <w:tcW w:w="3333" w:type="dxa"/>
            <w:vAlign w:val="center"/>
          </w:tcPr>
          <w:p>
            <w:pPr>
              <w:snapToGrid w:val="0"/>
              <w:jc w:val="center"/>
              <w:rPr>
                <w:rFonts w:ascii="宋体" w:hAnsi="宋体"/>
                <w:szCs w:val="21"/>
              </w:rPr>
            </w:pPr>
            <w:r>
              <w:rPr>
                <w:rFonts w:hint="eastAsia" w:ascii="宋体" w:hAnsi="宋体"/>
                <w:szCs w:val="21"/>
              </w:rPr>
              <w:t>垂直静载荷试验</w:t>
            </w:r>
          </w:p>
        </w:tc>
        <w:tc>
          <w:tcPr>
            <w:tcW w:w="2591" w:type="dxa"/>
            <w:gridSpan w:val="2"/>
            <w:vAlign w:val="center"/>
          </w:tcPr>
          <w:p>
            <w:pPr>
              <w:snapToGrid w:val="0"/>
              <w:jc w:val="center"/>
              <w:rPr>
                <w:rFonts w:ascii="宋体" w:hAnsi="宋体"/>
                <w:szCs w:val="21"/>
                <w:lang w:eastAsia="en-US"/>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15</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水平静载荷试验</w:t>
            </w:r>
          </w:p>
        </w:tc>
        <w:tc>
          <w:tcPr>
            <w:tcW w:w="2591" w:type="dxa"/>
            <w:gridSpan w:val="2"/>
            <w:vAlign w:val="center"/>
          </w:tcPr>
          <w:p>
            <w:pPr>
              <w:snapToGrid w:val="0"/>
              <w:jc w:val="center"/>
              <w:rPr>
                <w:rFonts w:ascii="宋体" w:hAnsi="宋体"/>
                <w:szCs w:val="21"/>
                <w:lang w:eastAsia="en-US"/>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16</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桌面垂直冲击</w:t>
            </w:r>
          </w:p>
        </w:tc>
        <w:tc>
          <w:tcPr>
            <w:tcW w:w="2591" w:type="dxa"/>
            <w:gridSpan w:val="2"/>
            <w:vAlign w:val="center"/>
          </w:tcPr>
          <w:p>
            <w:pPr>
              <w:snapToGrid w:val="0"/>
              <w:jc w:val="center"/>
              <w:rPr>
                <w:rFonts w:ascii="宋体" w:hAnsi="宋体"/>
                <w:szCs w:val="21"/>
                <w:lang w:eastAsia="en-US"/>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17</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桌类稳定性</w:t>
            </w:r>
          </w:p>
        </w:tc>
        <w:tc>
          <w:tcPr>
            <w:tcW w:w="2591" w:type="dxa"/>
            <w:gridSpan w:val="2"/>
            <w:vAlign w:val="center"/>
          </w:tcPr>
          <w:p>
            <w:pPr>
              <w:snapToGrid w:val="0"/>
              <w:jc w:val="center"/>
              <w:rPr>
                <w:rFonts w:ascii="宋体" w:hAnsi="宋体"/>
                <w:szCs w:val="21"/>
                <w:lang w:eastAsia="en-US"/>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18</w:t>
            </w:r>
          </w:p>
        </w:tc>
        <w:tc>
          <w:tcPr>
            <w:tcW w:w="2025" w:type="dxa"/>
            <w:vMerge w:val="restart"/>
            <w:vAlign w:val="center"/>
          </w:tcPr>
          <w:p>
            <w:pPr>
              <w:snapToGrid w:val="0"/>
              <w:jc w:val="center"/>
              <w:rPr>
                <w:rFonts w:ascii="宋体" w:hAnsi="宋体"/>
                <w:szCs w:val="21"/>
              </w:rPr>
            </w:pPr>
            <w:r>
              <w:rPr>
                <w:rFonts w:hint="eastAsia" w:ascii="宋体" w:hAnsi="宋体"/>
                <w:szCs w:val="21"/>
              </w:rPr>
              <w:t>力学性能(椅凳类)</w:t>
            </w:r>
          </w:p>
        </w:tc>
        <w:tc>
          <w:tcPr>
            <w:tcW w:w="3333" w:type="dxa"/>
            <w:vAlign w:val="center"/>
          </w:tcPr>
          <w:p>
            <w:pPr>
              <w:snapToGrid w:val="0"/>
              <w:jc w:val="center"/>
              <w:rPr>
                <w:rFonts w:ascii="宋体" w:hAnsi="宋体"/>
                <w:szCs w:val="21"/>
              </w:rPr>
            </w:pPr>
            <w:r>
              <w:rPr>
                <w:rFonts w:hint="eastAsia" w:ascii="宋体" w:hAnsi="宋体"/>
                <w:szCs w:val="21"/>
              </w:rPr>
              <w:t>座面椅背静载荷</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19</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座面冲击试验</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20</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跌落试验</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21</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椅凳类稳定性</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22</w:t>
            </w:r>
          </w:p>
        </w:tc>
        <w:tc>
          <w:tcPr>
            <w:tcW w:w="2025" w:type="dxa"/>
            <w:vMerge w:val="restart"/>
            <w:vAlign w:val="center"/>
          </w:tcPr>
          <w:p>
            <w:pPr>
              <w:snapToGrid w:val="0"/>
              <w:jc w:val="center"/>
              <w:rPr>
                <w:rFonts w:ascii="宋体" w:hAnsi="宋体"/>
                <w:szCs w:val="21"/>
              </w:rPr>
            </w:pPr>
            <w:r>
              <w:rPr>
                <w:rFonts w:hint="eastAsia" w:ascii="宋体" w:hAnsi="宋体"/>
                <w:szCs w:val="21"/>
              </w:rPr>
              <w:t>力学性能(单层床)</w:t>
            </w:r>
          </w:p>
        </w:tc>
        <w:tc>
          <w:tcPr>
            <w:tcW w:w="3333" w:type="dxa"/>
            <w:vAlign w:val="center"/>
          </w:tcPr>
          <w:p>
            <w:pPr>
              <w:snapToGrid w:val="0"/>
              <w:jc w:val="center"/>
              <w:rPr>
                <w:rFonts w:ascii="宋体" w:hAnsi="宋体"/>
                <w:szCs w:val="21"/>
              </w:rPr>
            </w:pPr>
            <w:r>
              <w:rPr>
                <w:rFonts w:hint="eastAsia" w:ascii="宋体" w:hAnsi="宋体"/>
                <w:szCs w:val="21"/>
              </w:rPr>
              <w:t>床铺面集中静载荷</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23</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床长边静载荷</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24</w:t>
            </w:r>
          </w:p>
        </w:tc>
        <w:tc>
          <w:tcPr>
            <w:tcW w:w="2025" w:type="dxa"/>
            <w:vMerge w:val="restart"/>
            <w:vAlign w:val="center"/>
          </w:tcPr>
          <w:p>
            <w:pPr>
              <w:snapToGrid w:val="0"/>
              <w:jc w:val="center"/>
              <w:rPr>
                <w:rFonts w:ascii="宋体" w:hAnsi="宋体"/>
                <w:szCs w:val="21"/>
              </w:rPr>
            </w:pPr>
            <w:r>
              <w:rPr>
                <w:rFonts w:hint="eastAsia" w:ascii="宋体" w:hAnsi="宋体"/>
                <w:szCs w:val="21"/>
              </w:rPr>
              <w:t>力学性能(双层床)</w:t>
            </w:r>
          </w:p>
        </w:tc>
        <w:tc>
          <w:tcPr>
            <w:tcW w:w="3333" w:type="dxa"/>
            <w:vAlign w:val="center"/>
          </w:tcPr>
          <w:p>
            <w:pPr>
              <w:snapToGrid w:val="0"/>
              <w:jc w:val="center"/>
              <w:rPr>
                <w:rFonts w:ascii="宋体" w:hAnsi="宋体"/>
                <w:szCs w:val="21"/>
              </w:rPr>
            </w:pPr>
            <w:r>
              <w:rPr>
                <w:rFonts w:hint="eastAsia" w:ascii="宋体" w:hAnsi="宋体"/>
                <w:szCs w:val="21"/>
              </w:rPr>
              <w:t>安全栏板静载荷试验</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25</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床铺面垂直向下静载荷试验</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26</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双层床稳定性</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27</w:t>
            </w:r>
          </w:p>
        </w:tc>
        <w:tc>
          <w:tcPr>
            <w:tcW w:w="2025" w:type="dxa"/>
            <w:vMerge w:val="restart"/>
            <w:vAlign w:val="center"/>
          </w:tcPr>
          <w:p>
            <w:pPr>
              <w:snapToGrid w:val="0"/>
              <w:jc w:val="center"/>
              <w:rPr>
                <w:rFonts w:ascii="宋体" w:hAnsi="宋体"/>
                <w:szCs w:val="21"/>
              </w:rPr>
            </w:pPr>
            <w:r>
              <w:rPr>
                <w:rFonts w:hint="eastAsia" w:ascii="宋体" w:hAnsi="宋体"/>
                <w:szCs w:val="21"/>
              </w:rPr>
              <w:t>力学性能(柜类)</w:t>
            </w:r>
          </w:p>
        </w:tc>
        <w:tc>
          <w:tcPr>
            <w:tcW w:w="3333" w:type="dxa"/>
            <w:vAlign w:val="center"/>
          </w:tcPr>
          <w:p>
            <w:pPr>
              <w:snapToGrid w:val="0"/>
              <w:jc w:val="center"/>
              <w:rPr>
                <w:rFonts w:ascii="宋体" w:hAnsi="宋体"/>
                <w:szCs w:val="21"/>
              </w:rPr>
            </w:pPr>
            <w:r>
              <w:rPr>
                <w:rFonts w:hint="eastAsia" w:ascii="宋体" w:hAnsi="宋体"/>
                <w:szCs w:val="21"/>
              </w:rPr>
              <w:t>主体结构和底架强度</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28</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抽屉结构强度</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29</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抽屉滑道强度</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896" w:type="dxa"/>
            <w:vAlign w:val="center"/>
          </w:tcPr>
          <w:p>
            <w:pPr>
              <w:snapToGrid w:val="0"/>
              <w:jc w:val="center"/>
              <w:rPr>
                <w:rFonts w:ascii="宋体" w:hAnsi="宋体"/>
                <w:szCs w:val="21"/>
              </w:rPr>
            </w:pPr>
            <w:r>
              <w:rPr>
                <w:rFonts w:ascii="宋体" w:hAnsi="宋体"/>
                <w:szCs w:val="21"/>
              </w:rPr>
              <w:t>30</w:t>
            </w:r>
          </w:p>
        </w:tc>
        <w:tc>
          <w:tcPr>
            <w:tcW w:w="2025" w:type="dxa"/>
            <w:vMerge w:val="continue"/>
            <w:vAlign w:val="center"/>
          </w:tcPr>
          <w:p>
            <w:pPr>
              <w:snapToGrid w:val="0"/>
              <w:jc w:val="center"/>
              <w:rPr>
                <w:rFonts w:ascii="宋体" w:hAnsi="宋体"/>
                <w:szCs w:val="21"/>
              </w:rPr>
            </w:pPr>
          </w:p>
        </w:tc>
        <w:tc>
          <w:tcPr>
            <w:tcW w:w="3333" w:type="dxa"/>
            <w:vAlign w:val="center"/>
          </w:tcPr>
          <w:p>
            <w:pPr>
              <w:snapToGrid w:val="0"/>
              <w:jc w:val="center"/>
              <w:rPr>
                <w:rFonts w:ascii="宋体" w:hAnsi="宋体"/>
                <w:szCs w:val="21"/>
              </w:rPr>
            </w:pPr>
            <w:r>
              <w:rPr>
                <w:rFonts w:hint="eastAsia" w:ascii="宋体" w:hAnsi="宋体"/>
                <w:szCs w:val="21"/>
              </w:rPr>
              <w:t>柜类稳定性</w:t>
            </w:r>
          </w:p>
        </w:tc>
        <w:tc>
          <w:tcPr>
            <w:tcW w:w="2591" w:type="dxa"/>
            <w:gridSpan w:val="2"/>
            <w:vAlign w:val="center"/>
          </w:tcPr>
          <w:p>
            <w:pPr>
              <w:snapToGrid w:val="0"/>
              <w:jc w:val="center"/>
              <w:rPr>
                <w:rFonts w:ascii="宋体" w:hAnsi="宋体"/>
                <w:szCs w:val="21"/>
              </w:rPr>
            </w:pPr>
            <w:r>
              <w:rPr>
                <w:rFonts w:ascii="宋体" w:hAnsi="宋体"/>
                <w:szCs w:val="21"/>
              </w:rPr>
              <w:t>GB/T 3325-2017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8845" w:type="dxa"/>
            <w:gridSpan w:val="5"/>
            <w:vAlign w:val="center"/>
          </w:tcPr>
          <w:p>
            <w:pPr>
              <w:jc w:val="left"/>
              <w:rPr>
                <w:rFonts w:ascii="宋体" w:hAnsi="宋体"/>
                <w:szCs w:val="21"/>
              </w:rPr>
            </w:pPr>
            <w:r>
              <w:rPr>
                <w:rFonts w:hint="eastAsia" w:ascii="宋体" w:hAnsi="宋体"/>
                <w:szCs w:val="21"/>
              </w:rPr>
              <w:t>二、</w:t>
            </w:r>
            <w:r>
              <w:rPr>
                <w:rFonts w:hint="eastAsia" w:ascii="Times New Roman" w:hAnsi="Times New Roman"/>
                <w:color w:val="000000"/>
                <w:szCs w:val="21"/>
              </w:rPr>
              <w:t>钢制书柜、资料柜</w:t>
            </w: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w:t>
            </w:r>
          </w:p>
        </w:tc>
        <w:tc>
          <w:tcPr>
            <w:tcW w:w="2025" w:type="dxa"/>
            <w:vMerge w:val="restart"/>
            <w:vAlign w:val="center"/>
          </w:tcPr>
          <w:p>
            <w:pPr>
              <w:jc w:val="center"/>
              <w:rPr>
                <w:color w:val="000000"/>
                <w:szCs w:val="21"/>
              </w:rPr>
            </w:pPr>
            <w:r>
              <w:rPr>
                <w:rFonts w:hint="eastAsia"/>
                <w:color w:val="000000"/>
                <w:szCs w:val="21"/>
              </w:rPr>
              <w:t>表面理化性能-金属喷漆（塑）涂层</w:t>
            </w:r>
          </w:p>
        </w:tc>
        <w:tc>
          <w:tcPr>
            <w:tcW w:w="3333" w:type="dxa"/>
            <w:vAlign w:val="center"/>
          </w:tcPr>
          <w:p>
            <w:pPr>
              <w:jc w:val="center"/>
              <w:rPr>
                <w:color w:val="000000"/>
                <w:szCs w:val="21"/>
              </w:rPr>
            </w:pPr>
            <w:r>
              <w:rPr>
                <w:rFonts w:hint="eastAsia"/>
                <w:color w:val="000000"/>
                <w:szCs w:val="21"/>
              </w:rPr>
              <w:t>硬度</w:t>
            </w:r>
          </w:p>
        </w:tc>
        <w:tc>
          <w:tcPr>
            <w:tcW w:w="2579" w:type="dxa"/>
            <w:vAlign w:val="center"/>
          </w:tcPr>
          <w:p>
            <w:pPr>
              <w:jc w:val="center"/>
              <w:rPr>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2</w:t>
            </w:r>
          </w:p>
        </w:tc>
        <w:tc>
          <w:tcPr>
            <w:tcW w:w="2025" w:type="dxa"/>
            <w:vMerge w:val="continue"/>
            <w:vAlign w:val="center"/>
          </w:tcPr>
          <w:p>
            <w:pPr>
              <w:jc w:val="center"/>
              <w:rPr>
                <w:color w:val="000000"/>
                <w:szCs w:val="21"/>
              </w:rPr>
            </w:pPr>
          </w:p>
        </w:tc>
        <w:tc>
          <w:tcPr>
            <w:tcW w:w="3333" w:type="dxa"/>
            <w:vAlign w:val="center"/>
          </w:tcPr>
          <w:p>
            <w:pPr>
              <w:jc w:val="center"/>
              <w:rPr>
                <w:color w:val="000000"/>
                <w:szCs w:val="21"/>
              </w:rPr>
            </w:pPr>
            <w:r>
              <w:rPr>
                <w:rFonts w:hint="eastAsia"/>
                <w:color w:val="000000"/>
                <w:szCs w:val="21"/>
              </w:rPr>
              <w:t>冲击强度</w:t>
            </w:r>
          </w:p>
        </w:tc>
        <w:tc>
          <w:tcPr>
            <w:tcW w:w="2579" w:type="dxa"/>
            <w:vAlign w:val="center"/>
          </w:tcPr>
          <w:p>
            <w:pPr>
              <w:jc w:val="center"/>
              <w:rPr>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3</w:t>
            </w:r>
          </w:p>
        </w:tc>
        <w:tc>
          <w:tcPr>
            <w:tcW w:w="2025" w:type="dxa"/>
            <w:vMerge w:val="continue"/>
            <w:vAlign w:val="center"/>
          </w:tcPr>
          <w:p>
            <w:pPr>
              <w:jc w:val="center"/>
              <w:rPr>
                <w:color w:val="000000"/>
                <w:szCs w:val="21"/>
              </w:rPr>
            </w:pPr>
          </w:p>
        </w:tc>
        <w:tc>
          <w:tcPr>
            <w:tcW w:w="3333" w:type="dxa"/>
            <w:vAlign w:val="center"/>
          </w:tcPr>
          <w:p>
            <w:pPr>
              <w:jc w:val="center"/>
              <w:rPr>
                <w:color w:val="000000"/>
                <w:szCs w:val="21"/>
              </w:rPr>
            </w:pPr>
            <w:r>
              <w:rPr>
                <w:rFonts w:hint="eastAsia"/>
                <w:color w:val="000000"/>
                <w:szCs w:val="21"/>
              </w:rPr>
              <w:t>附着力</w:t>
            </w:r>
          </w:p>
        </w:tc>
        <w:tc>
          <w:tcPr>
            <w:tcW w:w="2579" w:type="dxa"/>
            <w:vAlign w:val="center"/>
          </w:tcPr>
          <w:p>
            <w:pPr>
              <w:jc w:val="center"/>
              <w:rPr>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4</w:t>
            </w:r>
          </w:p>
        </w:tc>
        <w:tc>
          <w:tcPr>
            <w:tcW w:w="2025" w:type="dxa"/>
            <w:vMerge w:val="continue"/>
            <w:vAlign w:val="center"/>
          </w:tcPr>
          <w:p>
            <w:pPr>
              <w:jc w:val="center"/>
              <w:rPr>
                <w:color w:val="000000"/>
                <w:szCs w:val="21"/>
              </w:rPr>
            </w:pPr>
          </w:p>
        </w:tc>
        <w:tc>
          <w:tcPr>
            <w:tcW w:w="3333" w:type="dxa"/>
            <w:vAlign w:val="center"/>
          </w:tcPr>
          <w:p>
            <w:pPr>
              <w:jc w:val="center"/>
              <w:rPr>
                <w:color w:val="000000"/>
                <w:szCs w:val="21"/>
              </w:rPr>
            </w:pPr>
            <w:r>
              <w:rPr>
                <w:rFonts w:hint="eastAsia"/>
                <w:color w:val="000000"/>
                <w:szCs w:val="21"/>
              </w:rPr>
              <w:t>耐腐蚀</w:t>
            </w:r>
          </w:p>
        </w:tc>
        <w:tc>
          <w:tcPr>
            <w:tcW w:w="2579" w:type="dxa"/>
            <w:vAlign w:val="center"/>
          </w:tcPr>
          <w:p>
            <w:pPr>
              <w:jc w:val="center"/>
              <w:rPr>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5</w:t>
            </w:r>
          </w:p>
        </w:tc>
        <w:tc>
          <w:tcPr>
            <w:tcW w:w="5358" w:type="dxa"/>
            <w:gridSpan w:val="2"/>
            <w:vAlign w:val="center"/>
          </w:tcPr>
          <w:p>
            <w:pPr>
              <w:jc w:val="center"/>
              <w:rPr>
                <w:color w:val="000000"/>
                <w:szCs w:val="21"/>
              </w:rPr>
            </w:pPr>
            <w:r>
              <w:rPr>
                <w:rFonts w:hint="eastAsia"/>
                <w:color w:val="000000"/>
                <w:szCs w:val="21"/>
              </w:rPr>
              <w:t>表面理化性能-金属电镀层-抗盐雾</w:t>
            </w:r>
          </w:p>
        </w:tc>
        <w:tc>
          <w:tcPr>
            <w:tcW w:w="2579" w:type="dxa"/>
            <w:vAlign w:val="center"/>
          </w:tcPr>
          <w:p>
            <w:pPr>
              <w:jc w:val="center"/>
              <w:rPr>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6</w:t>
            </w:r>
          </w:p>
        </w:tc>
        <w:tc>
          <w:tcPr>
            <w:tcW w:w="2025" w:type="dxa"/>
            <w:vMerge w:val="restart"/>
            <w:vAlign w:val="center"/>
          </w:tcPr>
          <w:p>
            <w:pPr>
              <w:jc w:val="center"/>
              <w:rPr>
                <w:color w:val="000000"/>
                <w:szCs w:val="21"/>
              </w:rPr>
            </w:pPr>
            <w:r>
              <w:rPr>
                <w:rFonts w:hint="eastAsia" w:ascii="宋体" w:hAnsi="宋体"/>
                <w:szCs w:val="21"/>
              </w:rPr>
              <w:t>力学性能（强度和耐久性）</w:t>
            </w:r>
          </w:p>
        </w:tc>
        <w:tc>
          <w:tcPr>
            <w:tcW w:w="3333" w:type="dxa"/>
            <w:vAlign w:val="center"/>
          </w:tcPr>
          <w:p>
            <w:pPr>
              <w:snapToGrid w:val="0"/>
              <w:rPr>
                <w:rFonts w:ascii="宋体" w:hAnsi="宋体"/>
                <w:szCs w:val="21"/>
              </w:rPr>
            </w:pPr>
            <w:r>
              <w:rPr>
                <w:rFonts w:hint="eastAsia" w:ascii="宋体" w:hAnsi="宋体"/>
                <w:szCs w:val="21"/>
              </w:rPr>
              <w:t>搁板弯曲试验</w:t>
            </w:r>
          </w:p>
        </w:tc>
        <w:tc>
          <w:tcPr>
            <w:tcW w:w="2579" w:type="dxa"/>
            <w:vAlign w:val="center"/>
          </w:tcPr>
          <w:p>
            <w:pPr>
              <w:jc w:val="center"/>
              <w:rPr>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7</w:t>
            </w:r>
          </w:p>
        </w:tc>
        <w:tc>
          <w:tcPr>
            <w:tcW w:w="2025" w:type="dxa"/>
            <w:vMerge w:val="continue"/>
            <w:vAlign w:val="center"/>
          </w:tcPr>
          <w:p>
            <w:pPr>
              <w:jc w:val="center"/>
              <w:rPr>
                <w:rFonts w:ascii="宋体" w:hAnsi="宋体"/>
                <w:szCs w:val="21"/>
              </w:rPr>
            </w:pPr>
          </w:p>
        </w:tc>
        <w:tc>
          <w:tcPr>
            <w:tcW w:w="3333" w:type="dxa"/>
            <w:vAlign w:val="center"/>
          </w:tcPr>
          <w:p>
            <w:pPr>
              <w:snapToGrid w:val="0"/>
              <w:rPr>
                <w:rFonts w:ascii="宋体" w:hAnsi="宋体"/>
                <w:szCs w:val="21"/>
              </w:rPr>
            </w:pPr>
            <w:r>
              <w:rPr>
                <w:rFonts w:hint="eastAsia" w:ascii="宋体" w:hAnsi="宋体"/>
                <w:szCs w:val="21"/>
              </w:rPr>
              <w:t>搁板支承强度试验</w:t>
            </w:r>
          </w:p>
        </w:tc>
        <w:tc>
          <w:tcPr>
            <w:tcW w:w="2579" w:type="dxa"/>
            <w:vAlign w:val="center"/>
          </w:tcPr>
          <w:p>
            <w:pPr>
              <w:jc w:val="center"/>
              <w:rPr>
                <w:rFonts w:ascii="Times New Roman" w:hAnsi="Times New Roman"/>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8</w:t>
            </w:r>
          </w:p>
        </w:tc>
        <w:tc>
          <w:tcPr>
            <w:tcW w:w="2025" w:type="dxa"/>
            <w:vMerge w:val="continue"/>
            <w:vAlign w:val="center"/>
          </w:tcPr>
          <w:p>
            <w:pPr>
              <w:jc w:val="center"/>
              <w:rPr>
                <w:color w:val="000000"/>
                <w:szCs w:val="21"/>
              </w:rPr>
            </w:pPr>
          </w:p>
        </w:tc>
        <w:tc>
          <w:tcPr>
            <w:tcW w:w="3333" w:type="dxa"/>
            <w:vAlign w:val="center"/>
          </w:tcPr>
          <w:p>
            <w:pPr>
              <w:snapToGrid w:val="0"/>
              <w:rPr>
                <w:rFonts w:ascii="宋体" w:hAnsi="宋体"/>
                <w:szCs w:val="21"/>
              </w:rPr>
            </w:pPr>
            <w:r>
              <w:rPr>
                <w:rFonts w:hint="eastAsia" w:ascii="宋体" w:hAnsi="宋体"/>
                <w:szCs w:val="21"/>
              </w:rPr>
              <w:t>结构和底架强度</w:t>
            </w:r>
          </w:p>
        </w:tc>
        <w:tc>
          <w:tcPr>
            <w:tcW w:w="2579" w:type="dxa"/>
            <w:vAlign w:val="center"/>
          </w:tcPr>
          <w:p>
            <w:pPr>
              <w:jc w:val="center"/>
              <w:rPr>
                <w:rFonts w:ascii="Times New Roman" w:hAnsi="Times New Roman"/>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9</w:t>
            </w:r>
          </w:p>
        </w:tc>
        <w:tc>
          <w:tcPr>
            <w:tcW w:w="2025" w:type="dxa"/>
            <w:vMerge w:val="continue"/>
            <w:vAlign w:val="center"/>
          </w:tcPr>
          <w:p>
            <w:pPr>
              <w:jc w:val="center"/>
              <w:rPr>
                <w:color w:val="000000"/>
                <w:szCs w:val="21"/>
              </w:rPr>
            </w:pPr>
          </w:p>
        </w:tc>
        <w:tc>
          <w:tcPr>
            <w:tcW w:w="3333" w:type="dxa"/>
            <w:vAlign w:val="center"/>
          </w:tcPr>
          <w:p>
            <w:pPr>
              <w:snapToGrid w:val="0"/>
              <w:rPr>
                <w:rFonts w:ascii="宋体" w:hAnsi="宋体"/>
                <w:szCs w:val="21"/>
              </w:rPr>
            </w:pPr>
            <w:r>
              <w:rPr>
                <w:rFonts w:hint="eastAsia" w:ascii="宋体" w:hAnsi="宋体"/>
                <w:szCs w:val="21"/>
              </w:rPr>
              <w:t>推拉构件强度试验</w:t>
            </w:r>
          </w:p>
        </w:tc>
        <w:tc>
          <w:tcPr>
            <w:tcW w:w="2579" w:type="dxa"/>
            <w:vAlign w:val="center"/>
          </w:tcPr>
          <w:p>
            <w:pPr>
              <w:jc w:val="center"/>
              <w:rPr>
                <w:rFonts w:ascii="Times New Roman" w:hAnsi="Times New Roman"/>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10</w:t>
            </w:r>
          </w:p>
        </w:tc>
        <w:tc>
          <w:tcPr>
            <w:tcW w:w="2025" w:type="dxa"/>
            <w:vMerge w:val="restart"/>
            <w:vAlign w:val="center"/>
          </w:tcPr>
          <w:p>
            <w:pPr>
              <w:snapToGrid w:val="0"/>
              <w:rPr>
                <w:rFonts w:ascii="宋体" w:hAnsi="宋体"/>
                <w:szCs w:val="21"/>
              </w:rPr>
            </w:pPr>
            <w:r>
              <w:rPr>
                <w:rFonts w:hint="eastAsia" w:ascii="宋体" w:hAnsi="宋体"/>
                <w:szCs w:val="21"/>
              </w:rPr>
              <w:t>力学性能（稳定性）</w:t>
            </w:r>
          </w:p>
        </w:tc>
        <w:tc>
          <w:tcPr>
            <w:tcW w:w="3333" w:type="dxa"/>
            <w:vAlign w:val="center"/>
          </w:tcPr>
          <w:p>
            <w:pPr>
              <w:snapToGrid w:val="0"/>
              <w:rPr>
                <w:rFonts w:ascii="宋体" w:hAnsi="宋体"/>
                <w:szCs w:val="21"/>
              </w:rPr>
            </w:pPr>
            <w:r>
              <w:rPr>
                <w:rFonts w:hint="eastAsia" w:ascii="宋体" w:hAnsi="宋体"/>
                <w:szCs w:val="21"/>
              </w:rPr>
              <w:t>搁板水平加载稳定性</w:t>
            </w:r>
          </w:p>
        </w:tc>
        <w:tc>
          <w:tcPr>
            <w:tcW w:w="2579" w:type="dxa"/>
            <w:vAlign w:val="center"/>
          </w:tcPr>
          <w:p>
            <w:pPr>
              <w:jc w:val="center"/>
              <w:rPr>
                <w:rFonts w:ascii="Times New Roman" w:hAnsi="Times New Roman"/>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11</w:t>
            </w:r>
          </w:p>
        </w:tc>
        <w:tc>
          <w:tcPr>
            <w:tcW w:w="2025" w:type="dxa"/>
            <w:vMerge w:val="continue"/>
            <w:vAlign w:val="center"/>
          </w:tcPr>
          <w:p>
            <w:pPr>
              <w:jc w:val="center"/>
              <w:rPr>
                <w:color w:val="000000"/>
                <w:szCs w:val="21"/>
              </w:rPr>
            </w:pPr>
          </w:p>
        </w:tc>
        <w:tc>
          <w:tcPr>
            <w:tcW w:w="3333" w:type="dxa"/>
            <w:vAlign w:val="center"/>
          </w:tcPr>
          <w:p>
            <w:pPr>
              <w:snapToGrid w:val="0"/>
              <w:rPr>
                <w:rFonts w:ascii="宋体" w:hAnsi="宋体"/>
                <w:szCs w:val="21"/>
              </w:rPr>
            </w:pPr>
            <w:r>
              <w:rPr>
                <w:rFonts w:hint="eastAsia" w:ascii="宋体" w:hAnsi="宋体"/>
                <w:szCs w:val="21"/>
              </w:rPr>
              <w:t>搁板垂直加载稳定性</w:t>
            </w:r>
          </w:p>
        </w:tc>
        <w:tc>
          <w:tcPr>
            <w:tcW w:w="2579" w:type="dxa"/>
            <w:vAlign w:val="center"/>
          </w:tcPr>
          <w:p>
            <w:pPr>
              <w:jc w:val="center"/>
              <w:rPr>
                <w:rFonts w:ascii="Times New Roman" w:hAnsi="Times New Roman"/>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12</w:t>
            </w:r>
          </w:p>
        </w:tc>
        <w:tc>
          <w:tcPr>
            <w:tcW w:w="2025" w:type="dxa"/>
            <w:vMerge w:val="continue"/>
            <w:vAlign w:val="center"/>
          </w:tcPr>
          <w:p>
            <w:pPr>
              <w:jc w:val="center"/>
              <w:rPr>
                <w:color w:val="000000"/>
                <w:szCs w:val="21"/>
              </w:rPr>
            </w:pPr>
          </w:p>
        </w:tc>
        <w:tc>
          <w:tcPr>
            <w:tcW w:w="3333" w:type="dxa"/>
            <w:vAlign w:val="center"/>
          </w:tcPr>
          <w:p>
            <w:pPr>
              <w:snapToGrid w:val="0"/>
              <w:rPr>
                <w:rFonts w:ascii="宋体" w:hAnsi="宋体"/>
                <w:szCs w:val="21"/>
              </w:rPr>
            </w:pPr>
            <w:r>
              <w:rPr>
                <w:rFonts w:hint="eastAsia" w:ascii="宋体" w:hAnsi="宋体"/>
                <w:szCs w:val="21"/>
              </w:rPr>
              <w:t>活动部件关闭时的空载稳定性</w:t>
            </w:r>
          </w:p>
        </w:tc>
        <w:tc>
          <w:tcPr>
            <w:tcW w:w="2579" w:type="dxa"/>
            <w:vAlign w:val="center"/>
          </w:tcPr>
          <w:p>
            <w:pPr>
              <w:jc w:val="center"/>
              <w:rPr>
                <w:rFonts w:ascii="Times New Roman" w:hAnsi="Times New Roman"/>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13</w:t>
            </w:r>
          </w:p>
        </w:tc>
        <w:tc>
          <w:tcPr>
            <w:tcW w:w="2025" w:type="dxa"/>
            <w:vMerge w:val="continue"/>
            <w:vAlign w:val="center"/>
          </w:tcPr>
          <w:p>
            <w:pPr>
              <w:jc w:val="center"/>
              <w:rPr>
                <w:color w:val="000000"/>
                <w:szCs w:val="21"/>
              </w:rPr>
            </w:pPr>
          </w:p>
        </w:tc>
        <w:tc>
          <w:tcPr>
            <w:tcW w:w="3333" w:type="dxa"/>
            <w:vAlign w:val="center"/>
          </w:tcPr>
          <w:p>
            <w:pPr>
              <w:snapToGrid w:val="0"/>
              <w:rPr>
                <w:rFonts w:ascii="宋体" w:hAnsi="宋体"/>
                <w:szCs w:val="21"/>
              </w:rPr>
            </w:pPr>
            <w:r>
              <w:rPr>
                <w:rFonts w:hint="eastAsia" w:ascii="宋体" w:hAnsi="宋体"/>
                <w:szCs w:val="21"/>
              </w:rPr>
              <w:t>活动部件打开时的空载稳定性</w:t>
            </w:r>
          </w:p>
        </w:tc>
        <w:tc>
          <w:tcPr>
            <w:tcW w:w="2579" w:type="dxa"/>
            <w:vAlign w:val="center"/>
          </w:tcPr>
          <w:p>
            <w:pPr>
              <w:jc w:val="center"/>
              <w:rPr>
                <w:rFonts w:ascii="Times New Roman" w:hAnsi="Times New Roman"/>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14</w:t>
            </w:r>
          </w:p>
        </w:tc>
        <w:tc>
          <w:tcPr>
            <w:tcW w:w="2025" w:type="dxa"/>
            <w:vMerge w:val="continue"/>
            <w:vAlign w:val="center"/>
          </w:tcPr>
          <w:p>
            <w:pPr>
              <w:jc w:val="center"/>
              <w:rPr>
                <w:color w:val="000000"/>
                <w:szCs w:val="21"/>
              </w:rPr>
            </w:pPr>
          </w:p>
        </w:tc>
        <w:tc>
          <w:tcPr>
            <w:tcW w:w="3333" w:type="dxa"/>
            <w:vAlign w:val="center"/>
          </w:tcPr>
          <w:p>
            <w:pPr>
              <w:snapToGrid w:val="0"/>
              <w:rPr>
                <w:rFonts w:ascii="宋体" w:hAnsi="宋体"/>
                <w:szCs w:val="21"/>
              </w:rPr>
            </w:pPr>
            <w:r>
              <w:rPr>
                <w:rFonts w:hint="eastAsia" w:ascii="宋体" w:hAnsi="宋体"/>
                <w:szCs w:val="21"/>
              </w:rPr>
              <w:t>活动部件关闭时的加载稳定性</w:t>
            </w:r>
          </w:p>
        </w:tc>
        <w:tc>
          <w:tcPr>
            <w:tcW w:w="2579" w:type="dxa"/>
            <w:vAlign w:val="center"/>
          </w:tcPr>
          <w:p>
            <w:pPr>
              <w:jc w:val="center"/>
              <w:rPr>
                <w:rFonts w:ascii="Times New Roman" w:hAnsi="Times New Roman"/>
                <w:color w:val="000000"/>
                <w:szCs w:val="21"/>
              </w:rPr>
            </w:pPr>
            <w:r>
              <w:rPr>
                <w:rFonts w:ascii="Times New Roman" w:hAnsi="Times New Roman"/>
                <w:color w:val="000000"/>
                <w:szCs w:val="21"/>
              </w:rPr>
              <w:t>GB/T 13668-2015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833" w:type="dxa"/>
            <w:gridSpan w:val="4"/>
            <w:tcBorders>
              <w:top w:val="single" w:color="auto" w:sz="4" w:space="0"/>
              <w:left w:val="single" w:color="auto" w:sz="4" w:space="0"/>
              <w:bottom w:val="single" w:color="auto" w:sz="4" w:space="0"/>
            </w:tcBorders>
            <w:vAlign w:val="center"/>
          </w:tcPr>
          <w:p>
            <w:pPr>
              <w:rPr>
                <w:rFonts w:ascii="Times New Roman" w:hAnsi="Times New Roman"/>
                <w:color w:val="000000"/>
                <w:szCs w:val="21"/>
              </w:rPr>
            </w:pPr>
            <w:r>
              <w:rPr>
                <w:rFonts w:hint="eastAsia" w:ascii="Times New Roman" w:hAnsi="Times New Roman"/>
                <w:color w:val="000000"/>
                <w:szCs w:val="21"/>
              </w:rPr>
              <w:t>三、钢制文件柜</w:t>
            </w: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w:t>
            </w:r>
          </w:p>
        </w:tc>
        <w:tc>
          <w:tcPr>
            <w:tcW w:w="5358" w:type="dxa"/>
            <w:gridSpan w:val="2"/>
            <w:vAlign w:val="center"/>
          </w:tcPr>
          <w:p>
            <w:pPr>
              <w:snapToGrid w:val="0"/>
              <w:jc w:val="center"/>
              <w:rPr>
                <w:rFonts w:ascii="宋体" w:hAnsi="宋体"/>
                <w:szCs w:val="21"/>
              </w:rPr>
            </w:pPr>
            <w:r>
              <w:rPr>
                <w:rFonts w:hint="eastAsia" w:ascii="宋体" w:hAnsi="宋体"/>
                <w:szCs w:val="21"/>
              </w:rPr>
              <w:t>净深</w:t>
            </w:r>
          </w:p>
        </w:tc>
        <w:tc>
          <w:tcPr>
            <w:tcW w:w="2579" w:type="dxa"/>
            <w:vAlign w:val="center"/>
          </w:tcPr>
          <w:p>
            <w:pPr>
              <w:snapToGrid w:val="0"/>
              <w:jc w:val="center"/>
              <w:rPr>
                <w:rFonts w:ascii="宋体" w:hAnsi="宋体"/>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2</w:t>
            </w:r>
          </w:p>
        </w:tc>
        <w:tc>
          <w:tcPr>
            <w:tcW w:w="5358" w:type="dxa"/>
            <w:gridSpan w:val="2"/>
            <w:vAlign w:val="center"/>
          </w:tcPr>
          <w:p>
            <w:pPr>
              <w:snapToGrid w:val="0"/>
              <w:jc w:val="center"/>
              <w:rPr>
                <w:rFonts w:ascii="宋体" w:hAnsi="宋体"/>
                <w:szCs w:val="21"/>
              </w:rPr>
            </w:pPr>
            <w:r>
              <w:rPr>
                <w:rFonts w:hint="eastAsia" w:ascii="宋体" w:hAnsi="宋体"/>
                <w:szCs w:val="21"/>
              </w:rPr>
              <w:t>木制件甲醛释放量</w:t>
            </w:r>
          </w:p>
        </w:tc>
        <w:tc>
          <w:tcPr>
            <w:tcW w:w="2579" w:type="dxa"/>
            <w:vAlign w:val="center"/>
          </w:tcPr>
          <w:p>
            <w:pPr>
              <w:snapToGrid w:val="0"/>
              <w:jc w:val="center"/>
              <w:rPr>
                <w:rFonts w:ascii="宋体" w:hAnsi="宋体"/>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3</w:t>
            </w:r>
          </w:p>
        </w:tc>
        <w:tc>
          <w:tcPr>
            <w:tcW w:w="2025" w:type="dxa"/>
            <w:vMerge w:val="restart"/>
            <w:vAlign w:val="center"/>
          </w:tcPr>
          <w:p>
            <w:pPr>
              <w:jc w:val="center"/>
              <w:rPr>
                <w:color w:val="000000"/>
                <w:szCs w:val="21"/>
              </w:rPr>
            </w:pPr>
            <w:r>
              <w:rPr>
                <w:rFonts w:hint="eastAsia"/>
                <w:color w:val="000000"/>
                <w:szCs w:val="21"/>
              </w:rPr>
              <w:t>表面理化性能-金属喷漆（塑）涂层</w:t>
            </w:r>
          </w:p>
        </w:tc>
        <w:tc>
          <w:tcPr>
            <w:tcW w:w="3333" w:type="dxa"/>
            <w:vAlign w:val="center"/>
          </w:tcPr>
          <w:p>
            <w:pPr>
              <w:jc w:val="center"/>
              <w:rPr>
                <w:color w:val="000000"/>
                <w:szCs w:val="21"/>
              </w:rPr>
            </w:pPr>
            <w:r>
              <w:rPr>
                <w:rFonts w:hint="eastAsia"/>
                <w:color w:val="000000"/>
                <w:szCs w:val="21"/>
              </w:rPr>
              <w:t>硬度</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4</w:t>
            </w:r>
          </w:p>
        </w:tc>
        <w:tc>
          <w:tcPr>
            <w:tcW w:w="2025" w:type="dxa"/>
            <w:vMerge w:val="continue"/>
            <w:vAlign w:val="center"/>
          </w:tcPr>
          <w:p>
            <w:pPr>
              <w:jc w:val="center"/>
              <w:rPr>
                <w:color w:val="000000"/>
                <w:szCs w:val="21"/>
              </w:rPr>
            </w:pPr>
          </w:p>
        </w:tc>
        <w:tc>
          <w:tcPr>
            <w:tcW w:w="3333" w:type="dxa"/>
            <w:vAlign w:val="center"/>
          </w:tcPr>
          <w:p>
            <w:pPr>
              <w:snapToGrid w:val="0"/>
              <w:jc w:val="center"/>
              <w:rPr>
                <w:rFonts w:ascii="宋体" w:hAnsi="宋体"/>
                <w:szCs w:val="21"/>
              </w:rPr>
            </w:pPr>
            <w:r>
              <w:rPr>
                <w:rFonts w:hint="eastAsia"/>
                <w:color w:val="000000"/>
                <w:szCs w:val="21"/>
              </w:rPr>
              <w:t>冲击强度</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5</w:t>
            </w:r>
          </w:p>
        </w:tc>
        <w:tc>
          <w:tcPr>
            <w:tcW w:w="2025" w:type="dxa"/>
            <w:vMerge w:val="continue"/>
            <w:vAlign w:val="center"/>
          </w:tcPr>
          <w:p>
            <w:pPr>
              <w:jc w:val="center"/>
              <w:rPr>
                <w:color w:val="000000"/>
                <w:szCs w:val="21"/>
              </w:rPr>
            </w:pPr>
          </w:p>
        </w:tc>
        <w:tc>
          <w:tcPr>
            <w:tcW w:w="3333" w:type="dxa"/>
            <w:vAlign w:val="center"/>
          </w:tcPr>
          <w:p>
            <w:pPr>
              <w:snapToGrid w:val="0"/>
              <w:jc w:val="center"/>
              <w:rPr>
                <w:rFonts w:ascii="宋体" w:hAnsi="宋体"/>
                <w:szCs w:val="21"/>
              </w:rPr>
            </w:pPr>
            <w:r>
              <w:rPr>
                <w:rFonts w:hint="eastAsia"/>
                <w:color w:val="000000"/>
                <w:szCs w:val="21"/>
              </w:rPr>
              <w:t>附着力</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6</w:t>
            </w:r>
          </w:p>
        </w:tc>
        <w:tc>
          <w:tcPr>
            <w:tcW w:w="2025" w:type="dxa"/>
            <w:vMerge w:val="continue"/>
            <w:vAlign w:val="center"/>
          </w:tcPr>
          <w:p>
            <w:pPr>
              <w:jc w:val="center"/>
              <w:rPr>
                <w:color w:val="000000"/>
                <w:szCs w:val="21"/>
              </w:rPr>
            </w:pPr>
          </w:p>
        </w:tc>
        <w:tc>
          <w:tcPr>
            <w:tcW w:w="3333" w:type="dxa"/>
            <w:vAlign w:val="center"/>
          </w:tcPr>
          <w:p>
            <w:pPr>
              <w:snapToGrid w:val="0"/>
              <w:jc w:val="center"/>
              <w:rPr>
                <w:rFonts w:ascii="宋体" w:hAnsi="宋体"/>
                <w:szCs w:val="21"/>
              </w:rPr>
            </w:pPr>
            <w:r>
              <w:rPr>
                <w:rFonts w:hint="eastAsia"/>
                <w:color w:val="000000"/>
                <w:szCs w:val="21"/>
              </w:rPr>
              <w:t>耐腐蚀</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7</w:t>
            </w:r>
          </w:p>
        </w:tc>
        <w:tc>
          <w:tcPr>
            <w:tcW w:w="5358" w:type="dxa"/>
            <w:gridSpan w:val="2"/>
            <w:vAlign w:val="center"/>
          </w:tcPr>
          <w:p>
            <w:pPr>
              <w:snapToGrid w:val="0"/>
              <w:jc w:val="center"/>
              <w:rPr>
                <w:color w:val="000000"/>
                <w:szCs w:val="21"/>
              </w:rPr>
            </w:pPr>
            <w:r>
              <w:rPr>
                <w:rFonts w:hint="eastAsia"/>
                <w:color w:val="000000"/>
                <w:szCs w:val="21"/>
              </w:rPr>
              <w:t>表面理化性能-金属电镀层-抗盐雾</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8</w:t>
            </w:r>
          </w:p>
        </w:tc>
        <w:tc>
          <w:tcPr>
            <w:tcW w:w="2025" w:type="dxa"/>
            <w:vMerge w:val="restart"/>
            <w:vAlign w:val="center"/>
          </w:tcPr>
          <w:p>
            <w:pPr>
              <w:jc w:val="center"/>
              <w:rPr>
                <w:color w:val="000000"/>
                <w:szCs w:val="21"/>
              </w:rPr>
            </w:pPr>
            <w:r>
              <w:rPr>
                <w:rFonts w:hint="eastAsia" w:ascii="宋体" w:hAnsi="宋体"/>
                <w:szCs w:val="21"/>
              </w:rPr>
              <w:t>力学性能（强度和耐久性）</w:t>
            </w:r>
          </w:p>
        </w:tc>
        <w:tc>
          <w:tcPr>
            <w:tcW w:w="3333" w:type="dxa"/>
            <w:vAlign w:val="center"/>
          </w:tcPr>
          <w:p>
            <w:pPr>
              <w:snapToGrid w:val="0"/>
              <w:jc w:val="center"/>
              <w:rPr>
                <w:rFonts w:ascii="宋体" w:hAnsi="宋体"/>
                <w:szCs w:val="21"/>
              </w:rPr>
            </w:pPr>
            <w:r>
              <w:rPr>
                <w:rFonts w:hint="eastAsia" w:ascii="宋体" w:hAnsi="宋体"/>
                <w:szCs w:val="21"/>
              </w:rPr>
              <w:t>搁板弯曲试验</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9</w:t>
            </w:r>
          </w:p>
        </w:tc>
        <w:tc>
          <w:tcPr>
            <w:tcW w:w="2025" w:type="dxa"/>
            <w:vMerge w:val="continue"/>
            <w:vAlign w:val="center"/>
          </w:tcPr>
          <w:p>
            <w:pPr>
              <w:jc w:val="center"/>
              <w:rPr>
                <w:color w:val="000000"/>
                <w:szCs w:val="21"/>
              </w:rPr>
            </w:pPr>
          </w:p>
        </w:tc>
        <w:tc>
          <w:tcPr>
            <w:tcW w:w="3333" w:type="dxa"/>
            <w:vAlign w:val="center"/>
          </w:tcPr>
          <w:p>
            <w:pPr>
              <w:snapToGrid w:val="0"/>
              <w:jc w:val="center"/>
              <w:rPr>
                <w:color w:val="000000"/>
                <w:szCs w:val="21"/>
              </w:rPr>
            </w:pPr>
            <w:r>
              <w:rPr>
                <w:rFonts w:hint="eastAsia" w:ascii="宋体" w:hAnsi="宋体"/>
                <w:szCs w:val="21"/>
              </w:rPr>
              <w:t>搁板支承强度试验</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10</w:t>
            </w:r>
          </w:p>
        </w:tc>
        <w:tc>
          <w:tcPr>
            <w:tcW w:w="2025" w:type="dxa"/>
            <w:vMerge w:val="continue"/>
            <w:vAlign w:val="center"/>
          </w:tcPr>
          <w:p>
            <w:pPr>
              <w:jc w:val="center"/>
              <w:rPr>
                <w:color w:val="000000"/>
                <w:szCs w:val="21"/>
              </w:rPr>
            </w:pPr>
          </w:p>
        </w:tc>
        <w:tc>
          <w:tcPr>
            <w:tcW w:w="3333" w:type="dxa"/>
            <w:vAlign w:val="center"/>
          </w:tcPr>
          <w:p>
            <w:pPr>
              <w:snapToGrid w:val="0"/>
              <w:jc w:val="center"/>
              <w:rPr>
                <w:color w:val="000000"/>
                <w:szCs w:val="21"/>
              </w:rPr>
            </w:pPr>
            <w:r>
              <w:rPr>
                <w:rFonts w:hint="eastAsia" w:ascii="宋体" w:hAnsi="宋体"/>
                <w:szCs w:val="21"/>
              </w:rPr>
              <w:t>结构和底架强度</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11</w:t>
            </w:r>
          </w:p>
        </w:tc>
        <w:tc>
          <w:tcPr>
            <w:tcW w:w="2025" w:type="dxa"/>
            <w:vMerge w:val="continue"/>
            <w:vAlign w:val="center"/>
          </w:tcPr>
          <w:p>
            <w:pPr>
              <w:jc w:val="center"/>
              <w:rPr>
                <w:color w:val="000000"/>
                <w:szCs w:val="21"/>
              </w:rPr>
            </w:pPr>
          </w:p>
        </w:tc>
        <w:tc>
          <w:tcPr>
            <w:tcW w:w="3333" w:type="dxa"/>
            <w:vAlign w:val="center"/>
          </w:tcPr>
          <w:p>
            <w:pPr>
              <w:snapToGrid w:val="0"/>
              <w:jc w:val="center"/>
              <w:rPr>
                <w:color w:val="000000"/>
                <w:szCs w:val="21"/>
              </w:rPr>
            </w:pPr>
            <w:r>
              <w:rPr>
                <w:rFonts w:hint="eastAsia" w:ascii="宋体" w:hAnsi="宋体"/>
                <w:szCs w:val="21"/>
              </w:rPr>
              <w:t>推拉构件强度试验</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12</w:t>
            </w:r>
          </w:p>
        </w:tc>
        <w:tc>
          <w:tcPr>
            <w:tcW w:w="2025" w:type="dxa"/>
            <w:vMerge w:val="restart"/>
            <w:vAlign w:val="center"/>
          </w:tcPr>
          <w:p>
            <w:pPr>
              <w:snapToGrid w:val="0"/>
              <w:jc w:val="center"/>
              <w:rPr>
                <w:rFonts w:ascii="宋体" w:hAnsi="宋体"/>
                <w:szCs w:val="21"/>
              </w:rPr>
            </w:pPr>
            <w:r>
              <w:rPr>
                <w:rFonts w:hint="eastAsia" w:ascii="宋体" w:hAnsi="宋体"/>
                <w:szCs w:val="21"/>
              </w:rPr>
              <w:t>力学性能（稳定性）</w:t>
            </w:r>
          </w:p>
        </w:tc>
        <w:tc>
          <w:tcPr>
            <w:tcW w:w="3333" w:type="dxa"/>
            <w:vAlign w:val="center"/>
          </w:tcPr>
          <w:p>
            <w:pPr>
              <w:snapToGrid w:val="0"/>
              <w:jc w:val="center"/>
              <w:rPr>
                <w:rFonts w:ascii="宋体" w:hAnsi="宋体"/>
                <w:szCs w:val="21"/>
              </w:rPr>
            </w:pPr>
            <w:r>
              <w:rPr>
                <w:rFonts w:hint="eastAsia" w:ascii="宋体" w:hAnsi="宋体"/>
                <w:szCs w:val="21"/>
              </w:rPr>
              <w:t>活动部件关闭时的空载稳定性</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13</w:t>
            </w:r>
          </w:p>
        </w:tc>
        <w:tc>
          <w:tcPr>
            <w:tcW w:w="2025" w:type="dxa"/>
            <w:vMerge w:val="continue"/>
            <w:vAlign w:val="center"/>
          </w:tcPr>
          <w:p>
            <w:pPr>
              <w:jc w:val="center"/>
              <w:rPr>
                <w:color w:val="000000"/>
                <w:szCs w:val="21"/>
              </w:rPr>
            </w:pPr>
          </w:p>
        </w:tc>
        <w:tc>
          <w:tcPr>
            <w:tcW w:w="3333" w:type="dxa"/>
            <w:vAlign w:val="center"/>
          </w:tcPr>
          <w:p>
            <w:pPr>
              <w:snapToGrid w:val="0"/>
              <w:jc w:val="center"/>
              <w:rPr>
                <w:rFonts w:ascii="宋体" w:hAnsi="宋体"/>
                <w:szCs w:val="21"/>
              </w:rPr>
            </w:pPr>
            <w:r>
              <w:rPr>
                <w:rFonts w:hint="eastAsia" w:ascii="宋体" w:hAnsi="宋体"/>
                <w:szCs w:val="21"/>
              </w:rPr>
              <w:t>活动部件打开时的空载稳定性</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14</w:t>
            </w:r>
          </w:p>
        </w:tc>
        <w:tc>
          <w:tcPr>
            <w:tcW w:w="2025" w:type="dxa"/>
            <w:vMerge w:val="continue"/>
            <w:vAlign w:val="center"/>
          </w:tcPr>
          <w:p>
            <w:pPr>
              <w:jc w:val="center"/>
              <w:rPr>
                <w:color w:val="000000"/>
                <w:szCs w:val="21"/>
              </w:rPr>
            </w:pPr>
          </w:p>
        </w:tc>
        <w:tc>
          <w:tcPr>
            <w:tcW w:w="3333" w:type="dxa"/>
            <w:vAlign w:val="center"/>
          </w:tcPr>
          <w:p>
            <w:pPr>
              <w:snapToGrid w:val="0"/>
              <w:jc w:val="center"/>
              <w:rPr>
                <w:rFonts w:ascii="宋体" w:hAnsi="宋体"/>
                <w:szCs w:val="21"/>
              </w:rPr>
            </w:pPr>
            <w:r>
              <w:rPr>
                <w:rFonts w:hint="eastAsia" w:ascii="宋体" w:hAnsi="宋体"/>
                <w:szCs w:val="21"/>
              </w:rPr>
              <w:t>活动部件关闭时垂直加载稳定性</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15</w:t>
            </w:r>
          </w:p>
        </w:tc>
        <w:tc>
          <w:tcPr>
            <w:tcW w:w="2025" w:type="dxa"/>
            <w:vMerge w:val="continue"/>
            <w:vAlign w:val="center"/>
          </w:tcPr>
          <w:p>
            <w:pPr>
              <w:jc w:val="center"/>
              <w:rPr>
                <w:color w:val="000000"/>
                <w:szCs w:val="21"/>
              </w:rPr>
            </w:pPr>
          </w:p>
        </w:tc>
        <w:tc>
          <w:tcPr>
            <w:tcW w:w="3333" w:type="dxa"/>
            <w:vAlign w:val="center"/>
          </w:tcPr>
          <w:p>
            <w:pPr>
              <w:snapToGrid w:val="0"/>
              <w:jc w:val="center"/>
              <w:rPr>
                <w:rFonts w:ascii="宋体" w:hAnsi="宋体"/>
                <w:szCs w:val="21"/>
              </w:rPr>
            </w:pPr>
            <w:r>
              <w:rPr>
                <w:rFonts w:hint="eastAsia" w:ascii="宋体" w:hAnsi="宋体"/>
                <w:szCs w:val="21"/>
              </w:rPr>
              <w:t>活动部件打开时垂直加载稳定性</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16</w:t>
            </w:r>
          </w:p>
        </w:tc>
        <w:tc>
          <w:tcPr>
            <w:tcW w:w="2025" w:type="dxa"/>
            <w:vMerge w:val="continue"/>
            <w:vAlign w:val="center"/>
          </w:tcPr>
          <w:p>
            <w:pPr>
              <w:jc w:val="center"/>
              <w:rPr>
                <w:color w:val="000000"/>
                <w:szCs w:val="21"/>
              </w:rPr>
            </w:pPr>
          </w:p>
        </w:tc>
        <w:tc>
          <w:tcPr>
            <w:tcW w:w="3333" w:type="dxa"/>
            <w:vAlign w:val="center"/>
          </w:tcPr>
          <w:p>
            <w:pPr>
              <w:snapToGrid w:val="0"/>
              <w:jc w:val="center"/>
              <w:rPr>
                <w:rFonts w:ascii="宋体" w:hAnsi="宋体"/>
                <w:szCs w:val="21"/>
              </w:rPr>
            </w:pPr>
            <w:r>
              <w:rPr>
                <w:rFonts w:hint="eastAsia" w:ascii="宋体" w:hAnsi="宋体"/>
                <w:szCs w:val="21"/>
              </w:rPr>
              <w:t>搁板垂直加载稳定性</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cantSplit/>
          <w:trHeight w:val="397"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pStyle w:val="5"/>
              <w:jc w:val="center"/>
              <w:rPr>
                <w:rFonts w:ascii="Times New Roman" w:hAnsi="Times New Roman"/>
                <w:color w:val="000000"/>
              </w:rPr>
            </w:pPr>
            <w:r>
              <w:rPr>
                <w:rFonts w:ascii="Times New Roman" w:hAnsi="Times New Roman"/>
                <w:color w:val="000000"/>
              </w:rPr>
              <w:t>17</w:t>
            </w:r>
          </w:p>
        </w:tc>
        <w:tc>
          <w:tcPr>
            <w:tcW w:w="2025" w:type="dxa"/>
            <w:vMerge w:val="continue"/>
            <w:vAlign w:val="center"/>
          </w:tcPr>
          <w:p>
            <w:pPr>
              <w:jc w:val="center"/>
              <w:rPr>
                <w:color w:val="000000"/>
                <w:szCs w:val="21"/>
              </w:rPr>
            </w:pPr>
          </w:p>
        </w:tc>
        <w:tc>
          <w:tcPr>
            <w:tcW w:w="3333" w:type="dxa"/>
            <w:vAlign w:val="center"/>
          </w:tcPr>
          <w:p>
            <w:pPr>
              <w:snapToGrid w:val="0"/>
              <w:jc w:val="center"/>
              <w:rPr>
                <w:rFonts w:ascii="宋体" w:hAnsi="宋体"/>
                <w:szCs w:val="21"/>
              </w:rPr>
            </w:pPr>
            <w:r>
              <w:rPr>
                <w:rFonts w:hint="eastAsia" w:ascii="宋体" w:hAnsi="宋体"/>
                <w:szCs w:val="21"/>
              </w:rPr>
              <w:t>搁板水平加载稳定性</w:t>
            </w:r>
          </w:p>
        </w:tc>
        <w:tc>
          <w:tcPr>
            <w:tcW w:w="2579" w:type="dxa"/>
            <w:vAlign w:val="center"/>
          </w:tcPr>
          <w:p>
            <w:pPr>
              <w:jc w:val="center"/>
              <w:rPr>
                <w:rFonts w:ascii="Times New Roman" w:hAnsi="Times New Roman"/>
                <w:color w:val="000000"/>
                <w:szCs w:val="21"/>
              </w:rPr>
            </w:pPr>
            <w:r>
              <w:rPr>
                <w:rFonts w:ascii="宋体" w:hAnsi="宋体"/>
                <w:szCs w:val="21"/>
              </w:rPr>
              <w:t>QB/T 1097-2010</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凡是注日期的文件，其随后所有的修改单（不包括勘误的内容）或修订版不适用于本细则。凡是不注日期的文件，其最新版本适用于本细则。</w:t>
      </w:r>
    </w:p>
    <w:p>
      <w:pPr>
        <w:snapToGrid w:val="0"/>
        <w:spacing w:before="156" w:beforeLines="50" w:after="156" w:afterLines="50" w:line="440" w:lineRule="exact"/>
        <w:rPr>
          <w:rFonts w:ascii="Times New Roman" w:hAnsi="Times New Roman" w:eastAsia="黑体"/>
          <w:color w:val="000000"/>
          <w:szCs w:val="21"/>
        </w:rPr>
      </w:pPr>
      <w:r>
        <w:rPr>
          <w:rFonts w:ascii="Times New Roman" w:hAnsi="Times New Roman" w:eastAsia="黑体"/>
          <w:color w:val="000000"/>
          <w:szCs w:val="21"/>
        </w:rPr>
        <w:t>3 判定规则</w:t>
      </w:r>
    </w:p>
    <w:p>
      <w:pPr>
        <w:snapToGrid w:val="0"/>
        <w:spacing w:line="360" w:lineRule="auto"/>
        <w:rPr>
          <w:rFonts w:ascii="Times New Roman" w:hAnsi="Times New Roman"/>
          <w:color w:val="000000"/>
          <w:szCs w:val="21"/>
        </w:rPr>
      </w:pPr>
      <w:r>
        <w:rPr>
          <w:rFonts w:ascii="Times New Roman" w:hAnsi="Times New Roman"/>
          <w:color w:val="000000"/>
          <w:szCs w:val="21"/>
        </w:rPr>
        <w:t>3.1依据标准</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GB/T 3325-20</w:t>
      </w:r>
      <w:r>
        <w:rPr>
          <w:rFonts w:hint="eastAsia" w:ascii="Times New Roman" w:hAnsi="Times New Roman"/>
          <w:color w:val="000000"/>
          <w:szCs w:val="21"/>
        </w:rPr>
        <w:t>17</w:t>
      </w:r>
      <w:r>
        <w:rPr>
          <w:rFonts w:ascii="Times New Roman" w:hAnsi="Times New Roman"/>
          <w:color w:val="000000"/>
          <w:szCs w:val="21"/>
        </w:rPr>
        <w:t xml:space="preserve"> </w:t>
      </w:r>
      <w:r>
        <w:rPr>
          <w:rFonts w:hint="eastAsia" w:ascii="Times New Roman" w:hAnsi="Times New Roman"/>
          <w:color w:val="000000"/>
          <w:szCs w:val="21"/>
        </w:rPr>
        <w:t>《金属家具通用技术条件》</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GB/T 13668-2015《</w:t>
      </w:r>
      <w:r>
        <w:rPr>
          <w:rFonts w:hint="eastAsia" w:ascii="Times New Roman" w:hAnsi="Times New Roman"/>
          <w:color w:val="000000"/>
          <w:szCs w:val="21"/>
        </w:rPr>
        <w:t>钢制书柜、资料柜通用技术条件</w:t>
      </w:r>
      <w:r>
        <w:rPr>
          <w:rFonts w:ascii="Times New Roman" w:hAnsi="Times New Roman"/>
          <w:color w:val="000000"/>
          <w:szCs w:val="21"/>
        </w:rPr>
        <w:t>》</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QB/T</w:t>
      </w:r>
      <w:r>
        <w:rPr>
          <w:rFonts w:hint="eastAsia" w:ascii="Times New Roman" w:hAnsi="Times New Roman"/>
          <w:color w:val="000000"/>
          <w:szCs w:val="21"/>
        </w:rPr>
        <w:t xml:space="preserve"> </w:t>
      </w:r>
      <w:r>
        <w:rPr>
          <w:rFonts w:ascii="Times New Roman" w:hAnsi="Times New Roman"/>
          <w:color w:val="000000"/>
          <w:szCs w:val="21"/>
        </w:rPr>
        <w:t>1097-2010</w:t>
      </w:r>
      <w:r>
        <w:rPr>
          <w:rFonts w:hint="eastAsia" w:ascii="Times New Roman" w:hAnsi="Times New Roman"/>
          <w:color w:val="000000"/>
          <w:szCs w:val="21"/>
        </w:rPr>
        <w:t xml:space="preserve"> 《钢制文件柜》</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GB 18584-2001</w:t>
      </w:r>
      <w:r>
        <w:rPr>
          <w:rFonts w:hint="eastAsia" w:ascii="Times New Roman" w:hAnsi="Times New Roman"/>
          <w:color w:val="000000"/>
          <w:szCs w:val="21"/>
        </w:rPr>
        <w:t>《室内装饰装修材料木家具中有害物质限量》</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GB 18580-20</w:t>
      </w:r>
      <w:r>
        <w:rPr>
          <w:rFonts w:hint="eastAsia" w:ascii="Times New Roman" w:hAnsi="Times New Roman"/>
          <w:color w:val="000000"/>
          <w:szCs w:val="21"/>
        </w:rPr>
        <w:t>17《室内装饰装修材料人造板及其制品中甲醛释放限量》</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现行有效的企业标准、团体标准、地方标准及产品明示质量要求</w:t>
      </w:r>
    </w:p>
    <w:p>
      <w:pPr>
        <w:snapToGrid w:val="0"/>
        <w:spacing w:line="360" w:lineRule="auto"/>
        <w:rPr>
          <w:rFonts w:ascii="Times New Roman" w:hAnsi="Times New Roman"/>
          <w:color w:val="000000"/>
          <w:szCs w:val="21"/>
        </w:rPr>
      </w:pPr>
      <w:r>
        <w:rPr>
          <w:rFonts w:ascii="Times New Roman" w:hAnsi="Times New Roman"/>
          <w:color w:val="000000"/>
          <w:szCs w:val="21"/>
        </w:rPr>
        <w:t>3.2判定原则</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经检验，检验项目全部合格，判定为被抽查产品所检项目未发现不合格</w:t>
      </w:r>
      <w:bookmarkStart w:id="0" w:name="_GoBack"/>
      <w:bookmarkEnd w:id="0"/>
      <w:r>
        <w:rPr>
          <w:rFonts w:ascii="Times New Roman" w:hAnsi="Times New Roman"/>
          <w:color w:val="000000"/>
          <w:szCs w:val="21"/>
        </w:rPr>
        <w:t>；检验项目中任一项或一项以上不合格，判定为被抽查产品不合格。</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若被检产品明示的质量要求高于本细则中检验项目依据的标准要求时，应按被检产品明示的质量要求判定。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若被检产品明示的质量要求低于本细则中检验项目依据的强制性标准要求时，应按照强制性标准要求判定。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若被检产品明示的质量要求低于或包含本细则中检验项目依据的推荐性标准要求时，应以被检产品明示的质量要求判定。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若被检产品明示的质量要求缺少本细则中检验项目依据的强制性标准要求时，应按照强制性标准要求判定。</w:t>
      </w:r>
    </w:p>
    <w:p>
      <w:pPr>
        <w:snapToGrid w:val="0"/>
        <w:spacing w:line="384" w:lineRule="auto"/>
        <w:ind w:firstLine="420" w:firstLineChars="200"/>
        <w:rPr>
          <w:rFonts w:hint="eastAsia" w:ascii="Times New Roman" w:hAnsi="Times New Roman"/>
          <w:color w:val="000000"/>
          <w:szCs w:val="21"/>
        </w:rPr>
      </w:pPr>
      <w:r>
        <w:rPr>
          <w:rFonts w:ascii="Times New Roman" w:hAnsi="Times New Roman"/>
          <w:color w:val="000000"/>
          <w:szCs w:val="21"/>
        </w:rPr>
        <w:t>若被检产品明示的质量要求缺少本细则中检验项目依据的推荐性标准要求时，该项目不参与判定。</w:t>
      </w:r>
    </w:p>
    <w:p>
      <w:pPr>
        <w:spacing w:before="156" w:beforeLines="50" w:after="156" w:afterLines="50" w:line="360" w:lineRule="auto"/>
        <w:rPr>
          <w:rFonts w:ascii="Times New Roman" w:hAnsi="Times New Roman" w:eastAsia="黑体"/>
          <w:color w:val="000000"/>
          <w:szCs w:val="21"/>
        </w:rPr>
      </w:pPr>
      <w:r>
        <w:rPr>
          <w:rFonts w:hint="eastAsia" w:ascii="Times New Roman" w:hAnsi="Times New Roman" w:eastAsia="黑体"/>
          <w:color w:val="000000"/>
          <w:szCs w:val="21"/>
        </w:rPr>
        <w:t>4</w:t>
      </w:r>
      <w:r>
        <w:rPr>
          <w:rFonts w:ascii="Times New Roman" w:hAnsi="Times New Roman" w:eastAsia="黑体"/>
          <w:color w:val="000000"/>
          <w:szCs w:val="21"/>
        </w:rPr>
        <w:t xml:space="preserve"> 附则</w:t>
      </w:r>
    </w:p>
    <w:p>
      <w:pPr>
        <w:ind w:firstLine="420" w:firstLineChars="200"/>
        <w:rPr>
          <w:rFonts w:hint="eastAsia" w:ascii="Times New Roman" w:hAnsi="Times New Roman" w:eastAsia="宋体"/>
          <w:color w:val="000000"/>
          <w:szCs w:val="21"/>
          <w:lang w:eastAsia="zh-CN"/>
        </w:rPr>
      </w:pPr>
      <w:r>
        <w:rPr>
          <w:rFonts w:hint="eastAsia"/>
          <w:color w:val="000000"/>
          <w:szCs w:val="21"/>
        </w:rPr>
        <w:t>本细则代替《</w:t>
      </w:r>
      <w:r>
        <w:rPr>
          <w:rFonts w:hint="eastAsia"/>
          <w:color w:val="000000"/>
          <w:szCs w:val="21"/>
          <w:lang w:eastAsia="zh-CN"/>
        </w:rPr>
        <w:t>贵州</w:t>
      </w:r>
      <w:r>
        <w:rPr>
          <w:rFonts w:hint="eastAsia"/>
          <w:color w:val="000000"/>
          <w:szCs w:val="21"/>
        </w:rPr>
        <w:t>省市场监管局关于发布</w:t>
      </w:r>
      <w:r>
        <w:rPr>
          <w:rFonts w:hint="eastAsia"/>
          <w:color w:val="000000"/>
          <w:szCs w:val="21"/>
          <w:lang w:val="en-US" w:eastAsia="zh-CN"/>
        </w:rPr>
        <w:t>2022年版</w:t>
      </w:r>
      <w:r>
        <w:rPr>
          <w:rFonts w:hint="eastAsia"/>
          <w:color w:val="000000"/>
          <w:szCs w:val="21"/>
        </w:rPr>
        <w:t>贵州省产品质量监督抽查实施细则（第</w:t>
      </w:r>
      <w:r>
        <w:rPr>
          <w:rFonts w:hint="eastAsia"/>
          <w:color w:val="000000"/>
          <w:szCs w:val="21"/>
          <w:lang w:eastAsia="zh-CN"/>
        </w:rPr>
        <w:t>一</w:t>
      </w:r>
      <w:r>
        <w:rPr>
          <w:rFonts w:hint="eastAsia"/>
          <w:color w:val="000000"/>
          <w:szCs w:val="21"/>
        </w:rPr>
        <w:t>批）的公告》（黔市监公告〔202</w:t>
      </w:r>
      <w:r>
        <w:rPr>
          <w:rFonts w:hint="eastAsia"/>
          <w:color w:val="000000"/>
          <w:szCs w:val="21"/>
          <w:lang w:val="en-US" w:eastAsia="zh-CN"/>
        </w:rPr>
        <w:t>2</w:t>
      </w:r>
      <w:r>
        <w:rPr>
          <w:rFonts w:hint="eastAsia"/>
          <w:color w:val="000000"/>
          <w:szCs w:val="21"/>
        </w:rPr>
        <w:t>〕</w:t>
      </w:r>
      <w:r>
        <w:rPr>
          <w:rFonts w:hint="eastAsia"/>
          <w:color w:val="000000"/>
          <w:szCs w:val="21"/>
          <w:lang w:val="en-US" w:eastAsia="zh-CN"/>
        </w:rPr>
        <w:t>46</w:t>
      </w:r>
      <w:r>
        <w:rPr>
          <w:rFonts w:hint="eastAsia"/>
          <w:color w:val="000000"/>
          <w:szCs w:val="21"/>
        </w:rPr>
        <w:t>号）中的</w:t>
      </w:r>
      <w:r>
        <w:rPr>
          <w:rFonts w:ascii="Times New Roman" w:hAnsi="Times New Roman"/>
          <w:color w:val="000000"/>
          <w:szCs w:val="21"/>
        </w:rPr>
        <w:t>《贵州省</w:t>
      </w:r>
      <w:r>
        <w:rPr>
          <w:rFonts w:hint="eastAsia" w:ascii="宋体" w:hAnsi="宋体"/>
          <w:szCs w:val="21"/>
        </w:rPr>
        <w:t>金属家具</w:t>
      </w:r>
      <w:r>
        <w:rPr>
          <w:rFonts w:ascii="Times New Roman" w:hAnsi="Times New Roman"/>
          <w:color w:val="000000"/>
          <w:szCs w:val="21"/>
        </w:rPr>
        <w:t>产品质量监督抽查实施细则（</w:t>
      </w:r>
      <w:r>
        <w:rPr>
          <w:rFonts w:hint="eastAsia" w:ascii="Times New Roman" w:hAnsi="Times New Roman"/>
          <w:color w:val="000000"/>
          <w:szCs w:val="21"/>
          <w:lang w:val="en-US" w:eastAsia="zh-CN"/>
        </w:rPr>
        <w:t>2022版</w:t>
      </w:r>
      <w:r>
        <w:rPr>
          <w:rFonts w:ascii="Times New Roman" w:hAnsi="Times New Roman"/>
          <w:color w:val="000000"/>
          <w:szCs w:val="21"/>
        </w:rPr>
        <w:t>）》</w:t>
      </w:r>
      <w:r>
        <w:rPr>
          <w:rFonts w:hint="eastAsia" w:ascii="Times New Roman" w:hAnsi="Times New Roman"/>
          <w:color w:val="000000"/>
          <w:szCs w:val="21"/>
          <w:lang w:eastAsia="zh-CN"/>
        </w:rPr>
        <w:t>。</w:t>
      </w:r>
    </w:p>
    <w:p>
      <w:pPr>
        <w:snapToGrid w:val="0"/>
        <w:spacing w:line="384" w:lineRule="auto"/>
        <w:ind w:firstLine="420" w:firstLineChars="200"/>
        <w:rPr>
          <w:rFonts w:ascii="Times New Roman" w:hAnsi="Times New Roman"/>
          <w:color w:val="000000"/>
          <w:szCs w:val="21"/>
        </w:rPr>
      </w:pPr>
    </w:p>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7"/>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611BA"/>
    <w:rsid w:val="00001CE7"/>
    <w:rsid w:val="00014997"/>
    <w:rsid w:val="00034C6F"/>
    <w:rsid w:val="00052D0A"/>
    <w:rsid w:val="0006741A"/>
    <w:rsid w:val="00080190"/>
    <w:rsid w:val="000A0C0F"/>
    <w:rsid w:val="000A1F68"/>
    <w:rsid w:val="000B7B2B"/>
    <w:rsid w:val="0010045C"/>
    <w:rsid w:val="001134E2"/>
    <w:rsid w:val="0013450E"/>
    <w:rsid w:val="00135D58"/>
    <w:rsid w:val="0014671B"/>
    <w:rsid w:val="001479E1"/>
    <w:rsid w:val="00156592"/>
    <w:rsid w:val="00175325"/>
    <w:rsid w:val="001836A6"/>
    <w:rsid w:val="001960E8"/>
    <w:rsid w:val="00197FAE"/>
    <w:rsid w:val="001B1ECE"/>
    <w:rsid w:val="001B3557"/>
    <w:rsid w:val="001D3021"/>
    <w:rsid w:val="001E7E75"/>
    <w:rsid w:val="001F4D89"/>
    <w:rsid w:val="002642D1"/>
    <w:rsid w:val="0026615D"/>
    <w:rsid w:val="00280D69"/>
    <w:rsid w:val="00283526"/>
    <w:rsid w:val="00287CFB"/>
    <w:rsid w:val="002A1067"/>
    <w:rsid w:val="002B2D19"/>
    <w:rsid w:val="002C75FA"/>
    <w:rsid w:val="002F3260"/>
    <w:rsid w:val="00301FD0"/>
    <w:rsid w:val="00341366"/>
    <w:rsid w:val="00342341"/>
    <w:rsid w:val="00354255"/>
    <w:rsid w:val="00355360"/>
    <w:rsid w:val="003611BA"/>
    <w:rsid w:val="003701D3"/>
    <w:rsid w:val="003C4925"/>
    <w:rsid w:val="003D6EDD"/>
    <w:rsid w:val="004565AD"/>
    <w:rsid w:val="004A4DFC"/>
    <w:rsid w:val="004B599D"/>
    <w:rsid w:val="004C6EAB"/>
    <w:rsid w:val="004C79DF"/>
    <w:rsid w:val="004D05AF"/>
    <w:rsid w:val="00507AE0"/>
    <w:rsid w:val="0051512A"/>
    <w:rsid w:val="00560FE5"/>
    <w:rsid w:val="00624DD6"/>
    <w:rsid w:val="006350F9"/>
    <w:rsid w:val="00652075"/>
    <w:rsid w:val="00652B40"/>
    <w:rsid w:val="0066041C"/>
    <w:rsid w:val="00660FFF"/>
    <w:rsid w:val="0067449B"/>
    <w:rsid w:val="00675807"/>
    <w:rsid w:val="006C75F5"/>
    <w:rsid w:val="006F3686"/>
    <w:rsid w:val="006F6818"/>
    <w:rsid w:val="00700705"/>
    <w:rsid w:val="007032EA"/>
    <w:rsid w:val="00712FE6"/>
    <w:rsid w:val="00721DBD"/>
    <w:rsid w:val="00766407"/>
    <w:rsid w:val="00772A62"/>
    <w:rsid w:val="007C5B37"/>
    <w:rsid w:val="007E7B78"/>
    <w:rsid w:val="00801099"/>
    <w:rsid w:val="0081765C"/>
    <w:rsid w:val="00843615"/>
    <w:rsid w:val="008536DB"/>
    <w:rsid w:val="00863267"/>
    <w:rsid w:val="00863F48"/>
    <w:rsid w:val="00870548"/>
    <w:rsid w:val="00872CC4"/>
    <w:rsid w:val="008737DB"/>
    <w:rsid w:val="008744B5"/>
    <w:rsid w:val="00897986"/>
    <w:rsid w:val="008E4C32"/>
    <w:rsid w:val="008F131B"/>
    <w:rsid w:val="00911043"/>
    <w:rsid w:val="00933214"/>
    <w:rsid w:val="00963128"/>
    <w:rsid w:val="00987B95"/>
    <w:rsid w:val="009A6925"/>
    <w:rsid w:val="009B3AF3"/>
    <w:rsid w:val="009B48C4"/>
    <w:rsid w:val="009C1C38"/>
    <w:rsid w:val="009D2CD9"/>
    <w:rsid w:val="009D2E2A"/>
    <w:rsid w:val="009E6086"/>
    <w:rsid w:val="009F189F"/>
    <w:rsid w:val="00A055B0"/>
    <w:rsid w:val="00A0674B"/>
    <w:rsid w:val="00A43275"/>
    <w:rsid w:val="00A45213"/>
    <w:rsid w:val="00A5157E"/>
    <w:rsid w:val="00A66A3D"/>
    <w:rsid w:val="00A7543F"/>
    <w:rsid w:val="00A77E8A"/>
    <w:rsid w:val="00A91616"/>
    <w:rsid w:val="00A916BA"/>
    <w:rsid w:val="00AB2350"/>
    <w:rsid w:val="00AB462B"/>
    <w:rsid w:val="00AE1821"/>
    <w:rsid w:val="00AE471A"/>
    <w:rsid w:val="00AE5734"/>
    <w:rsid w:val="00AF5572"/>
    <w:rsid w:val="00B51584"/>
    <w:rsid w:val="00B54E2B"/>
    <w:rsid w:val="00B55224"/>
    <w:rsid w:val="00B80476"/>
    <w:rsid w:val="00B908E9"/>
    <w:rsid w:val="00B97F97"/>
    <w:rsid w:val="00BD2490"/>
    <w:rsid w:val="00C17712"/>
    <w:rsid w:val="00C17F20"/>
    <w:rsid w:val="00C207B1"/>
    <w:rsid w:val="00C21785"/>
    <w:rsid w:val="00C345BB"/>
    <w:rsid w:val="00C46A22"/>
    <w:rsid w:val="00C57739"/>
    <w:rsid w:val="00C87AB5"/>
    <w:rsid w:val="00C9467F"/>
    <w:rsid w:val="00CB316D"/>
    <w:rsid w:val="00CC4D8D"/>
    <w:rsid w:val="00CD3877"/>
    <w:rsid w:val="00CF5F1B"/>
    <w:rsid w:val="00D1325F"/>
    <w:rsid w:val="00D31DB4"/>
    <w:rsid w:val="00D6657B"/>
    <w:rsid w:val="00D732ED"/>
    <w:rsid w:val="00D85C2A"/>
    <w:rsid w:val="00D879A0"/>
    <w:rsid w:val="00D9506C"/>
    <w:rsid w:val="00DC0140"/>
    <w:rsid w:val="00DC2584"/>
    <w:rsid w:val="00DD7E3B"/>
    <w:rsid w:val="00E13168"/>
    <w:rsid w:val="00E1489E"/>
    <w:rsid w:val="00E24FC8"/>
    <w:rsid w:val="00E648F6"/>
    <w:rsid w:val="00E96130"/>
    <w:rsid w:val="00EA38DE"/>
    <w:rsid w:val="00ED03C4"/>
    <w:rsid w:val="00EE3E98"/>
    <w:rsid w:val="00EF0AC2"/>
    <w:rsid w:val="00F245D1"/>
    <w:rsid w:val="00F54BA6"/>
    <w:rsid w:val="00F835CE"/>
    <w:rsid w:val="00FA2884"/>
    <w:rsid w:val="00FA45C8"/>
    <w:rsid w:val="00FA59DC"/>
    <w:rsid w:val="00FC0C80"/>
    <w:rsid w:val="00FD5380"/>
    <w:rsid w:val="00FE1549"/>
    <w:rsid w:val="00FF1D7E"/>
    <w:rsid w:val="01757279"/>
    <w:rsid w:val="02394E6E"/>
    <w:rsid w:val="071C39DD"/>
    <w:rsid w:val="0C3020D5"/>
    <w:rsid w:val="14707C4A"/>
    <w:rsid w:val="14A748C1"/>
    <w:rsid w:val="1B1E5E01"/>
    <w:rsid w:val="29817179"/>
    <w:rsid w:val="2C062286"/>
    <w:rsid w:val="4A1D0919"/>
    <w:rsid w:val="55CC633D"/>
    <w:rsid w:val="60D566FD"/>
    <w:rsid w:val="61D054C2"/>
    <w:rsid w:val="61F5033B"/>
    <w:rsid w:val="652F585C"/>
    <w:rsid w:val="723415EF"/>
    <w:rsid w:val="FBFC43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Indent"/>
    <w:basedOn w:val="1"/>
    <w:link w:val="16"/>
    <w:qFormat/>
    <w:uiPriority w:val="0"/>
    <w:pPr>
      <w:ind w:firstLine="600" w:firstLineChars="200"/>
    </w:pPr>
    <w:rPr>
      <w:rFonts w:ascii="Times New Roman" w:hAnsi="Times New Roman" w:eastAsia="仿宋_GB2312"/>
      <w:sz w:val="30"/>
      <w:szCs w:val="24"/>
    </w:rPr>
  </w:style>
  <w:style w:type="paragraph" w:styleId="5">
    <w:name w:val="Plain Text"/>
    <w:basedOn w:val="1"/>
    <w:link w:val="17"/>
    <w:unhideWhenUsed/>
    <w:qFormat/>
    <w:uiPriority w:val="99"/>
    <w:rPr>
      <w:rFonts w:ascii="宋体" w:hAnsi="Courier New"/>
      <w:kern w:val="0"/>
      <w:sz w:val="20"/>
      <w:szCs w:val="20"/>
    </w:rPr>
  </w:style>
  <w:style w:type="paragraph" w:styleId="6">
    <w:name w:val="Balloon Text"/>
    <w:basedOn w:val="1"/>
    <w:link w:val="18"/>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1"/>
    <w:qFormat/>
    <w:uiPriority w:val="0"/>
    <w:pPr>
      <w:widowControl/>
      <w:autoSpaceDE w:val="0"/>
      <w:autoSpaceDN w:val="0"/>
      <w:adjustRightInd w:val="0"/>
      <w:snapToGrid w:val="0"/>
      <w:spacing w:line="600" w:lineRule="exact"/>
      <w:ind w:left="646" w:leftChars="323" w:firstLine="643" w:firstLineChars="201"/>
    </w:pPr>
    <w:rPr>
      <w:rFonts w:ascii="仿宋_GB2312" w:hAnsi="Times New Roman" w:eastAsia="仿宋_GB2312"/>
      <w:kern w:val="0"/>
      <w:sz w:val="32"/>
      <w:szCs w:val="20"/>
    </w:rPr>
  </w:style>
  <w:style w:type="table" w:styleId="11">
    <w:name w:val="Table Grid"/>
    <w:basedOn w:val="1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annotation reference"/>
    <w:basedOn w:val="12"/>
    <w:semiHidden/>
    <w:unhideWhenUsed/>
    <w:qFormat/>
    <w:uiPriority w:val="99"/>
    <w:rPr>
      <w:sz w:val="21"/>
      <w:szCs w:val="21"/>
    </w:rPr>
  </w:style>
  <w:style w:type="character" w:customStyle="1" w:styleId="15">
    <w:name w:val="标题 1 Char"/>
    <w:basedOn w:val="12"/>
    <w:link w:val="2"/>
    <w:qFormat/>
    <w:uiPriority w:val="9"/>
    <w:rPr>
      <w:rFonts w:ascii="Calibri" w:hAnsi="Calibri" w:eastAsia="宋体" w:cs="Times New Roman"/>
      <w:b/>
      <w:bCs/>
      <w:kern w:val="44"/>
      <w:sz w:val="44"/>
      <w:szCs w:val="44"/>
    </w:rPr>
  </w:style>
  <w:style w:type="character" w:customStyle="1" w:styleId="16">
    <w:name w:val="正文文本缩进 Char"/>
    <w:basedOn w:val="12"/>
    <w:link w:val="4"/>
    <w:qFormat/>
    <w:uiPriority w:val="0"/>
    <w:rPr>
      <w:rFonts w:ascii="Times New Roman" w:hAnsi="Times New Roman" w:eastAsia="仿宋_GB2312" w:cs="Times New Roman"/>
      <w:sz w:val="30"/>
      <w:szCs w:val="24"/>
    </w:rPr>
  </w:style>
  <w:style w:type="character" w:customStyle="1" w:styleId="17">
    <w:name w:val="纯文本 Char"/>
    <w:basedOn w:val="12"/>
    <w:link w:val="5"/>
    <w:qFormat/>
    <w:uiPriority w:val="99"/>
    <w:rPr>
      <w:rFonts w:ascii="宋体" w:hAnsi="Courier New" w:eastAsia="宋体" w:cs="Times New Roman"/>
      <w:kern w:val="0"/>
      <w:sz w:val="20"/>
      <w:szCs w:val="20"/>
    </w:rPr>
  </w:style>
  <w:style w:type="character" w:customStyle="1" w:styleId="18">
    <w:name w:val="批注框文本 Char"/>
    <w:basedOn w:val="12"/>
    <w:link w:val="6"/>
    <w:qFormat/>
    <w:uiPriority w:val="99"/>
    <w:rPr>
      <w:rFonts w:ascii="Calibri" w:hAnsi="Calibri" w:eastAsia="宋体" w:cs="Times New Roman"/>
      <w:sz w:val="18"/>
      <w:szCs w:val="18"/>
    </w:rPr>
  </w:style>
  <w:style w:type="character" w:customStyle="1" w:styleId="19">
    <w:name w:val="页脚 Char"/>
    <w:basedOn w:val="12"/>
    <w:link w:val="7"/>
    <w:qFormat/>
    <w:uiPriority w:val="99"/>
    <w:rPr>
      <w:rFonts w:ascii="Calibri" w:hAnsi="Calibri" w:eastAsia="宋体" w:cs="Times New Roman"/>
      <w:sz w:val="18"/>
      <w:szCs w:val="18"/>
    </w:rPr>
  </w:style>
  <w:style w:type="character" w:customStyle="1" w:styleId="20">
    <w:name w:val="页眉 Char"/>
    <w:basedOn w:val="12"/>
    <w:link w:val="8"/>
    <w:qFormat/>
    <w:uiPriority w:val="0"/>
    <w:rPr>
      <w:rFonts w:ascii="Calibri" w:hAnsi="Calibri" w:eastAsia="宋体" w:cs="Times New Roman"/>
      <w:sz w:val="18"/>
      <w:szCs w:val="18"/>
    </w:rPr>
  </w:style>
  <w:style w:type="character" w:customStyle="1" w:styleId="21">
    <w:name w:val="正文文本缩进 3 Char"/>
    <w:basedOn w:val="12"/>
    <w:link w:val="9"/>
    <w:qFormat/>
    <w:uiPriority w:val="0"/>
    <w:rPr>
      <w:rFonts w:ascii="仿宋_GB2312" w:hAnsi="Times New Roman" w:eastAsia="仿宋_GB2312" w:cs="Times New Roman"/>
      <w:kern w:val="0"/>
      <w:sz w:val="32"/>
      <w:szCs w:val="20"/>
    </w:rPr>
  </w:style>
  <w:style w:type="character" w:customStyle="1" w:styleId="22">
    <w:name w:val="页眉 字符"/>
    <w:qFormat/>
    <w:uiPriority w:val="0"/>
    <w:rPr>
      <w:kern w:val="2"/>
      <w:sz w:val="18"/>
      <w:szCs w:val="18"/>
    </w:rPr>
  </w:style>
  <w:style w:type="paragraph" w:customStyle="1" w:styleId="23">
    <w:name w:val="Char11"/>
    <w:basedOn w:val="1"/>
    <w:qFormat/>
    <w:uiPriority w:val="0"/>
    <w:pPr>
      <w:jc w:val="center"/>
    </w:pPr>
    <w:rPr>
      <w:rFonts w:ascii="Times New Roman" w:hAnsi="Times New Roman"/>
      <w:szCs w:val="21"/>
    </w:rPr>
  </w:style>
  <w:style w:type="paragraph" w:customStyle="1" w:styleId="24">
    <w:name w:val="Char Char"/>
    <w:basedOn w:val="1"/>
    <w:semiHidden/>
    <w:qFormat/>
    <w:uiPriority w:val="0"/>
    <w:rPr>
      <w:rFonts w:ascii="Times New Roman" w:hAnsi="Times New Roman"/>
      <w:szCs w:val="20"/>
    </w:rPr>
  </w:style>
  <w:style w:type="paragraph" w:customStyle="1" w:styleId="25">
    <w:name w:val="列出段落1"/>
    <w:basedOn w:val="1"/>
    <w:qFormat/>
    <w:uiPriority w:val="34"/>
    <w:pPr>
      <w:ind w:firstLine="420" w:firstLineChars="200"/>
    </w:pPr>
  </w:style>
  <w:style w:type="paragraph" w:customStyle="1" w:styleId="26">
    <w:name w:val="列出段落2"/>
    <w:basedOn w:val="1"/>
    <w:qFormat/>
    <w:uiPriority w:val="99"/>
    <w:pPr>
      <w:ind w:firstLine="420" w:firstLineChars="200"/>
    </w:pPr>
  </w:style>
  <w:style w:type="paragraph" w:customStyle="1" w:styleId="27">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8">
    <w:name w:val="正文1"/>
    <w:basedOn w:val="1"/>
    <w:qFormat/>
    <w:uiPriority w:val="0"/>
    <w:pPr>
      <w:adjustRightInd w:val="0"/>
      <w:spacing w:before="120" w:after="120" w:line="300" w:lineRule="auto"/>
      <w:jc w:val="center"/>
      <w:textAlignment w:val="baseline"/>
    </w:pPr>
    <w:rPr>
      <w:rFonts w:ascii="Times New Roman" w:hAnsi="Times New Roman"/>
      <w:szCs w:val="20"/>
    </w:rPr>
  </w:style>
  <w:style w:type="paragraph" w:customStyle="1" w:styleId="29">
    <w:name w:val="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30">
    <w:name w:val="List Paragraph"/>
    <w:basedOn w:val="1"/>
    <w:qFormat/>
    <w:uiPriority w:val="34"/>
    <w:pPr>
      <w:ind w:firstLine="420" w:firstLineChars="200"/>
    </w:pPr>
  </w:style>
  <w:style w:type="character" w:customStyle="1" w:styleId="31">
    <w:name w:val="段 Char"/>
    <w:link w:val="29"/>
    <w:qFormat/>
    <w:uiPriority w:val="0"/>
    <w:rPr>
      <w:rFonts w:ascii="宋体" w:hAnsi="Times New Roman" w:eastAsia="宋体" w:cs="Times New Roman"/>
      <w:kern w:val="0"/>
      <w:szCs w:val="20"/>
    </w:rPr>
  </w:style>
  <w:style w:type="character" w:customStyle="1" w:styleId="32">
    <w:name w:val="ask-title"/>
    <w:basedOn w:val="12"/>
    <w:qFormat/>
    <w:uiPriority w:val="0"/>
  </w:style>
  <w:style w:type="character" w:customStyle="1" w:styleId="33">
    <w:name w:val="纯文本 Char1"/>
    <w:qFormat/>
    <w:uiPriority w:val="99"/>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410</Words>
  <Characters>2339</Characters>
  <Lines>19</Lines>
  <Paragraphs>5</Paragraphs>
  <TotalTime>0</TotalTime>
  <ScaleCrop>false</ScaleCrop>
  <LinksUpToDate>false</LinksUpToDate>
  <CharactersWithSpaces>2744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2020-06-08T07:12:00Z</dcterms:created>
  <dc:creator>lenovo</dc:creator>
  <cp:lastModifiedBy>ysgz</cp:lastModifiedBy>
  <dcterms:modified xsi:type="dcterms:W3CDTF">2022-07-18T16:27:57Z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