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方正小标宋_GBK" w:hAnsi="Times New Roman" w:eastAsia="方正小标宋_GBK" w:cs="方正仿宋简体"/>
          <w:color w:val="000000"/>
          <w:sz w:val="32"/>
          <w:szCs w:val="32"/>
        </w:rPr>
      </w:pPr>
      <w:r>
        <w:rPr>
          <w:rFonts w:hint="eastAsia" w:ascii="方正小标宋_GBK" w:hAnsi="Times New Roman" w:eastAsia="方正小标宋_GBK" w:cs="方正仿宋简体"/>
          <w:color w:val="000000"/>
          <w:sz w:val="32"/>
          <w:szCs w:val="32"/>
          <w:lang w:eastAsia="zh-CN"/>
        </w:rPr>
        <w:t>贵州省检查</w:t>
      </w:r>
      <w:r>
        <w:rPr>
          <w:rFonts w:hint="eastAsia" w:ascii="方正小标宋_GBK" w:hAnsi="Times New Roman" w:eastAsia="方正小标宋_GBK" w:cs="方正仿宋简体"/>
          <w:color w:val="000000"/>
          <w:sz w:val="32"/>
          <w:szCs w:val="32"/>
        </w:rPr>
        <w:t>井盖产品质量监督抽查实施细则</w:t>
      </w: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黑体" w:cs="Times New Roman"/>
          <w:color w:val="000000"/>
          <w:sz w:val="32"/>
          <w:szCs w:val="32"/>
          <w:lang w:eastAsia="zh-CN"/>
        </w:rPr>
      </w:pPr>
      <w:r>
        <w:rPr>
          <w:rFonts w:hint="eastAsia" w:ascii="方正小标宋_GBK" w:hAnsi="Times New Roman" w:eastAsia="方正小标宋_GBK" w:cs="方正仿宋简体"/>
          <w:color w:val="000000"/>
          <w:sz w:val="32"/>
          <w:szCs w:val="32"/>
          <w:lang w:eastAsia="zh-CN"/>
        </w:rPr>
        <w:t>（</w:t>
      </w:r>
      <w:r>
        <w:rPr>
          <w:rFonts w:hint="eastAsia" w:ascii="方正小标宋_GBK" w:hAnsi="Times New Roman" w:eastAsia="方正小标宋_GBK" w:cs="方正仿宋简体"/>
          <w:color w:val="000000"/>
          <w:sz w:val="32"/>
          <w:szCs w:val="32"/>
          <w:lang w:val="en-US" w:eastAsia="zh-CN"/>
        </w:rPr>
        <w:t>2022年版</w:t>
      </w:r>
      <w:r>
        <w:rPr>
          <w:rFonts w:hint="eastAsia" w:ascii="方正小标宋_GBK" w:hAnsi="Times New Roman" w:eastAsia="方正小标宋_GBK" w:cs="方正仿宋简体"/>
          <w:color w:val="000000"/>
          <w:sz w:val="32"/>
          <w:szCs w:val="32"/>
          <w:lang w:eastAsia="zh-CN"/>
        </w:rPr>
        <w:t>）</w:t>
      </w:r>
    </w:p>
    <w:p>
      <w:pPr>
        <w:snapToGrid w:val="0"/>
        <w:spacing w:line="440" w:lineRule="exact"/>
        <w:ind w:firstLine="420" w:firstLineChars="200"/>
        <w:rPr>
          <w:rFonts w:ascii="Times New Roman" w:hAnsi="Times New Roman" w:eastAsia="黑体" w:cs="Times New Roman"/>
          <w:color w:val="000000"/>
        </w:rPr>
      </w:pPr>
    </w:p>
    <w:p>
      <w:pPr>
        <w:snapToGrid w:val="0"/>
        <w:spacing w:line="440" w:lineRule="exact"/>
        <w:ind w:firstLine="420" w:firstLineChars="200"/>
        <w:rPr>
          <w:rFonts w:ascii="Times New Roman" w:hAnsi="Times New Roman" w:eastAsia="黑体" w:cs="Times New Roman"/>
          <w:color w:val="000000"/>
        </w:rPr>
      </w:pPr>
      <w:r>
        <w:rPr>
          <w:rFonts w:ascii="Times New Roman" w:hAnsi="Times New Roman" w:eastAsia="黑体" w:cs="Times New Roman"/>
          <w:color w:val="000000"/>
        </w:rPr>
        <w:t>1 抽样方法</w:t>
      </w:r>
    </w:p>
    <w:p>
      <w:pPr>
        <w:snapToGrid w:val="0"/>
        <w:spacing w:line="440" w:lineRule="exact"/>
        <w:ind w:firstLine="840" w:firstLineChars="400"/>
        <w:rPr>
          <w:rFonts w:hint="eastAsia" w:ascii="宋体" w:hAnsi="宋体" w:eastAsia="宋体" w:cs="宋体"/>
          <w:color w:val="000000"/>
        </w:rPr>
      </w:pPr>
      <w:r>
        <w:rPr>
          <w:rFonts w:hint="eastAsia" w:ascii="宋体" w:hAnsi="宋体" w:eastAsia="宋体" w:cs="宋体"/>
          <w:color w:val="000000"/>
        </w:rPr>
        <w:t>以随机抽样的方式在被抽样生产者、销售者的待销产品中抽取。</w:t>
      </w:r>
    </w:p>
    <w:p>
      <w:pPr>
        <w:snapToGrid w:val="0"/>
        <w:spacing w:line="440" w:lineRule="exact"/>
        <w:ind w:firstLine="840" w:firstLineChars="400"/>
        <w:rPr>
          <w:rFonts w:hint="eastAsia" w:ascii="宋体" w:hAnsi="宋体" w:eastAsia="宋体" w:cs="宋体"/>
          <w:color w:val="000000"/>
        </w:rPr>
      </w:pPr>
      <w:r>
        <w:rPr>
          <w:rFonts w:hint="eastAsia" w:ascii="宋体" w:hAnsi="宋体" w:eastAsia="宋体" w:cs="宋体"/>
          <w:color w:val="000000"/>
        </w:rPr>
        <w:t>随机数一般可使用随机数表等方法产生。</w:t>
      </w:r>
    </w:p>
    <w:p>
      <w:pPr>
        <w:snapToGrid w:val="0"/>
        <w:spacing w:line="440" w:lineRule="exact"/>
        <w:ind w:left="0" w:leftChars="0" w:firstLine="0" w:firstLineChars="0"/>
        <w:jc w:val="center"/>
        <w:rPr>
          <w:rFonts w:hint="eastAsia" w:ascii="宋体" w:hAnsi="宋体" w:eastAsia="宋体" w:cs="宋体"/>
          <w:color w:val="000000"/>
          <w:lang w:val="en-US" w:eastAsia="zh-CN"/>
        </w:rPr>
      </w:pPr>
      <w:r>
        <w:rPr>
          <w:rFonts w:hint="eastAsia" w:ascii="宋体" w:hAnsi="宋体" w:eastAsia="宋体" w:cs="宋体"/>
          <w:color w:val="000000"/>
          <w:lang w:eastAsia="zh-CN"/>
        </w:rPr>
        <w:t>表</w:t>
      </w:r>
      <w:r>
        <w:rPr>
          <w:rFonts w:hint="eastAsia" w:ascii="宋体" w:hAnsi="宋体" w:eastAsia="宋体" w:cs="宋体"/>
          <w:color w:val="000000"/>
          <w:lang w:val="en-US" w:eastAsia="zh-CN"/>
        </w:rPr>
        <w:t>1 抽取样品数量</w:t>
      </w:r>
    </w:p>
    <w:tbl>
      <w:tblPr>
        <w:tblStyle w:val="4"/>
        <w:tblW w:w="87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8"/>
        <w:gridCol w:w="2695"/>
        <w:gridCol w:w="1500"/>
        <w:gridCol w:w="1908"/>
        <w:gridCol w:w="1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0" w:hRule="atLeast"/>
          <w:jc w:val="center"/>
        </w:trPr>
        <w:tc>
          <w:tcPr>
            <w:tcW w:w="708"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宋体" w:hAnsi="宋体" w:eastAsia="宋体" w:cs="宋体"/>
                <w:color w:val="000000"/>
              </w:rPr>
            </w:pPr>
            <w:r>
              <w:rPr>
                <w:rFonts w:hint="eastAsia" w:ascii="宋体" w:hAnsi="宋体" w:eastAsia="宋体" w:cs="宋体"/>
                <w:color w:val="000000"/>
              </w:rPr>
              <w:t>序号</w:t>
            </w:r>
          </w:p>
        </w:tc>
        <w:tc>
          <w:tcPr>
            <w:tcW w:w="2695" w:type="dxa"/>
            <w:tcBorders>
              <w:top w:val="single" w:color="auto" w:sz="4" w:space="0"/>
              <w:left w:val="nil"/>
              <w:bottom w:val="single" w:color="auto" w:sz="4" w:space="0"/>
              <w:right w:val="single" w:color="auto" w:sz="4" w:space="0"/>
            </w:tcBorders>
            <w:vAlign w:val="center"/>
          </w:tcPr>
          <w:p>
            <w:pPr>
              <w:snapToGrid w:val="0"/>
              <w:jc w:val="center"/>
              <w:rPr>
                <w:rFonts w:hint="eastAsia" w:ascii="宋体" w:hAnsi="宋体" w:eastAsia="宋体" w:cs="宋体"/>
                <w:color w:val="000000"/>
                <w:lang w:eastAsia="zh-CN"/>
              </w:rPr>
            </w:pPr>
            <w:r>
              <w:rPr>
                <w:rFonts w:hint="eastAsia" w:ascii="宋体" w:hAnsi="宋体" w:eastAsia="宋体" w:cs="宋体"/>
                <w:color w:val="000000"/>
                <w:lang w:eastAsia="zh-CN"/>
              </w:rPr>
              <w:t>产品种类</w:t>
            </w:r>
          </w:p>
        </w:tc>
        <w:tc>
          <w:tcPr>
            <w:tcW w:w="1500" w:type="dxa"/>
            <w:tcBorders>
              <w:top w:val="single" w:color="auto" w:sz="4" w:space="0"/>
              <w:left w:val="nil"/>
              <w:bottom w:val="single" w:color="auto" w:sz="4" w:space="0"/>
              <w:right w:val="single" w:color="auto" w:sz="4" w:space="0"/>
            </w:tcBorders>
            <w:vAlign w:val="center"/>
          </w:tcPr>
          <w:p>
            <w:pPr>
              <w:snapToGrid w:val="0"/>
              <w:jc w:val="center"/>
              <w:rPr>
                <w:rFonts w:hint="eastAsia" w:ascii="宋体" w:hAnsi="宋体" w:eastAsia="宋体" w:cs="宋体"/>
                <w:color w:val="000000"/>
                <w:lang w:eastAsia="zh-CN"/>
              </w:rPr>
            </w:pPr>
            <w:r>
              <w:rPr>
                <w:rFonts w:hint="eastAsia" w:ascii="宋体" w:hAnsi="宋体" w:eastAsia="宋体" w:cs="宋体"/>
                <w:color w:val="000000"/>
                <w:lang w:eastAsia="zh-CN"/>
              </w:rPr>
              <w:t>抽样数量（套）</w:t>
            </w:r>
          </w:p>
        </w:tc>
        <w:tc>
          <w:tcPr>
            <w:tcW w:w="1908" w:type="dxa"/>
            <w:tcBorders>
              <w:top w:val="single" w:color="auto" w:sz="4" w:space="0"/>
              <w:left w:val="nil"/>
              <w:bottom w:val="single" w:color="auto" w:sz="4" w:space="0"/>
              <w:right w:val="single" w:color="auto" w:sz="4" w:space="0"/>
            </w:tcBorders>
            <w:vAlign w:val="center"/>
          </w:tcPr>
          <w:p>
            <w:pPr>
              <w:snapToGrid w:val="0"/>
              <w:jc w:val="center"/>
              <w:rPr>
                <w:rFonts w:hint="eastAsia" w:ascii="宋体" w:hAnsi="宋体" w:eastAsia="宋体" w:cs="宋体"/>
                <w:color w:val="000000"/>
                <w:lang w:eastAsia="zh-CN"/>
              </w:rPr>
            </w:pPr>
            <w:r>
              <w:rPr>
                <w:rFonts w:hint="eastAsia" w:ascii="宋体" w:hAnsi="宋体" w:eastAsia="宋体" w:cs="宋体"/>
                <w:color w:val="000000"/>
                <w:lang w:eastAsia="zh-CN"/>
              </w:rPr>
              <w:t>检验样品数量（套）</w:t>
            </w:r>
          </w:p>
        </w:tc>
        <w:tc>
          <w:tcPr>
            <w:tcW w:w="1978" w:type="dxa"/>
            <w:tcBorders>
              <w:top w:val="single" w:color="auto" w:sz="4" w:space="0"/>
              <w:left w:val="nil"/>
              <w:bottom w:val="single" w:color="auto" w:sz="4" w:space="0"/>
              <w:right w:val="single" w:color="auto" w:sz="4" w:space="0"/>
            </w:tcBorders>
            <w:vAlign w:val="center"/>
          </w:tcPr>
          <w:p>
            <w:pPr>
              <w:snapToGrid w:val="0"/>
              <w:jc w:val="center"/>
              <w:rPr>
                <w:rFonts w:hint="eastAsia" w:ascii="宋体" w:hAnsi="宋体" w:eastAsia="宋体" w:cs="宋体"/>
                <w:color w:val="000000"/>
                <w:lang w:eastAsia="zh-CN"/>
              </w:rPr>
            </w:pPr>
            <w:r>
              <w:rPr>
                <w:rFonts w:hint="eastAsia" w:ascii="宋体" w:hAnsi="宋体" w:eastAsia="宋体" w:cs="宋体"/>
                <w:color w:val="000000"/>
                <w:lang w:eastAsia="zh-CN"/>
              </w:rPr>
              <w:t>备用样品数量（套）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8"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1</w:t>
            </w:r>
          </w:p>
        </w:tc>
        <w:tc>
          <w:tcPr>
            <w:tcW w:w="2695" w:type="dxa"/>
            <w:tcBorders>
              <w:top w:val="single" w:color="auto" w:sz="4" w:space="0"/>
              <w:left w:val="nil"/>
              <w:bottom w:val="single" w:color="auto" w:sz="4" w:space="0"/>
              <w:right w:val="single" w:color="auto" w:sz="4" w:space="0"/>
            </w:tcBorders>
            <w:vAlign w:val="center"/>
          </w:tcPr>
          <w:p>
            <w:pPr>
              <w:snapToGrid w:val="0"/>
              <w:jc w:val="left"/>
              <w:rPr>
                <w:rFonts w:hint="eastAsia" w:ascii="宋体" w:hAnsi="宋体" w:eastAsia="宋体" w:cs="宋体"/>
                <w:color w:val="000000"/>
                <w:lang w:val="en-US" w:eastAsia="zh-CN"/>
              </w:rPr>
            </w:pPr>
            <w:r>
              <w:rPr>
                <w:rFonts w:hint="eastAsia" w:ascii="宋体" w:hAnsi="宋体" w:eastAsia="宋体" w:cs="宋体"/>
                <w:color w:val="000000"/>
                <w:lang w:eastAsia="zh-CN"/>
              </w:rPr>
              <w:t>再生树脂复合材料检查井盖、聚合物基复合材料检查井盖、铸铁检查井盖、检查井盖、钢纤维混凝土检查井盖</w:t>
            </w:r>
            <w:r>
              <w:rPr>
                <w:rFonts w:hint="eastAsia" w:ascii="宋体" w:hAnsi="宋体" w:eastAsia="宋体" w:cs="宋体"/>
                <w:color w:val="000000"/>
                <w:vertAlign w:val="superscript"/>
                <w:lang w:val="en-US" w:eastAsia="zh-CN"/>
              </w:rPr>
              <w:t>a</w:t>
            </w:r>
          </w:p>
        </w:tc>
        <w:tc>
          <w:tcPr>
            <w:tcW w:w="1500" w:type="dxa"/>
            <w:tcBorders>
              <w:top w:val="single" w:color="auto" w:sz="4" w:space="0"/>
              <w:left w:val="nil"/>
              <w:bottom w:val="single" w:color="auto" w:sz="4" w:space="0"/>
              <w:right w:val="single" w:color="auto" w:sz="4" w:space="0"/>
            </w:tcBorders>
            <w:vAlign w:val="center"/>
          </w:tcPr>
          <w:p>
            <w:pPr>
              <w:snapToGrid w:val="0"/>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12</w:t>
            </w:r>
          </w:p>
        </w:tc>
        <w:tc>
          <w:tcPr>
            <w:tcW w:w="1908" w:type="dxa"/>
            <w:tcBorders>
              <w:top w:val="single" w:color="auto" w:sz="4" w:space="0"/>
              <w:left w:val="nil"/>
              <w:bottom w:val="single" w:color="auto" w:sz="4" w:space="0"/>
              <w:right w:val="single" w:color="auto" w:sz="4" w:space="0"/>
            </w:tcBorders>
            <w:vAlign w:val="center"/>
          </w:tcPr>
          <w:p>
            <w:pPr>
              <w:snapToGrid w:val="0"/>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6</w:t>
            </w:r>
          </w:p>
        </w:tc>
        <w:tc>
          <w:tcPr>
            <w:tcW w:w="1978" w:type="dxa"/>
            <w:tcBorders>
              <w:top w:val="single" w:color="auto" w:sz="4" w:space="0"/>
              <w:left w:val="nil"/>
              <w:bottom w:val="single" w:color="auto" w:sz="4" w:space="0"/>
              <w:right w:val="single" w:color="auto" w:sz="4" w:space="0"/>
            </w:tcBorders>
            <w:vAlign w:val="center"/>
          </w:tcPr>
          <w:p>
            <w:pPr>
              <w:snapToGrid w:val="0"/>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8"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2</w:t>
            </w:r>
          </w:p>
        </w:tc>
        <w:tc>
          <w:tcPr>
            <w:tcW w:w="2695" w:type="dxa"/>
            <w:tcBorders>
              <w:top w:val="single" w:color="auto" w:sz="4" w:space="0"/>
              <w:left w:val="nil"/>
              <w:bottom w:val="single" w:color="auto" w:sz="4" w:space="0"/>
              <w:right w:val="single" w:color="auto" w:sz="4" w:space="0"/>
            </w:tcBorders>
            <w:vAlign w:val="center"/>
          </w:tcPr>
          <w:p>
            <w:pPr>
              <w:snapToGrid w:val="0"/>
              <w:jc w:val="left"/>
              <w:rPr>
                <w:rFonts w:hint="eastAsia" w:ascii="宋体" w:hAnsi="宋体" w:eastAsia="宋体" w:cs="宋体"/>
                <w:color w:val="000000"/>
                <w:lang w:val="en-US" w:eastAsia="zh-CN"/>
              </w:rPr>
            </w:pPr>
            <w:r>
              <w:rPr>
                <w:rFonts w:hint="eastAsia" w:ascii="宋体" w:hAnsi="宋体" w:eastAsia="宋体" w:cs="宋体"/>
                <w:color w:val="000000"/>
                <w:lang w:eastAsia="zh-CN"/>
              </w:rPr>
              <w:t>玻璃纤维增强塑料复合检查井盖、钢纤维混凝土检查井盖</w:t>
            </w:r>
            <w:r>
              <w:rPr>
                <w:rFonts w:hint="eastAsia" w:ascii="宋体" w:hAnsi="宋体" w:eastAsia="宋体" w:cs="宋体"/>
                <w:color w:val="000000"/>
                <w:vertAlign w:val="superscript"/>
                <w:lang w:val="en-US" w:eastAsia="zh-CN"/>
              </w:rPr>
              <w:t>b</w:t>
            </w:r>
          </w:p>
        </w:tc>
        <w:tc>
          <w:tcPr>
            <w:tcW w:w="1500" w:type="dxa"/>
            <w:tcBorders>
              <w:top w:val="single" w:color="auto" w:sz="4" w:space="0"/>
              <w:left w:val="nil"/>
              <w:bottom w:val="single" w:color="auto" w:sz="4" w:space="0"/>
              <w:right w:val="single" w:color="auto" w:sz="4" w:space="0"/>
            </w:tcBorders>
            <w:vAlign w:val="center"/>
          </w:tcPr>
          <w:p>
            <w:pPr>
              <w:snapToGrid w:val="0"/>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8</w:t>
            </w:r>
          </w:p>
        </w:tc>
        <w:tc>
          <w:tcPr>
            <w:tcW w:w="1908" w:type="dxa"/>
            <w:tcBorders>
              <w:top w:val="single" w:color="auto" w:sz="4" w:space="0"/>
              <w:left w:val="nil"/>
              <w:bottom w:val="single" w:color="auto" w:sz="4" w:space="0"/>
              <w:right w:val="single" w:color="auto" w:sz="4" w:space="0"/>
            </w:tcBorders>
            <w:vAlign w:val="center"/>
          </w:tcPr>
          <w:p>
            <w:pPr>
              <w:snapToGrid w:val="0"/>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4</w:t>
            </w:r>
          </w:p>
        </w:tc>
        <w:tc>
          <w:tcPr>
            <w:tcW w:w="1978" w:type="dxa"/>
            <w:tcBorders>
              <w:top w:val="single" w:color="auto" w:sz="4" w:space="0"/>
              <w:left w:val="nil"/>
              <w:bottom w:val="single" w:color="auto" w:sz="4" w:space="0"/>
              <w:right w:val="single" w:color="auto" w:sz="4" w:space="0"/>
            </w:tcBorders>
            <w:vAlign w:val="center"/>
          </w:tcPr>
          <w:p>
            <w:pPr>
              <w:snapToGrid w:val="0"/>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789" w:type="dxa"/>
            <w:gridSpan w:val="5"/>
            <w:tcBorders>
              <w:top w:val="single" w:color="auto" w:sz="4" w:space="0"/>
              <w:left w:val="single" w:color="auto" w:sz="4" w:space="0"/>
              <w:bottom w:val="single" w:color="auto" w:sz="4" w:space="0"/>
              <w:right w:val="single" w:color="auto" w:sz="4" w:space="0"/>
            </w:tcBorders>
            <w:vAlign w:val="center"/>
          </w:tcPr>
          <w:p>
            <w:pPr>
              <w:snapToGrid w:val="0"/>
              <w:jc w:val="left"/>
              <w:rPr>
                <w:rFonts w:hint="eastAsia" w:ascii="宋体" w:hAnsi="宋体" w:eastAsia="宋体" w:cs="宋体"/>
                <w:color w:val="000000"/>
                <w:lang w:val="en-US" w:eastAsia="zh-CN"/>
              </w:rPr>
            </w:pPr>
            <w:r>
              <w:rPr>
                <w:rFonts w:hint="eastAsia" w:ascii="宋体" w:hAnsi="宋体" w:eastAsia="宋体" w:cs="宋体"/>
                <w:color w:val="000000"/>
                <w:lang w:val="en-US" w:eastAsia="zh-CN"/>
              </w:rPr>
              <w:t>注</w:t>
            </w:r>
            <w:r>
              <w:rPr>
                <w:rFonts w:hint="eastAsia" w:ascii="宋体" w:hAnsi="宋体" w:eastAsia="宋体" w:cs="宋体"/>
                <w:color w:val="000000"/>
                <w:vertAlign w:val="superscript"/>
                <w:lang w:val="en-US" w:eastAsia="zh-CN"/>
              </w:rPr>
              <w:t>a</w:t>
            </w:r>
            <w:r>
              <w:rPr>
                <w:rFonts w:hint="eastAsia" w:ascii="宋体" w:hAnsi="宋体" w:eastAsia="宋体" w:cs="宋体"/>
                <w:color w:val="000000"/>
                <w:lang w:val="en-US" w:eastAsia="zh-CN"/>
              </w:rPr>
              <w:t>：执行标准为JC 889-2001；</w:t>
            </w:r>
          </w:p>
          <w:p>
            <w:pPr>
              <w:snapToGrid w:val="0"/>
              <w:jc w:val="left"/>
              <w:rPr>
                <w:rFonts w:hint="eastAsia" w:ascii="宋体" w:hAnsi="宋体" w:eastAsia="宋体" w:cs="宋体"/>
                <w:color w:val="000000"/>
                <w:lang w:val="en-US" w:eastAsia="zh-CN"/>
              </w:rPr>
            </w:pPr>
            <w:r>
              <w:rPr>
                <w:rFonts w:hint="eastAsia" w:ascii="宋体" w:hAnsi="宋体" w:eastAsia="宋体" w:cs="宋体"/>
                <w:color w:val="000000"/>
                <w:lang w:val="en-US" w:eastAsia="zh-CN"/>
              </w:rPr>
              <w:t>注</w:t>
            </w:r>
            <w:r>
              <w:rPr>
                <w:rFonts w:hint="eastAsia" w:ascii="宋体" w:hAnsi="宋体" w:eastAsia="宋体" w:cs="宋体"/>
                <w:color w:val="000000"/>
                <w:vertAlign w:val="superscript"/>
                <w:lang w:val="en-US" w:eastAsia="zh-CN"/>
              </w:rPr>
              <w:t>b</w:t>
            </w:r>
            <w:r>
              <w:rPr>
                <w:rFonts w:hint="eastAsia" w:ascii="宋体" w:hAnsi="宋体" w:eastAsia="宋体" w:cs="宋体"/>
                <w:color w:val="000000"/>
                <w:vertAlign w:val="baseline"/>
                <w:lang w:val="en-US" w:eastAsia="zh-CN"/>
              </w:rPr>
              <w:t>：执行标准为</w:t>
            </w:r>
            <w:r>
              <w:rPr>
                <w:rFonts w:hint="eastAsia" w:ascii="宋体" w:hAnsi="宋体" w:eastAsia="宋体" w:cs="宋体"/>
                <w:color w:val="000000"/>
                <w:lang w:val="en-US" w:eastAsia="zh-CN"/>
              </w:rPr>
              <w:t>GB/T 26537-2011。</w:t>
            </w:r>
          </w:p>
        </w:tc>
      </w:tr>
    </w:tbl>
    <w:p>
      <w:pPr>
        <w:snapToGrid w:val="0"/>
        <w:spacing w:line="440" w:lineRule="exact"/>
        <w:ind w:firstLine="420" w:firstLineChars="200"/>
        <w:rPr>
          <w:rFonts w:hint="default" w:ascii="Times New Roman" w:hAnsi="Times New Roman" w:eastAsia="黑体" w:cs="Times New Roman"/>
          <w:color w:val="000000"/>
          <w:lang w:val="en-US" w:eastAsia="zh-CN"/>
        </w:rPr>
      </w:pPr>
    </w:p>
    <w:p>
      <w:pPr>
        <w:snapToGrid w:val="0"/>
        <w:spacing w:line="440" w:lineRule="exact"/>
        <w:ind w:firstLine="420" w:firstLineChars="200"/>
        <w:rPr>
          <w:rFonts w:ascii="Times New Roman" w:hAnsi="Times New Roman" w:eastAsia="黑体" w:cs="Times New Roman"/>
          <w:color w:val="000000"/>
        </w:rPr>
      </w:pPr>
      <w:r>
        <w:rPr>
          <w:rFonts w:ascii="Times New Roman" w:hAnsi="Times New Roman" w:eastAsia="黑体" w:cs="Times New Roman"/>
          <w:color w:val="000000"/>
        </w:rPr>
        <w:t>2 检验依据</w:t>
      </w:r>
    </w:p>
    <w:p>
      <w:pPr>
        <w:snapToGrid w:val="0"/>
        <w:spacing w:line="440" w:lineRule="exact"/>
        <w:jc w:val="center"/>
        <w:rPr>
          <w:rFonts w:hint="eastAsia" w:ascii="宋体" w:hAnsi="宋体" w:eastAsia="宋体" w:cs="宋体"/>
          <w:color w:val="000000"/>
        </w:rPr>
      </w:pPr>
      <w:r>
        <w:rPr>
          <w:rFonts w:hint="eastAsia" w:ascii="宋体" w:hAnsi="宋体" w:eastAsia="宋体" w:cs="宋体"/>
          <w:color w:val="000000"/>
          <w:lang w:eastAsia="zh-CN"/>
        </w:rPr>
        <w:t>表</w:t>
      </w:r>
      <w:r>
        <w:rPr>
          <w:rFonts w:hint="eastAsia" w:ascii="宋体" w:hAnsi="宋体" w:eastAsia="宋体" w:cs="宋体"/>
          <w:color w:val="000000"/>
          <w:lang w:val="en-US" w:eastAsia="zh-CN"/>
        </w:rPr>
        <w:t>2 检查井盖</w:t>
      </w:r>
    </w:p>
    <w:tbl>
      <w:tblPr>
        <w:tblStyle w:val="4"/>
        <w:tblW w:w="87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7"/>
        <w:gridCol w:w="4781"/>
        <w:gridCol w:w="32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0" w:hRule="atLeast"/>
          <w:jc w:val="center"/>
        </w:trPr>
        <w:tc>
          <w:tcPr>
            <w:tcW w:w="647" w:type="dxa"/>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宋体" w:hAnsi="宋体" w:eastAsia="宋体" w:cs="宋体"/>
                <w:color w:val="000000"/>
              </w:rPr>
            </w:pPr>
            <w:r>
              <w:rPr>
                <w:rFonts w:hint="eastAsia" w:ascii="宋体" w:hAnsi="宋体" w:eastAsia="宋体" w:cs="宋体"/>
                <w:color w:val="000000"/>
              </w:rPr>
              <w:t>序号</w:t>
            </w:r>
          </w:p>
        </w:tc>
        <w:tc>
          <w:tcPr>
            <w:tcW w:w="4781" w:type="dxa"/>
            <w:vMerge w:val="restart"/>
            <w:tcBorders>
              <w:top w:val="single" w:color="auto" w:sz="4" w:space="0"/>
              <w:left w:val="nil"/>
              <w:bottom w:val="single" w:color="auto" w:sz="4" w:space="0"/>
              <w:right w:val="single" w:color="auto" w:sz="4" w:space="0"/>
            </w:tcBorders>
            <w:vAlign w:val="center"/>
          </w:tcPr>
          <w:p>
            <w:pPr>
              <w:snapToGrid w:val="0"/>
              <w:jc w:val="center"/>
              <w:rPr>
                <w:rFonts w:hint="eastAsia" w:ascii="宋体" w:hAnsi="宋体" w:eastAsia="宋体" w:cs="宋体"/>
                <w:color w:val="000000"/>
              </w:rPr>
            </w:pPr>
            <w:r>
              <w:rPr>
                <w:rFonts w:hint="eastAsia" w:ascii="宋体" w:hAnsi="宋体" w:eastAsia="宋体" w:cs="宋体"/>
                <w:color w:val="000000"/>
              </w:rPr>
              <w:t>检验项目</w:t>
            </w:r>
          </w:p>
        </w:tc>
        <w:tc>
          <w:tcPr>
            <w:tcW w:w="3298" w:type="dxa"/>
            <w:vMerge w:val="restart"/>
            <w:tcBorders>
              <w:top w:val="single" w:color="auto" w:sz="4" w:space="0"/>
              <w:left w:val="nil"/>
              <w:bottom w:val="single" w:color="auto" w:sz="4" w:space="0"/>
              <w:right w:val="single" w:color="auto" w:sz="4" w:space="0"/>
            </w:tcBorders>
            <w:vAlign w:val="center"/>
          </w:tcPr>
          <w:p>
            <w:pPr>
              <w:snapToGrid w:val="0"/>
              <w:jc w:val="center"/>
              <w:rPr>
                <w:rFonts w:hint="eastAsia" w:ascii="宋体" w:hAnsi="宋体" w:eastAsia="宋体" w:cs="宋体"/>
                <w:color w:val="000000"/>
              </w:rPr>
            </w:pPr>
            <w:r>
              <w:rPr>
                <w:rFonts w:hint="eastAsia" w:ascii="宋体" w:hAnsi="宋体" w:eastAsia="宋体" w:cs="宋体"/>
                <w:color w:val="000000"/>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64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rPr>
            </w:pPr>
          </w:p>
        </w:tc>
        <w:tc>
          <w:tcPr>
            <w:tcW w:w="4781" w:type="dxa"/>
            <w:vMerge w:val="continue"/>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color w:val="000000"/>
              </w:rPr>
            </w:pPr>
          </w:p>
        </w:tc>
        <w:tc>
          <w:tcPr>
            <w:tcW w:w="3298" w:type="dxa"/>
            <w:vMerge w:val="continue"/>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47"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1</w:t>
            </w:r>
          </w:p>
        </w:tc>
        <w:tc>
          <w:tcPr>
            <w:tcW w:w="4781" w:type="dxa"/>
            <w:tcBorders>
              <w:top w:val="single" w:color="auto" w:sz="4" w:space="0"/>
              <w:left w:val="nil"/>
              <w:bottom w:val="single" w:color="auto" w:sz="4" w:space="0"/>
              <w:right w:val="single" w:color="auto" w:sz="4" w:space="0"/>
            </w:tcBorders>
            <w:vAlign w:val="center"/>
          </w:tcPr>
          <w:p>
            <w:pPr>
              <w:snapToGrid w:val="0"/>
              <w:jc w:val="center"/>
              <w:rPr>
                <w:rFonts w:hint="eastAsia" w:ascii="宋体" w:hAnsi="宋体" w:eastAsia="宋体" w:cs="宋体"/>
                <w:color w:val="000000"/>
                <w:lang w:eastAsia="zh-CN"/>
              </w:rPr>
            </w:pPr>
            <w:r>
              <w:rPr>
                <w:rFonts w:hint="eastAsia" w:ascii="宋体" w:hAnsi="宋体" w:eastAsia="宋体" w:cs="宋体"/>
                <w:color w:val="000000"/>
                <w:lang w:eastAsia="zh-CN"/>
              </w:rPr>
              <w:t>承载能力</w:t>
            </w:r>
          </w:p>
        </w:tc>
        <w:tc>
          <w:tcPr>
            <w:tcW w:w="3298" w:type="dxa"/>
            <w:tcBorders>
              <w:top w:val="single" w:color="auto" w:sz="4" w:space="0"/>
              <w:left w:val="nil"/>
              <w:bottom w:val="single" w:color="auto" w:sz="4" w:space="0"/>
              <w:right w:val="single" w:color="auto" w:sz="4" w:space="0"/>
            </w:tcBorders>
            <w:vAlign w:val="center"/>
          </w:tcPr>
          <w:p>
            <w:pPr>
              <w:snapToGrid w:val="0"/>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GB/T 23858-2009</w:t>
            </w:r>
          </w:p>
        </w:tc>
      </w:tr>
    </w:tbl>
    <w:p>
      <w:pPr>
        <w:snapToGrid w:val="0"/>
        <w:spacing w:line="440" w:lineRule="exact"/>
        <w:jc w:val="center"/>
        <w:rPr>
          <w:rFonts w:hint="eastAsia" w:ascii="宋体" w:hAnsi="宋体" w:eastAsia="宋体" w:cs="宋体"/>
          <w:color w:val="000000"/>
        </w:rPr>
      </w:pPr>
      <w:r>
        <w:rPr>
          <w:rFonts w:hint="eastAsia" w:ascii="宋体" w:hAnsi="宋体" w:eastAsia="宋体" w:cs="宋体"/>
          <w:color w:val="000000"/>
          <w:lang w:eastAsia="zh-CN"/>
        </w:rPr>
        <w:t>表</w:t>
      </w:r>
      <w:r>
        <w:rPr>
          <w:rFonts w:hint="eastAsia" w:ascii="宋体" w:hAnsi="宋体" w:eastAsia="宋体" w:cs="宋体"/>
          <w:color w:val="000000"/>
          <w:lang w:val="en-US" w:eastAsia="zh-CN"/>
        </w:rPr>
        <w:t>3 钢纤维混凝土检查井盖</w:t>
      </w:r>
    </w:p>
    <w:tbl>
      <w:tblPr>
        <w:tblStyle w:val="4"/>
        <w:tblW w:w="87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7"/>
        <w:gridCol w:w="4781"/>
        <w:gridCol w:w="32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0" w:hRule="atLeast"/>
          <w:jc w:val="center"/>
        </w:trPr>
        <w:tc>
          <w:tcPr>
            <w:tcW w:w="647" w:type="dxa"/>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宋体" w:hAnsi="宋体" w:eastAsia="宋体" w:cs="宋体"/>
                <w:color w:val="000000"/>
              </w:rPr>
            </w:pPr>
            <w:r>
              <w:rPr>
                <w:rFonts w:hint="eastAsia" w:ascii="宋体" w:hAnsi="宋体" w:eastAsia="宋体" w:cs="宋体"/>
                <w:color w:val="000000"/>
              </w:rPr>
              <w:t>序号</w:t>
            </w:r>
          </w:p>
        </w:tc>
        <w:tc>
          <w:tcPr>
            <w:tcW w:w="4781" w:type="dxa"/>
            <w:vMerge w:val="restart"/>
            <w:tcBorders>
              <w:top w:val="single" w:color="auto" w:sz="4" w:space="0"/>
              <w:left w:val="nil"/>
              <w:bottom w:val="single" w:color="auto" w:sz="4" w:space="0"/>
              <w:right w:val="single" w:color="auto" w:sz="4" w:space="0"/>
            </w:tcBorders>
            <w:vAlign w:val="center"/>
          </w:tcPr>
          <w:p>
            <w:pPr>
              <w:snapToGrid w:val="0"/>
              <w:jc w:val="center"/>
              <w:rPr>
                <w:rFonts w:hint="eastAsia" w:ascii="宋体" w:hAnsi="宋体" w:eastAsia="宋体" w:cs="宋体"/>
                <w:color w:val="000000"/>
              </w:rPr>
            </w:pPr>
            <w:r>
              <w:rPr>
                <w:rFonts w:hint="eastAsia" w:ascii="宋体" w:hAnsi="宋体" w:eastAsia="宋体" w:cs="宋体"/>
                <w:color w:val="000000"/>
              </w:rPr>
              <w:t>检验项目</w:t>
            </w:r>
          </w:p>
        </w:tc>
        <w:tc>
          <w:tcPr>
            <w:tcW w:w="3298" w:type="dxa"/>
            <w:vMerge w:val="restart"/>
            <w:tcBorders>
              <w:top w:val="single" w:color="auto" w:sz="4" w:space="0"/>
              <w:left w:val="nil"/>
              <w:bottom w:val="single" w:color="auto" w:sz="4" w:space="0"/>
              <w:right w:val="single" w:color="auto" w:sz="4" w:space="0"/>
            </w:tcBorders>
            <w:vAlign w:val="center"/>
          </w:tcPr>
          <w:p>
            <w:pPr>
              <w:snapToGrid w:val="0"/>
              <w:jc w:val="center"/>
              <w:rPr>
                <w:rFonts w:hint="eastAsia" w:ascii="宋体" w:hAnsi="宋体" w:eastAsia="宋体" w:cs="宋体"/>
                <w:color w:val="000000"/>
              </w:rPr>
            </w:pPr>
            <w:r>
              <w:rPr>
                <w:rFonts w:hint="eastAsia" w:ascii="宋体" w:hAnsi="宋体" w:eastAsia="宋体" w:cs="宋体"/>
                <w:color w:val="000000"/>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64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rPr>
            </w:pPr>
          </w:p>
        </w:tc>
        <w:tc>
          <w:tcPr>
            <w:tcW w:w="4781" w:type="dxa"/>
            <w:vMerge w:val="continue"/>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color w:val="000000"/>
              </w:rPr>
            </w:pPr>
          </w:p>
        </w:tc>
        <w:tc>
          <w:tcPr>
            <w:tcW w:w="3298" w:type="dxa"/>
            <w:vMerge w:val="continue"/>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47"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1</w:t>
            </w:r>
          </w:p>
        </w:tc>
        <w:tc>
          <w:tcPr>
            <w:tcW w:w="4781" w:type="dxa"/>
            <w:tcBorders>
              <w:top w:val="single" w:color="auto" w:sz="4" w:space="0"/>
              <w:left w:val="nil"/>
              <w:bottom w:val="single" w:color="auto" w:sz="4" w:space="0"/>
              <w:right w:val="single" w:color="auto" w:sz="4" w:space="0"/>
            </w:tcBorders>
            <w:vAlign w:val="center"/>
          </w:tcPr>
          <w:p>
            <w:pPr>
              <w:snapToGrid w:val="0"/>
              <w:jc w:val="center"/>
              <w:rPr>
                <w:rFonts w:hint="eastAsia" w:ascii="宋体" w:hAnsi="宋体" w:eastAsia="宋体" w:cs="宋体"/>
                <w:color w:val="000000"/>
                <w:lang w:eastAsia="zh-CN"/>
              </w:rPr>
            </w:pPr>
            <w:r>
              <w:rPr>
                <w:rFonts w:hint="eastAsia" w:ascii="宋体" w:hAnsi="宋体" w:eastAsia="宋体" w:cs="宋体"/>
                <w:color w:val="000000"/>
                <w:lang w:eastAsia="zh-CN"/>
              </w:rPr>
              <w:t>承载能力</w:t>
            </w:r>
          </w:p>
        </w:tc>
        <w:tc>
          <w:tcPr>
            <w:tcW w:w="3298" w:type="dxa"/>
            <w:tcBorders>
              <w:top w:val="single" w:color="auto" w:sz="4" w:space="0"/>
              <w:left w:val="nil"/>
              <w:bottom w:val="single" w:color="auto" w:sz="4" w:space="0"/>
              <w:right w:val="single" w:color="auto" w:sz="4" w:space="0"/>
            </w:tcBorders>
            <w:vAlign w:val="center"/>
          </w:tcPr>
          <w:p>
            <w:pPr>
              <w:snapToGrid w:val="0"/>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GB/T 26537-2011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47"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2</w:t>
            </w:r>
          </w:p>
        </w:tc>
        <w:tc>
          <w:tcPr>
            <w:tcW w:w="4781" w:type="dxa"/>
            <w:tcBorders>
              <w:top w:val="single" w:color="auto" w:sz="4" w:space="0"/>
              <w:left w:val="nil"/>
              <w:bottom w:val="single" w:color="auto" w:sz="4" w:space="0"/>
              <w:right w:val="single" w:color="auto" w:sz="4" w:space="0"/>
            </w:tcBorders>
            <w:vAlign w:val="center"/>
          </w:tcPr>
          <w:p>
            <w:pPr>
              <w:snapToGrid w:val="0"/>
              <w:jc w:val="center"/>
              <w:rPr>
                <w:rFonts w:hint="eastAsia" w:ascii="宋体" w:hAnsi="宋体" w:eastAsia="宋体" w:cs="宋体"/>
                <w:color w:val="000000"/>
                <w:lang w:eastAsia="zh-CN"/>
              </w:rPr>
            </w:pPr>
            <w:r>
              <w:rPr>
                <w:rFonts w:hint="eastAsia" w:ascii="宋体" w:hAnsi="宋体" w:eastAsia="宋体" w:cs="宋体"/>
                <w:color w:val="000000"/>
                <w:lang w:eastAsia="zh-CN"/>
              </w:rPr>
              <w:t>承载能力</w:t>
            </w:r>
          </w:p>
        </w:tc>
        <w:tc>
          <w:tcPr>
            <w:tcW w:w="3298" w:type="dxa"/>
            <w:tcBorders>
              <w:top w:val="single" w:color="auto" w:sz="4" w:space="0"/>
              <w:left w:val="nil"/>
              <w:bottom w:val="single" w:color="auto" w:sz="4" w:space="0"/>
              <w:right w:val="single" w:color="auto" w:sz="4" w:space="0"/>
            </w:tcBorders>
            <w:vAlign w:val="center"/>
          </w:tcPr>
          <w:p>
            <w:pPr>
              <w:snapToGrid w:val="0"/>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JC 889-2001</w:t>
            </w:r>
          </w:p>
        </w:tc>
      </w:tr>
    </w:tbl>
    <w:p>
      <w:pPr>
        <w:jc w:val="center"/>
        <w:rPr>
          <w:rFonts w:hint="eastAsia" w:ascii="宋体" w:hAnsi="宋体" w:eastAsia="宋体" w:cs="宋体"/>
          <w:color w:val="000000"/>
        </w:rPr>
      </w:pPr>
      <w:r>
        <w:rPr>
          <w:rFonts w:hint="eastAsia" w:ascii="宋体" w:hAnsi="宋体" w:eastAsia="宋体" w:cs="宋体"/>
          <w:color w:val="000000"/>
          <w:lang w:eastAsia="zh-CN"/>
        </w:rPr>
        <w:t>表</w:t>
      </w:r>
      <w:r>
        <w:rPr>
          <w:rFonts w:hint="eastAsia" w:ascii="宋体" w:hAnsi="宋体" w:eastAsia="宋体" w:cs="宋体"/>
          <w:color w:val="000000"/>
          <w:lang w:val="en-US" w:eastAsia="zh-CN"/>
        </w:rPr>
        <w:t>4 再生树脂复合材料检查井盖</w:t>
      </w:r>
    </w:p>
    <w:tbl>
      <w:tblPr>
        <w:tblStyle w:val="4"/>
        <w:tblW w:w="87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7"/>
        <w:gridCol w:w="4781"/>
        <w:gridCol w:w="32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0" w:hRule="atLeast"/>
          <w:jc w:val="center"/>
        </w:trPr>
        <w:tc>
          <w:tcPr>
            <w:tcW w:w="647" w:type="dxa"/>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宋体" w:hAnsi="宋体" w:eastAsia="宋体" w:cs="宋体"/>
                <w:color w:val="000000"/>
              </w:rPr>
            </w:pPr>
            <w:r>
              <w:rPr>
                <w:rFonts w:hint="eastAsia" w:ascii="宋体" w:hAnsi="宋体" w:eastAsia="宋体" w:cs="宋体"/>
                <w:color w:val="000000"/>
              </w:rPr>
              <w:t>序号</w:t>
            </w:r>
          </w:p>
        </w:tc>
        <w:tc>
          <w:tcPr>
            <w:tcW w:w="4781" w:type="dxa"/>
            <w:vMerge w:val="restart"/>
            <w:tcBorders>
              <w:top w:val="single" w:color="auto" w:sz="4" w:space="0"/>
              <w:left w:val="nil"/>
              <w:bottom w:val="single" w:color="auto" w:sz="4" w:space="0"/>
              <w:right w:val="single" w:color="auto" w:sz="4" w:space="0"/>
            </w:tcBorders>
            <w:vAlign w:val="center"/>
          </w:tcPr>
          <w:p>
            <w:pPr>
              <w:snapToGrid w:val="0"/>
              <w:jc w:val="center"/>
              <w:rPr>
                <w:rFonts w:hint="eastAsia" w:ascii="宋体" w:hAnsi="宋体" w:eastAsia="宋体" w:cs="宋体"/>
                <w:color w:val="000000"/>
              </w:rPr>
            </w:pPr>
            <w:r>
              <w:rPr>
                <w:rFonts w:hint="eastAsia" w:ascii="宋体" w:hAnsi="宋体" w:eastAsia="宋体" w:cs="宋体"/>
                <w:color w:val="000000"/>
              </w:rPr>
              <w:t>检验项目</w:t>
            </w:r>
          </w:p>
        </w:tc>
        <w:tc>
          <w:tcPr>
            <w:tcW w:w="3298" w:type="dxa"/>
            <w:vMerge w:val="restart"/>
            <w:tcBorders>
              <w:top w:val="single" w:color="auto" w:sz="4" w:space="0"/>
              <w:left w:val="nil"/>
              <w:bottom w:val="single" w:color="auto" w:sz="4" w:space="0"/>
              <w:right w:val="single" w:color="auto" w:sz="4" w:space="0"/>
            </w:tcBorders>
            <w:vAlign w:val="center"/>
          </w:tcPr>
          <w:p>
            <w:pPr>
              <w:snapToGrid w:val="0"/>
              <w:jc w:val="center"/>
              <w:rPr>
                <w:rFonts w:hint="eastAsia" w:ascii="宋体" w:hAnsi="宋体" w:eastAsia="宋体" w:cs="宋体"/>
                <w:color w:val="000000"/>
              </w:rPr>
            </w:pPr>
            <w:r>
              <w:rPr>
                <w:rFonts w:hint="eastAsia" w:ascii="宋体" w:hAnsi="宋体" w:eastAsia="宋体" w:cs="宋体"/>
                <w:color w:val="000000"/>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64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rPr>
            </w:pPr>
          </w:p>
        </w:tc>
        <w:tc>
          <w:tcPr>
            <w:tcW w:w="4781" w:type="dxa"/>
            <w:vMerge w:val="continue"/>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color w:val="000000"/>
              </w:rPr>
            </w:pPr>
          </w:p>
        </w:tc>
        <w:tc>
          <w:tcPr>
            <w:tcW w:w="3298" w:type="dxa"/>
            <w:vMerge w:val="continue"/>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47"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1</w:t>
            </w:r>
          </w:p>
        </w:tc>
        <w:tc>
          <w:tcPr>
            <w:tcW w:w="4781" w:type="dxa"/>
            <w:tcBorders>
              <w:top w:val="single" w:color="auto" w:sz="4" w:space="0"/>
              <w:left w:val="nil"/>
              <w:bottom w:val="single" w:color="auto" w:sz="4" w:space="0"/>
              <w:right w:val="single" w:color="auto" w:sz="4" w:space="0"/>
            </w:tcBorders>
            <w:vAlign w:val="center"/>
          </w:tcPr>
          <w:p>
            <w:pPr>
              <w:snapToGrid w:val="0"/>
              <w:jc w:val="center"/>
              <w:rPr>
                <w:rFonts w:hint="eastAsia" w:ascii="宋体" w:hAnsi="宋体" w:eastAsia="宋体" w:cs="宋体"/>
                <w:color w:val="000000"/>
                <w:lang w:eastAsia="zh-CN"/>
              </w:rPr>
            </w:pPr>
            <w:r>
              <w:rPr>
                <w:rFonts w:hint="eastAsia" w:ascii="宋体" w:hAnsi="宋体" w:eastAsia="宋体" w:cs="宋体"/>
                <w:color w:val="000000"/>
                <w:lang w:eastAsia="zh-CN"/>
              </w:rPr>
              <w:t>承载能力</w:t>
            </w:r>
          </w:p>
        </w:tc>
        <w:tc>
          <w:tcPr>
            <w:tcW w:w="3298" w:type="dxa"/>
            <w:tcBorders>
              <w:top w:val="single" w:color="auto" w:sz="4" w:space="0"/>
              <w:left w:val="nil"/>
              <w:bottom w:val="single" w:color="auto" w:sz="4" w:space="0"/>
              <w:right w:val="single" w:color="auto" w:sz="4" w:space="0"/>
            </w:tcBorders>
            <w:vAlign w:val="center"/>
          </w:tcPr>
          <w:p>
            <w:pPr>
              <w:snapToGrid w:val="0"/>
              <w:jc w:val="center"/>
              <w:rPr>
                <w:rFonts w:hint="eastAsia" w:ascii="宋体" w:hAnsi="宋体" w:eastAsia="宋体" w:cs="宋体"/>
                <w:color w:val="000000"/>
                <w:lang w:val="en-US" w:eastAsia="zh-CN"/>
              </w:rPr>
            </w:pPr>
            <w:r>
              <w:rPr>
                <w:rFonts w:hint="eastAsia" w:ascii="宋体" w:hAnsi="宋体" w:eastAsia="宋体" w:cs="宋体"/>
                <w:color w:val="000000"/>
                <w:lang w:eastAsia="zh-CN"/>
              </w:rPr>
              <w:t>CJ/T 121</w:t>
            </w:r>
            <w:r>
              <w:rPr>
                <w:rFonts w:hint="eastAsia" w:ascii="宋体" w:hAnsi="宋体" w:eastAsia="宋体" w:cs="宋体"/>
                <w:color w:val="000000"/>
                <w:lang w:val="en-US" w:eastAsia="zh-CN"/>
              </w:rPr>
              <w:t>-2000</w:t>
            </w:r>
          </w:p>
        </w:tc>
      </w:tr>
    </w:tbl>
    <w:p>
      <w:pPr>
        <w:snapToGrid w:val="0"/>
        <w:spacing w:line="440" w:lineRule="exact"/>
        <w:jc w:val="center"/>
        <w:rPr>
          <w:rFonts w:hint="eastAsia" w:ascii="宋体" w:hAnsi="宋体" w:eastAsia="宋体" w:cs="宋体"/>
          <w:color w:val="000000"/>
        </w:rPr>
      </w:pPr>
      <w:r>
        <w:rPr>
          <w:rFonts w:hint="eastAsia" w:ascii="宋体" w:hAnsi="宋体" w:eastAsia="宋体" w:cs="宋体"/>
          <w:color w:val="000000"/>
          <w:lang w:eastAsia="zh-CN"/>
        </w:rPr>
        <w:t>表</w:t>
      </w:r>
      <w:r>
        <w:rPr>
          <w:rFonts w:hint="eastAsia" w:ascii="宋体" w:hAnsi="宋体" w:eastAsia="宋体" w:cs="宋体"/>
          <w:color w:val="000000"/>
          <w:lang w:val="en-US" w:eastAsia="zh-CN"/>
        </w:rPr>
        <w:t>5 玻璃纤维增强塑料复合检查井盖</w:t>
      </w:r>
    </w:p>
    <w:tbl>
      <w:tblPr>
        <w:tblStyle w:val="4"/>
        <w:tblW w:w="87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7"/>
        <w:gridCol w:w="4781"/>
        <w:gridCol w:w="32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0" w:hRule="atLeast"/>
          <w:jc w:val="center"/>
        </w:trPr>
        <w:tc>
          <w:tcPr>
            <w:tcW w:w="647" w:type="dxa"/>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宋体" w:hAnsi="宋体" w:eastAsia="宋体" w:cs="宋体"/>
                <w:color w:val="000000"/>
              </w:rPr>
            </w:pPr>
            <w:r>
              <w:rPr>
                <w:rFonts w:hint="eastAsia" w:ascii="宋体" w:hAnsi="宋体" w:eastAsia="宋体" w:cs="宋体"/>
                <w:color w:val="000000"/>
              </w:rPr>
              <w:t>序号</w:t>
            </w:r>
          </w:p>
        </w:tc>
        <w:tc>
          <w:tcPr>
            <w:tcW w:w="4781" w:type="dxa"/>
            <w:vMerge w:val="restart"/>
            <w:tcBorders>
              <w:top w:val="single" w:color="auto" w:sz="4" w:space="0"/>
              <w:left w:val="nil"/>
              <w:bottom w:val="single" w:color="auto" w:sz="4" w:space="0"/>
              <w:right w:val="single" w:color="auto" w:sz="4" w:space="0"/>
            </w:tcBorders>
            <w:vAlign w:val="center"/>
          </w:tcPr>
          <w:p>
            <w:pPr>
              <w:snapToGrid w:val="0"/>
              <w:jc w:val="center"/>
              <w:rPr>
                <w:rFonts w:hint="eastAsia" w:ascii="宋体" w:hAnsi="宋体" w:eastAsia="宋体" w:cs="宋体"/>
                <w:color w:val="000000"/>
              </w:rPr>
            </w:pPr>
            <w:r>
              <w:rPr>
                <w:rFonts w:hint="eastAsia" w:ascii="宋体" w:hAnsi="宋体" w:eastAsia="宋体" w:cs="宋体"/>
                <w:color w:val="000000"/>
              </w:rPr>
              <w:t>检验项目</w:t>
            </w:r>
          </w:p>
        </w:tc>
        <w:tc>
          <w:tcPr>
            <w:tcW w:w="3298" w:type="dxa"/>
            <w:vMerge w:val="restart"/>
            <w:tcBorders>
              <w:top w:val="single" w:color="auto" w:sz="4" w:space="0"/>
              <w:left w:val="nil"/>
              <w:bottom w:val="single" w:color="auto" w:sz="4" w:space="0"/>
              <w:right w:val="single" w:color="auto" w:sz="4" w:space="0"/>
            </w:tcBorders>
            <w:vAlign w:val="center"/>
          </w:tcPr>
          <w:p>
            <w:pPr>
              <w:snapToGrid w:val="0"/>
              <w:jc w:val="center"/>
              <w:rPr>
                <w:rFonts w:hint="eastAsia" w:ascii="宋体" w:hAnsi="宋体" w:eastAsia="宋体" w:cs="宋体"/>
                <w:color w:val="000000"/>
              </w:rPr>
            </w:pPr>
            <w:r>
              <w:rPr>
                <w:rFonts w:hint="eastAsia" w:ascii="宋体" w:hAnsi="宋体" w:eastAsia="宋体" w:cs="宋体"/>
                <w:color w:val="000000"/>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64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rPr>
            </w:pPr>
          </w:p>
        </w:tc>
        <w:tc>
          <w:tcPr>
            <w:tcW w:w="4781" w:type="dxa"/>
            <w:vMerge w:val="continue"/>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color w:val="000000"/>
              </w:rPr>
            </w:pPr>
          </w:p>
        </w:tc>
        <w:tc>
          <w:tcPr>
            <w:tcW w:w="3298" w:type="dxa"/>
            <w:vMerge w:val="continue"/>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47"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1</w:t>
            </w:r>
          </w:p>
        </w:tc>
        <w:tc>
          <w:tcPr>
            <w:tcW w:w="4781" w:type="dxa"/>
            <w:tcBorders>
              <w:top w:val="single" w:color="auto" w:sz="4" w:space="0"/>
              <w:left w:val="nil"/>
              <w:bottom w:val="single" w:color="auto" w:sz="4" w:space="0"/>
              <w:right w:val="single" w:color="auto" w:sz="4" w:space="0"/>
            </w:tcBorders>
            <w:vAlign w:val="center"/>
          </w:tcPr>
          <w:p>
            <w:pPr>
              <w:snapToGrid w:val="0"/>
              <w:jc w:val="center"/>
              <w:rPr>
                <w:rFonts w:hint="eastAsia" w:ascii="宋体" w:hAnsi="宋体" w:eastAsia="宋体" w:cs="宋体"/>
                <w:color w:val="000000"/>
                <w:lang w:eastAsia="zh-CN"/>
              </w:rPr>
            </w:pPr>
            <w:r>
              <w:rPr>
                <w:rFonts w:hint="eastAsia" w:ascii="宋体" w:hAnsi="宋体" w:eastAsia="宋体" w:cs="宋体"/>
                <w:color w:val="000000"/>
                <w:lang w:eastAsia="zh-CN"/>
              </w:rPr>
              <w:t>承载能力</w:t>
            </w:r>
          </w:p>
        </w:tc>
        <w:tc>
          <w:tcPr>
            <w:tcW w:w="3298" w:type="dxa"/>
            <w:tcBorders>
              <w:top w:val="single" w:color="auto" w:sz="4" w:space="0"/>
              <w:left w:val="nil"/>
              <w:bottom w:val="single" w:color="auto" w:sz="4" w:space="0"/>
              <w:right w:val="single" w:color="auto" w:sz="4" w:space="0"/>
            </w:tcBorders>
            <w:vAlign w:val="center"/>
          </w:tcPr>
          <w:p>
            <w:pPr>
              <w:snapToGrid w:val="0"/>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JC/T</w:t>
            </w:r>
            <w:r>
              <w:rPr>
                <w:rFonts w:hint="eastAsia" w:ascii="宋体" w:hAnsi="宋体" w:eastAsia="宋体" w:cs="宋体"/>
                <w:color w:val="000000"/>
                <w:lang w:eastAsia="zh-CN"/>
              </w:rPr>
              <w:t xml:space="preserve"> </w:t>
            </w:r>
            <w:r>
              <w:rPr>
                <w:rFonts w:hint="eastAsia" w:ascii="宋体" w:hAnsi="宋体" w:eastAsia="宋体" w:cs="宋体"/>
                <w:color w:val="000000"/>
                <w:lang w:val="en-US" w:eastAsia="zh-CN"/>
              </w:rPr>
              <w:t>1009-2006</w:t>
            </w:r>
          </w:p>
        </w:tc>
      </w:tr>
    </w:tbl>
    <w:p>
      <w:pPr>
        <w:snapToGrid w:val="0"/>
        <w:spacing w:line="440" w:lineRule="exact"/>
        <w:jc w:val="center"/>
        <w:rPr>
          <w:rFonts w:hint="eastAsia" w:ascii="宋体" w:hAnsi="宋体" w:eastAsia="宋体" w:cs="宋体"/>
          <w:color w:val="000000"/>
        </w:rPr>
      </w:pPr>
      <w:r>
        <w:rPr>
          <w:rFonts w:hint="eastAsia" w:ascii="宋体" w:hAnsi="宋体" w:eastAsia="宋体" w:cs="宋体"/>
          <w:color w:val="000000"/>
          <w:lang w:eastAsia="zh-CN"/>
        </w:rPr>
        <w:t>表</w:t>
      </w:r>
      <w:r>
        <w:rPr>
          <w:rFonts w:hint="eastAsia" w:ascii="宋体" w:hAnsi="宋体" w:eastAsia="宋体" w:cs="宋体"/>
          <w:color w:val="000000"/>
          <w:lang w:val="en-US" w:eastAsia="zh-CN"/>
        </w:rPr>
        <w:t>6 聚合物基复合材料检查井盖</w:t>
      </w:r>
    </w:p>
    <w:tbl>
      <w:tblPr>
        <w:tblStyle w:val="4"/>
        <w:tblW w:w="87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7"/>
        <w:gridCol w:w="4781"/>
        <w:gridCol w:w="32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0" w:hRule="atLeast"/>
          <w:jc w:val="center"/>
        </w:trPr>
        <w:tc>
          <w:tcPr>
            <w:tcW w:w="647" w:type="dxa"/>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宋体" w:hAnsi="宋体" w:eastAsia="宋体" w:cs="宋体"/>
                <w:color w:val="000000"/>
              </w:rPr>
            </w:pPr>
            <w:r>
              <w:rPr>
                <w:rFonts w:hint="eastAsia" w:ascii="宋体" w:hAnsi="宋体" w:eastAsia="宋体" w:cs="宋体"/>
                <w:color w:val="000000"/>
              </w:rPr>
              <w:t>序号</w:t>
            </w:r>
          </w:p>
        </w:tc>
        <w:tc>
          <w:tcPr>
            <w:tcW w:w="4781" w:type="dxa"/>
            <w:vMerge w:val="restart"/>
            <w:tcBorders>
              <w:top w:val="single" w:color="auto" w:sz="4" w:space="0"/>
              <w:left w:val="nil"/>
              <w:bottom w:val="single" w:color="auto" w:sz="4" w:space="0"/>
              <w:right w:val="single" w:color="auto" w:sz="4" w:space="0"/>
            </w:tcBorders>
            <w:vAlign w:val="center"/>
          </w:tcPr>
          <w:p>
            <w:pPr>
              <w:snapToGrid w:val="0"/>
              <w:jc w:val="center"/>
              <w:rPr>
                <w:rFonts w:hint="eastAsia" w:ascii="宋体" w:hAnsi="宋体" w:eastAsia="宋体" w:cs="宋体"/>
                <w:color w:val="000000"/>
              </w:rPr>
            </w:pPr>
            <w:r>
              <w:rPr>
                <w:rFonts w:hint="eastAsia" w:ascii="宋体" w:hAnsi="宋体" w:eastAsia="宋体" w:cs="宋体"/>
                <w:color w:val="000000"/>
              </w:rPr>
              <w:t>检验项目</w:t>
            </w:r>
          </w:p>
        </w:tc>
        <w:tc>
          <w:tcPr>
            <w:tcW w:w="3298" w:type="dxa"/>
            <w:vMerge w:val="restart"/>
            <w:tcBorders>
              <w:top w:val="single" w:color="auto" w:sz="4" w:space="0"/>
              <w:left w:val="nil"/>
              <w:bottom w:val="single" w:color="auto" w:sz="4" w:space="0"/>
              <w:right w:val="single" w:color="auto" w:sz="4" w:space="0"/>
            </w:tcBorders>
            <w:vAlign w:val="center"/>
          </w:tcPr>
          <w:p>
            <w:pPr>
              <w:snapToGrid w:val="0"/>
              <w:jc w:val="center"/>
              <w:rPr>
                <w:rFonts w:hint="eastAsia" w:ascii="宋体" w:hAnsi="宋体" w:eastAsia="宋体" w:cs="宋体"/>
                <w:color w:val="000000"/>
              </w:rPr>
            </w:pPr>
            <w:r>
              <w:rPr>
                <w:rFonts w:hint="eastAsia" w:ascii="宋体" w:hAnsi="宋体" w:eastAsia="宋体" w:cs="宋体"/>
                <w:color w:val="000000"/>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64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rPr>
            </w:pPr>
          </w:p>
        </w:tc>
        <w:tc>
          <w:tcPr>
            <w:tcW w:w="4781" w:type="dxa"/>
            <w:vMerge w:val="continue"/>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color w:val="000000"/>
              </w:rPr>
            </w:pPr>
          </w:p>
        </w:tc>
        <w:tc>
          <w:tcPr>
            <w:tcW w:w="3298" w:type="dxa"/>
            <w:vMerge w:val="continue"/>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47"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1</w:t>
            </w:r>
          </w:p>
        </w:tc>
        <w:tc>
          <w:tcPr>
            <w:tcW w:w="4781" w:type="dxa"/>
            <w:tcBorders>
              <w:top w:val="single" w:color="auto" w:sz="4" w:space="0"/>
              <w:left w:val="nil"/>
              <w:bottom w:val="single" w:color="auto" w:sz="4" w:space="0"/>
              <w:right w:val="single" w:color="auto" w:sz="4" w:space="0"/>
            </w:tcBorders>
            <w:vAlign w:val="center"/>
          </w:tcPr>
          <w:p>
            <w:pPr>
              <w:snapToGrid w:val="0"/>
              <w:jc w:val="center"/>
              <w:rPr>
                <w:rFonts w:hint="eastAsia" w:ascii="宋体" w:hAnsi="宋体" w:eastAsia="宋体" w:cs="宋体"/>
                <w:color w:val="000000"/>
                <w:lang w:eastAsia="zh-CN"/>
              </w:rPr>
            </w:pPr>
            <w:r>
              <w:rPr>
                <w:rFonts w:hint="eastAsia" w:ascii="宋体" w:hAnsi="宋体" w:eastAsia="宋体" w:cs="宋体"/>
                <w:color w:val="000000"/>
                <w:lang w:eastAsia="zh-CN"/>
              </w:rPr>
              <w:t>承载能力</w:t>
            </w:r>
          </w:p>
        </w:tc>
        <w:tc>
          <w:tcPr>
            <w:tcW w:w="3298" w:type="dxa"/>
            <w:tcBorders>
              <w:top w:val="single" w:color="auto" w:sz="4" w:space="0"/>
              <w:left w:val="nil"/>
              <w:bottom w:val="single" w:color="auto" w:sz="4" w:space="0"/>
              <w:right w:val="single" w:color="auto" w:sz="4" w:space="0"/>
            </w:tcBorders>
            <w:vAlign w:val="center"/>
          </w:tcPr>
          <w:p>
            <w:pPr>
              <w:snapToGrid w:val="0"/>
              <w:jc w:val="center"/>
              <w:rPr>
                <w:rFonts w:hint="eastAsia" w:ascii="宋体" w:hAnsi="宋体" w:eastAsia="宋体" w:cs="宋体"/>
                <w:color w:val="000000"/>
                <w:lang w:val="en-US" w:eastAsia="zh-CN"/>
              </w:rPr>
            </w:pPr>
            <w:r>
              <w:rPr>
                <w:rFonts w:hint="eastAsia" w:ascii="宋体" w:hAnsi="宋体" w:eastAsia="宋体" w:cs="宋体"/>
                <w:color w:val="000000"/>
                <w:lang w:eastAsia="zh-CN"/>
              </w:rPr>
              <w:t xml:space="preserve">CJ/T </w:t>
            </w:r>
            <w:r>
              <w:rPr>
                <w:rFonts w:hint="eastAsia" w:ascii="宋体" w:hAnsi="宋体" w:eastAsia="宋体" w:cs="宋体"/>
                <w:color w:val="000000"/>
                <w:lang w:val="en-US" w:eastAsia="zh-CN"/>
              </w:rPr>
              <w:t>211-2005</w:t>
            </w:r>
          </w:p>
        </w:tc>
      </w:tr>
    </w:tbl>
    <w:p>
      <w:pPr>
        <w:snapToGrid w:val="0"/>
        <w:spacing w:line="440" w:lineRule="exact"/>
        <w:jc w:val="center"/>
        <w:rPr>
          <w:rFonts w:hint="eastAsia" w:ascii="宋体" w:hAnsi="宋体" w:eastAsia="宋体" w:cs="宋体"/>
          <w:color w:val="000000"/>
        </w:rPr>
      </w:pPr>
      <w:r>
        <w:rPr>
          <w:rFonts w:hint="eastAsia" w:ascii="宋体" w:hAnsi="宋体" w:eastAsia="宋体" w:cs="宋体"/>
          <w:color w:val="000000"/>
          <w:lang w:eastAsia="zh-CN"/>
        </w:rPr>
        <w:t>表</w:t>
      </w:r>
      <w:r>
        <w:rPr>
          <w:rFonts w:hint="eastAsia" w:ascii="宋体" w:hAnsi="宋体" w:eastAsia="宋体" w:cs="宋体"/>
          <w:color w:val="000000"/>
          <w:lang w:val="en-US" w:eastAsia="zh-CN"/>
        </w:rPr>
        <w:t>7 铸铁检查井盖</w:t>
      </w:r>
    </w:p>
    <w:tbl>
      <w:tblPr>
        <w:tblStyle w:val="4"/>
        <w:tblW w:w="87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7"/>
        <w:gridCol w:w="4781"/>
        <w:gridCol w:w="32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0" w:hRule="atLeast"/>
          <w:jc w:val="center"/>
        </w:trPr>
        <w:tc>
          <w:tcPr>
            <w:tcW w:w="647" w:type="dxa"/>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宋体" w:hAnsi="宋体" w:eastAsia="宋体" w:cs="宋体"/>
                <w:color w:val="000000"/>
              </w:rPr>
            </w:pPr>
            <w:r>
              <w:rPr>
                <w:rFonts w:hint="eastAsia" w:ascii="宋体" w:hAnsi="宋体" w:eastAsia="宋体" w:cs="宋体"/>
                <w:color w:val="000000"/>
              </w:rPr>
              <w:t>序号</w:t>
            </w:r>
          </w:p>
        </w:tc>
        <w:tc>
          <w:tcPr>
            <w:tcW w:w="4781" w:type="dxa"/>
            <w:vMerge w:val="restart"/>
            <w:tcBorders>
              <w:top w:val="single" w:color="auto" w:sz="4" w:space="0"/>
              <w:left w:val="nil"/>
              <w:bottom w:val="single" w:color="auto" w:sz="4" w:space="0"/>
              <w:right w:val="single" w:color="auto" w:sz="4" w:space="0"/>
            </w:tcBorders>
            <w:vAlign w:val="center"/>
          </w:tcPr>
          <w:p>
            <w:pPr>
              <w:snapToGrid w:val="0"/>
              <w:jc w:val="center"/>
              <w:rPr>
                <w:rFonts w:hint="eastAsia" w:ascii="宋体" w:hAnsi="宋体" w:eastAsia="宋体" w:cs="宋体"/>
                <w:color w:val="000000"/>
              </w:rPr>
            </w:pPr>
            <w:r>
              <w:rPr>
                <w:rFonts w:hint="eastAsia" w:ascii="宋体" w:hAnsi="宋体" w:eastAsia="宋体" w:cs="宋体"/>
                <w:color w:val="000000"/>
              </w:rPr>
              <w:t>检验项目</w:t>
            </w:r>
          </w:p>
        </w:tc>
        <w:tc>
          <w:tcPr>
            <w:tcW w:w="3298" w:type="dxa"/>
            <w:vMerge w:val="restart"/>
            <w:tcBorders>
              <w:top w:val="single" w:color="auto" w:sz="4" w:space="0"/>
              <w:left w:val="nil"/>
              <w:bottom w:val="single" w:color="auto" w:sz="4" w:space="0"/>
              <w:right w:val="single" w:color="auto" w:sz="4" w:space="0"/>
            </w:tcBorders>
            <w:vAlign w:val="center"/>
          </w:tcPr>
          <w:p>
            <w:pPr>
              <w:snapToGrid w:val="0"/>
              <w:jc w:val="center"/>
              <w:rPr>
                <w:rFonts w:hint="eastAsia" w:ascii="宋体" w:hAnsi="宋体" w:eastAsia="宋体" w:cs="宋体"/>
                <w:color w:val="000000"/>
              </w:rPr>
            </w:pPr>
            <w:r>
              <w:rPr>
                <w:rFonts w:hint="eastAsia" w:ascii="宋体" w:hAnsi="宋体" w:eastAsia="宋体" w:cs="宋体"/>
                <w:color w:val="000000"/>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64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rPr>
            </w:pPr>
          </w:p>
        </w:tc>
        <w:tc>
          <w:tcPr>
            <w:tcW w:w="4781" w:type="dxa"/>
            <w:vMerge w:val="continue"/>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color w:val="000000"/>
              </w:rPr>
            </w:pPr>
          </w:p>
        </w:tc>
        <w:tc>
          <w:tcPr>
            <w:tcW w:w="3298" w:type="dxa"/>
            <w:vMerge w:val="continue"/>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47"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1</w:t>
            </w:r>
          </w:p>
        </w:tc>
        <w:tc>
          <w:tcPr>
            <w:tcW w:w="4781" w:type="dxa"/>
            <w:tcBorders>
              <w:top w:val="single" w:color="auto" w:sz="4" w:space="0"/>
              <w:left w:val="nil"/>
              <w:bottom w:val="single" w:color="auto" w:sz="4" w:space="0"/>
              <w:right w:val="single" w:color="auto" w:sz="4" w:space="0"/>
            </w:tcBorders>
            <w:vAlign w:val="center"/>
          </w:tcPr>
          <w:p>
            <w:pPr>
              <w:snapToGrid w:val="0"/>
              <w:jc w:val="center"/>
              <w:rPr>
                <w:rFonts w:hint="eastAsia" w:ascii="宋体" w:hAnsi="宋体" w:eastAsia="宋体" w:cs="宋体"/>
                <w:color w:val="000000"/>
                <w:lang w:eastAsia="zh-CN"/>
              </w:rPr>
            </w:pPr>
            <w:r>
              <w:rPr>
                <w:rFonts w:hint="eastAsia" w:ascii="宋体" w:hAnsi="宋体" w:eastAsia="宋体" w:cs="宋体"/>
                <w:color w:val="000000"/>
                <w:lang w:eastAsia="zh-CN"/>
              </w:rPr>
              <w:t>承载能力</w:t>
            </w:r>
          </w:p>
        </w:tc>
        <w:tc>
          <w:tcPr>
            <w:tcW w:w="3298" w:type="dxa"/>
            <w:tcBorders>
              <w:top w:val="single" w:color="auto" w:sz="4" w:space="0"/>
              <w:left w:val="nil"/>
              <w:bottom w:val="single" w:color="auto" w:sz="4" w:space="0"/>
              <w:right w:val="single" w:color="auto" w:sz="4" w:space="0"/>
            </w:tcBorders>
            <w:vAlign w:val="center"/>
          </w:tcPr>
          <w:p>
            <w:pPr>
              <w:snapToGrid w:val="0"/>
              <w:jc w:val="center"/>
              <w:rPr>
                <w:rFonts w:hint="eastAsia" w:ascii="宋体" w:hAnsi="宋体" w:eastAsia="宋体" w:cs="宋体"/>
                <w:color w:val="000000"/>
                <w:lang w:val="en-US" w:eastAsia="zh-CN"/>
              </w:rPr>
            </w:pPr>
            <w:r>
              <w:rPr>
                <w:rFonts w:hint="eastAsia" w:ascii="宋体" w:hAnsi="宋体" w:eastAsia="宋体" w:cs="宋体"/>
                <w:color w:val="000000"/>
                <w:lang w:eastAsia="zh-CN"/>
              </w:rPr>
              <w:t xml:space="preserve">CJ/T </w:t>
            </w:r>
            <w:r>
              <w:rPr>
                <w:rFonts w:hint="eastAsia" w:ascii="宋体" w:hAnsi="宋体" w:eastAsia="宋体" w:cs="宋体"/>
                <w:color w:val="000000"/>
                <w:lang w:val="en-US" w:eastAsia="zh-CN"/>
              </w:rPr>
              <w:t>511-2017</w:t>
            </w:r>
          </w:p>
        </w:tc>
      </w:tr>
    </w:tbl>
    <w:p>
      <w:pPr>
        <w:adjustRightInd w:val="0"/>
        <w:snapToGrid w:val="0"/>
        <w:spacing w:line="440" w:lineRule="exact"/>
        <w:ind w:firstLine="420" w:firstLineChars="200"/>
        <w:rPr>
          <w:rFonts w:hint="eastAsia" w:ascii="宋体" w:hAnsi="宋体" w:eastAsia="宋体" w:cs="宋体"/>
          <w:color w:val="000000"/>
        </w:rPr>
      </w:pPr>
      <w:r>
        <w:rPr>
          <w:rFonts w:hint="eastAsia" w:ascii="宋体" w:hAnsi="宋体" w:eastAsia="宋体" w:cs="宋体"/>
          <w:color w:val="000000"/>
        </w:rPr>
        <w:t>执行企业标准、团体标准、地方标准的产品，检验项目参照上述内容执行。</w:t>
      </w:r>
    </w:p>
    <w:p>
      <w:pPr>
        <w:snapToGrid w:val="0"/>
        <w:spacing w:line="440" w:lineRule="exact"/>
        <w:ind w:firstLine="420" w:firstLineChars="200"/>
        <w:rPr>
          <w:rFonts w:hint="eastAsia" w:ascii="宋体" w:hAnsi="宋体" w:eastAsia="宋体" w:cs="宋体"/>
          <w:color w:val="000000"/>
        </w:rPr>
      </w:pPr>
      <w:r>
        <w:rPr>
          <w:rFonts w:hint="eastAsia" w:ascii="宋体" w:hAnsi="宋体" w:eastAsia="宋体" w:cs="宋体"/>
          <w:color w:val="000000"/>
        </w:rPr>
        <w:t>凡是注日期的文件，其随后所有的修改单（不包括勘误的内容）或修订版不适用于本细则。凡是不注日期的文件，其最新版本适用于本细则。</w:t>
      </w:r>
    </w:p>
    <w:p>
      <w:pPr>
        <w:rPr>
          <w:rFonts w:ascii="Times New Roman" w:hAnsi="Times New Roman" w:eastAsia="黑体" w:cs="Times New Roman"/>
          <w:color w:val="000000"/>
        </w:rPr>
      </w:pPr>
    </w:p>
    <w:p>
      <w:pPr>
        <w:spacing w:line="440" w:lineRule="exact"/>
        <w:rPr>
          <w:rFonts w:ascii="Times New Roman" w:hAnsi="Times New Roman" w:eastAsia="黑体" w:cs="Times New Roman"/>
          <w:color w:val="000000"/>
        </w:rPr>
      </w:pPr>
      <w:r>
        <w:rPr>
          <w:rFonts w:ascii="Times New Roman" w:hAnsi="Times New Roman" w:eastAsia="黑体" w:cs="Times New Roman"/>
          <w:color w:val="000000"/>
        </w:rPr>
        <w:t>3 判定规则</w:t>
      </w:r>
    </w:p>
    <w:p>
      <w:pPr>
        <w:snapToGrid w:val="0"/>
        <w:spacing w:line="440" w:lineRule="exact"/>
        <w:rPr>
          <w:rFonts w:ascii="Times New Roman" w:hAnsi="Times New Roman" w:cs="Times New Roman"/>
          <w:color w:val="000000"/>
        </w:rPr>
      </w:pPr>
      <w:r>
        <w:rPr>
          <w:rFonts w:ascii="Times New Roman" w:hAnsi="Times New Roman" w:cs="Times New Roman"/>
          <w:color w:val="000000"/>
        </w:rPr>
        <w:t>3.1依据标准</w:t>
      </w:r>
    </w:p>
    <w:p>
      <w:pPr>
        <w:snapToGrid w:val="0"/>
        <w:spacing w:line="440" w:lineRule="exact"/>
        <w:ind w:firstLine="420" w:firstLineChars="200"/>
        <w:rPr>
          <w:rFonts w:hint="eastAsia" w:ascii="宋体" w:hAnsi="宋体" w:eastAsia="宋体" w:cs="宋体"/>
          <w:color w:val="000000"/>
          <w:lang w:val="en-US" w:eastAsia="zh-CN"/>
        </w:rPr>
      </w:pPr>
      <w:r>
        <w:rPr>
          <w:rFonts w:hint="eastAsia" w:ascii="宋体" w:hAnsi="宋体" w:eastAsia="宋体" w:cs="宋体"/>
          <w:color w:val="000000"/>
          <w:lang w:val="en-US" w:eastAsia="zh-CN"/>
        </w:rPr>
        <w:t>GB/T 23858-2009 检查井盖</w:t>
      </w:r>
    </w:p>
    <w:p>
      <w:pPr>
        <w:snapToGrid w:val="0"/>
        <w:spacing w:line="440" w:lineRule="exact"/>
        <w:ind w:firstLine="420" w:firstLineChars="200"/>
        <w:rPr>
          <w:rFonts w:hint="eastAsia" w:ascii="宋体" w:hAnsi="宋体" w:eastAsia="宋体" w:cs="宋体"/>
          <w:color w:val="000000"/>
          <w:lang w:val="en-US" w:eastAsia="zh-CN"/>
        </w:rPr>
      </w:pPr>
      <w:r>
        <w:rPr>
          <w:rFonts w:hint="eastAsia" w:ascii="宋体" w:hAnsi="宋体" w:eastAsia="宋体" w:cs="宋体"/>
          <w:color w:val="000000"/>
          <w:lang w:val="en-US" w:eastAsia="zh-CN"/>
        </w:rPr>
        <w:t>GB/T 26537-2011 钢纤维混凝土检查井盖</w:t>
      </w:r>
    </w:p>
    <w:p>
      <w:pPr>
        <w:snapToGrid w:val="0"/>
        <w:spacing w:line="440" w:lineRule="exact"/>
        <w:ind w:firstLine="420" w:firstLineChars="200"/>
        <w:rPr>
          <w:rFonts w:hint="eastAsia" w:ascii="宋体" w:hAnsi="宋体" w:eastAsia="宋体" w:cs="宋体"/>
          <w:color w:val="000000"/>
          <w:lang w:val="en-US" w:eastAsia="zh-CN"/>
        </w:rPr>
      </w:pPr>
      <w:r>
        <w:rPr>
          <w:rFonts w:hint="eastAsia" w:ascii="宋体" w:hAnsi="宋体" w:eastAsia="宋体" w:cs="宋体"/>
          <w:color w:val="000000"/>
          <w:lang w:val="en-US" w:eastAsia="zh-CN"/>
        </w:rPr>
        <w:t>JC 889-2001 钢纤维混凝土检查井盖</w:t>
      </w:r>
    </w:p>
    <w:p>
      <w:pPr>
        <w:snapToGrid w:val="0"/>
        <w:spacing w:line="440" w:lineRule="exact"/>
        <w:ind w:firstLine="420" w:firstLineChars="200"/>
        <w:rPr>
          <w:rFonts w:hint="eastAsia" w:ascii="宋体" w:hAnsi="宋体" w:eastAsia="宋体" w:cs="宋体"/>
          <w:color w:val="000000"/>
          <w:lang w:val="en-US" w:eastAsia="zh-CN"/>
        </w:rPr>
      </w:pPr>
      <w:r>
        <w:rPr>
          <w:rFonts w:hint="eastAsia" w:ascii="宋体" w:hAnsi="宋体" w:eastAsia="宋体" w:cs="宋体"/>
          <w:color w:val="000000"/>
          <w:lang w:val="en-US" w:eastAsia="zh-CN"/>
        </w:rPr>
        <w:t>JC/T</w:t>
      </w:r>
      <w:r>
        <w:rPr>
          <w:rFonts w:hint="eastAsia" w:ascii="宋体" w:hAnsi="宋体" w:eastAsia="宋体" w:cs="宋体"/>
          <w:color w:val="000000"/>
          <w:lang w:eastAsia="zh-CN"/>
        </w:rPr>
        <w:t xml:space="preserve"> </w:t>
      </w:r>
      <w:r>
        <w:rPr>
          <w:rFonts w:hint="eastAsia" w:ascii="宋体" w:hAnsi="宋体" w:eastAsia="宋体" w:cs="宋体"/>
          <w:color w:val="000000"/>
          <w:lang w:val="en-US" w:eastAsia="zh-CN"/>
        </w:rPr>
        <w:t>1009-2006 玻璃纤维增强塑料复合检查井盖</w:t>
      </w:r>
    </w:p>
    <w:p>
      <w:pPr>
        <w:snapToGrid w:val="0"/>
        <w:spacing w:line="440" w:lineRule="exact"/>
        <w:ind w:firstLine="420" w:firstLineChars="200"/>
        <w:rPr>
          <w:rFonts w:hint="eastAsia" w:ascii="宋体" w:hAnsi="宋体" w:eastAsia="宋体" w:cs="宋体"/>
          <w:color w:val="000000"/>
          <w:lang w:eastAsia="zh-CN"/>
        </w:rPr>
      </w:pPr>
      <w:r>
        <w:rPr>
          <w:rFonts w:hint="eastAsia" w:ascii="宋体" w:hAnsi="宋体" w:eastAsia="宋体" w:cs="宋体"/>
          <w:color w:val="000000"/>
          <w:lang w:eastAsia="zh-CN"/>
        </w:rPr>
        <w:t>CJ/T 121</w:t>
      </w:r>
      <w:r>
        <w:rPr>
          <w:rFonts w:hint="eastAsia" w:ascii="宋体" w:hAnsi="宋体" w:eastAsia="宋体" w:cs="宋体"/>
          <w:color w:val="000000"/>
          <w:lang w:val="en-US" w:eastAsia="zh-CN"/>
        </w:rPr>
        <w:t>-2000</w:t>
      </w:r>
      <w:r>
        <w:rPr>
          <w:rFonts w:hint="eastAsia" w:ascii="宋体" w:hAnsi="宋体" w:eastAsia="宋体" w:cs="宋体"/>
          <w:color w:val="000000"/>
          <w:lang w:eastAsia="zh-CN"/>
        </w:rPr>
        <w:t xml:space="preserve"> 再生树脂复合材料检查井盖</w:t>
      </w:r>
    </w:p>
    <w:p>
      <w:pPr>
        <w:snapToGrid w:val="0"/>
        <w:spacing w:line="440" w:lineRule="exact"/>
        <w:ind w:firstLine="420" w:firstLineChars="200"/>
        <w:rPr>
          <w:rFonts w:hint="eastAsia" w:ascii="宋体" w:hAnsi="宋体" w:eastAsia="宋体" w:cs="宋体"/>
          <w:color w:val="000000"/>
          <w:lang w:val="en-US" w:eastAsia="zh-CN"/>
        </w:rPr>
      </w:pPr>
      <w:r>
        <w:rPr>
          <w:rFonts w:hint="eastAsia" w:ascii="宋体" w:hAnsi="宋体" w:eastAsia="宋体" w:cs="宋体"/>
          <w:color w:val="000000"/>
          <w:lang w:eastAsia="zh-CN"/>
        </w:rPr>
        <w:t xml:space="preserve">CJ/T </w:t>
      </w:r>
      <w:r>
        <w:rPr>
          <w:rFonts w:hint="eastAsia" w:ascii="宋体" w:hAnsi="宋体" w:eastAsia="宋体" w:cs="宋体"/>
          <w:color w:val="000000"/>
          <w:lang w:val="en-US" w:eastAsia="zh-CN"/>
        </w:rPr>
        <w:t>211-2005 聚合物基复合材料检查井盖</w:t>
      </w:r>
    </w:p>
    <w:p>
      <w:pPr>
        <w:snapToGrid w:val="0"/>
        <w:spacing w:line="440" w:lineRule="exact"/>
        <w:ind w:firstLine="420" w:firstLineChars="200"/>
        <w:rPr>
          <w:rFonts w:hint="eastAsia" w:ascii="宋体" w:hAnsi="宋体" w:eastAsia="宋体" w:cs="宋体"/>
          <w:color w:val="000000"/>
          <w:lang w:eastAsia="zh-CN"/>
        </w:rPr>
      </w:pPr>
      <w:r>
        <w:rPr>
          <w:rFonts w:hint="eastAsia" w:ascii="宋体" w:hAnsi="宋体" w:eastAsia="宋体" w:cs="宋体"/>
          <w:color w:val="000000"/>
          <w:lang w:eastAsia="zh-CN"/>
        </w:rPr>
        <w:t xml:space="preserve">CJ/T </w:t>
      </w:r>
      <w:r>
        <w:rPr>
          <w:rFonts w:hint="eastAsia" w:ascii="宋体" w:hAnsi="宋体" w:eastAsia="宋体" w:cs="宋体"/>
          <w:color w:val="000000"/>
          <w:lang w:val="en-US" w:eastAsia="zh-CN"/>
        </w:rPr>
        <w:t>511-2017 铸铁检查井盖</w:t>
      </w:r>
    </w:p>
    <w:p>
      <w:pPr>
        <w:snapToGrid w:val="0"/>
        <w:spacing w:line="440" w:lineRule="exact"/>
        <w:ind w:firstLine="420" w:firstLineChars="200"/>
        <w:rPr>
          <w:rFonts w:hint="eastAsia" w:ascii="宋体" w:hAnsi="宋体" w:eastAsia="宋体" w:cs="宋体"/>
          <w:color w:val="000000"/>
        </w:rPr>
      </w:pPr>
      <w:r>
        <w:rPr>
          <w:rFonts w:hint="eastAsia" w:ascii="宋体" w:hAnsi="宋体" w:eastAsia="宋体" w:cs="宋体"/>
          <w:color w:val="000000"/>
        </w:rPr>
        <w:t>现行有效的企业标准、团体标准、地方标准及产品明示质量要求</w:t>
      </w:r>
    </w:p>
    <w:p>
      <w:pPr>
        <w:snapToGrid w:val="0"/>
        <w:spacing w:line="440" w:lineRule="exact"/>
        <w:rPr>
          <w:rFonts w:ascii="Times New Roman" w:hAnsi="Times New Roman" w:cs="Times New Roman"/>
          <w:color w:val="000000"/>
        </w:rPr>
      </w:pPr>
      <w:r>
        <w:rPr>
          <w:rFonts w:ascii="Times New Roman" w:hAnsi="Times New Roman" w:cs="Times New Roman"/>
          <w:color w:val="000000"/>
        </w:rPr>
        <w:t>3.2判定原则</w:t>
      </w:r>
    </w:p>
    <w:p>
      <w:pPr>
        <w:snapToGrid w:val="0"/>
        <w:spacing w:line="440" w:lineRule="exact"/>
        <w:ind w:firstLine="420" w:firstLineChars="200"/>
        <w:rPr>
          <w:rFonts w:ascii="Times New Roman" w:hAnsi="Times New Roman" w:cs="Times New Roman"/>
          <w:color w:val="000000"/>
        </w:rPr>
      </w:pPr>
      <w:r>
        <w:rPr>
          <w:rFonts w:ascii="Times New Roman" w:hAnsi="Times New Roman"/>
          <w:color w:val="000000"/>
          <w:szCs w:val="21"/>
        </w:rPr>
        <w:t>经检验，检验项目全部合格，判定为被抽查产品所检项目未发现不合格</w:t>
      </w:r>
      <w:r>
        <w:rPr>
          <w:rFonts w:ascii="Times New Roman" w:hAnsi="Times New Roman" w:cs="Times New Roman"/>
          <w:color w:val="000000"/>
        </w:rPr>
        <w:t>；检验项目中任一项或一项以上不合格，判定为被抽查产品不合格。</w:t>
      </w:r>
    </w:p>
    <w:p>
      <w:pPr>
        <w:snapToGrid w:val="0"/>
        <w:spacing w:line="440" w:lineRule="exact"/>
        <w:ind w:firstLine="417" w:firstLineChars="199"/>
        <w:rPr>
          <w:rFonts w:ascii="Times New Roman" w:hAnsi="Times New Roman" w:cs="Times New Roman"/>
          <w:color w:val="000000"/>
        </w:rPr>
      </w:pPr>
      <w:r>
        <w:rPr>
          <w:rFonts w:ascii="Times New Roman" w:hAnsi="Times New Roman" w:cs="Times New Roman"/>
          <w:color w:val="000000"/>
        </w:rPr>
        <w:t>若被检产品明示的质量要求高于本细则中检验项目依据的标准要求时，应按被检产品明示的质量要求判定。</w:t>
      </w:r>
    </w:p>
    <w:p>
      <w:pPr>
        <w:snapToGrid w:val="0"/>
        <w:spacing w:line="440" w:lineRule="exact"/>
        <w:ind w:firstLine="417" w:firstLineChars="199"/>
        <w:rPr>
          <w:rFonts w:ascii="Times New Roman" w:hAnsi="Times New Roman" w:cs="Times New Roman"/>
          <w:color w:val="000000"/>
        </w:rPr>
      </w:pPr>
      <w:r>
        <w:rPr>
          <w:rFonts w:ascii="Times New Roman" w:hAnsi="Times New Roman" w:cs="Times New Roman"/>
          <w:color w:val="000000"/>
        </w:rPr>
        <w:t>若被检产品明示的质量要求低于本细则中检验项目依据的强制性标准要求时，应按照强制性标准要求判定。</w:t>
      </w:r>
    </w:p>
    <w:p>
      <w:pPr>
        <w:snapToGrid w:val="0"/>
        <w:spacing w:line="440" w:lineRule="exact"/>
        <w:ind w:firstLine="417" w:firstLineChars="199"/>
        <w:rPr>
          <w:rFonts w:ascii="Times New Roman" w:hAnsi="Times New Roman" w:cs="Times New Roman"/>
          <w:color w:val="000000"/>
        </w:rPr>
      </w:pPr>
      <w:r>
        <w:rPr>
          <w:rFonts w:ascii="Times New Roman" w:hAnsi="Times New Roman" w:cs="Times New Roman"/>
          <w:color w:val="000000"/>
        </w:rPr>
        <w:t>若被检产品明示的质量要求低于或包含本细则中检验项目依据的推荐性标准要求时，应以被检产品明示的质量要求判定。</w:t>
      </w:r>
    </w:p>
    <w:p>
      <w:pPr>
        <w:snapToGrid w:val="0"/>
        <w:spacing w:line="440" w:lineRule="exact"/>
        <w:ind w:firstLine="417" w:firstLineChars="199"/>
        <w:rPr>
          <w:rFonts w:ascii="Times New Roman" w:hAnsi="Times New Roman" w:cs="Times New Roman"/>
          <w:color w:val="000000"/>
        </w:rPr>
      </w:pPr>
      <w:r>
        <w:rPr>
          <w:rFonts w:ascii="Times New Roman" w:hAnsi="Times New Roman" w:cs="Times New Roman"/>
          <w:color w:val="000000"/>
        </w:rPr>
        <w:t>若被检产品明示的质量要求缺少本细则中检验项目依据的强制性标准要求时，应按照强制性标准要求判定。</w:t>
      </w:r>
    </w:p>
    <w:p>
      <w:pPr>
        <w:snapToGrid w:val="0"/>
        <w:spacing w:line="440" w:lineRule="exact"/>
        <w:ind w:firstLine="417" w:firstLineChars="199"/>
        <w:rPr>
          <w:rFonts w:ascii="Times New Roman" w:hAnsi="Times New Roman" w:cs="Times New Roman"/>
          <w:color w:val="000000"/>
        </w:rPr>
      </w:pPr>
      <w:r>
        <w:rPr>
          <w:rFonts w:ascii="Times New Roman" w:hAnsi="Times New Roman" w:cs="Times New Roman"/>
          <w:color w:val="000000"/>
        </w:rPr>
        <w:t>若被检产品明示的质量要求缺少本细则中检验项目依据的推荐性标准要求时，该项目不参与判定。</w:t>
      </w:r>
    </w:p>
    <w:p>
      <w:pPr>
        <w:spacing w:line="440" w:lineRule="exact"/>
        <w:rPr>
          <w:rFonts w:ascii="Times New Roman" w:hAnsi="Times New Roman" w:cs="Times New Roman"/>
        </w:rPr>
      </w:pPr>
    </w:p>
    <w:p>
      <w:pPr>
        <w:snapToGrid w:val="0"/>
        <w:spacing w:line="440" w:lineRule="exact"/>
        <w:rPr>
          <w:rFonts w:hint="eastAsia"/>
          <w:color w:val="000000"/>
          <w:szCs w:val="21"/>
          <w:lang w:val="en-US" w:eastAsia="zh-CN"/>
        </w:rPr>
      </w:pPr>
      <w:r>
        <w:rPr>
          <w:rFonts w:hint="eastAsia" w:ascii="黑体" w:hAnsi="黑体" w:eastAsia="黑体" w:cs="黑体"/>
          <w:color w:val="000000"/>
          <w:szCs w:val="21"/>
          <w:lang w:val="en-US" w:eastAsia="zh-CN"/>
        </w:rPr>
        <w:t>4 附则</w:t>
      </w:r>
    </w:p>
    <w:p>
      <w:pPr>
        <w:snapToGrid w:val="0"/>
        <w:spacing w:line="440" w:lineRule="exact"/>
        <w:ind w:firstLine="420" w:firstLineChars="200"/>
        <w:rPr>
          <w:rFonts w:hint="eastAsia"/>
          <w:color w:val="000000"/>
          <w:szCs w:val="21"/>
          <w:highlight w:val="yellow"/>
        </w:rPr>
      </w:pPr>
      <w:r>
        <w:rPr>
          <w:rFonts w:hint="eastAsia" w:ascii="Times New Roman" w:hAnsi="Times New Roman"/>
          <w:color w:val="auto"/>
          <w:kern w:val="2"/>
          <w:sz w:val="21"/>
          <w:szCs w:val="21"/>
        </w:rPr>
        <w:t>本细则代替《省市场监管局关于发布202</w:t>
      </w:r>
      <w:r>
        <w:rPr>
          <w:rFonts w:hint="eastAsia" w:ascii="Times New Roman" w:hAnsi="Times New Roman"/>
          <w:color w:val="auto"/>
          <w:kern w:val="2"/>
          <w:sz w:val="21"/>
          <w:szCs w:val="21"/>
          <w:lang w:val="en-US" w:eastAsia="zh-CN"/>
        </w:rPr>
        <w:t>1</w:t>
      </w:r>
      <w:r>
        <w:rPr>
          <w:rFonts w:hint="eastAsia" w:ascii="Times New Roman" w:hAnsi="Times New Roman"/>
          <w:color w:val="auto"/>
          <w:kern w:val="2"/>
          <w:sz w:val="21"/>
          <w:szCs w:val="21"/>
        </w:rPr>
        <w:t>年版贵州省产品质量监督抽查实施细则（第一批）的公告》（</w:t>
      </w:r>
      <w:r>
        <w:rPr>
          <w:rFonts w:ascii="Times New Roman" w:hAnsi="Times New Roman"/>
          <w:color w:val="auto"/>
          <w:kern w:val="2"/>
          <w:sz w:val="21"/>
          <w:szCs w:val="21"/>
        </w:rPr>
        <w:t>黔市监公告〔202</w:t>
      </w:r>
      <w:r>
        <w:rPr>
          <w:rFonts w:hint="eastAsia" w:ascii="Times New Roman" w:hAnsi="Times New Roman"/>
          <w:color w:val="auto"/>
          <w:kern w:val="2"/>
          <w:sz w:val="21"/>
          <w:szCs w:val="21"/>
          <w:lang w:val="en-US" w:eastAsia="zh-CN"/>
        </w:rPr>
        <w:t>1</w:t>
      </w:r>
      <w:r>
        <w:rPr>
          <w:rFonts w:ascii="Times New Roman" w:hAnsi="Times New Roman"/>
          <w:color w:val="auto"/>
          <w:kern w:val="2"/>
          <w:sz w:val="21"/>
          <w:szCs w:val="21"/>
        </w:rPr>
        <w:t>〕</w:t>
      </w:r>
      <w:r>
        <w:rPr>
          <w:rFonts w:hint="eastAsia" w:ascii="Times New Roman" w:hAnsi="Times New Roman"/>
          <w:color w:val="auto"/>
          <w:kern w:val="2"/>
          <w:sz w:val="21"/>
          <w:szCs w:val="21"/>
          <w:lang w:val="en-US" w:eastAsia="zh-CN"/>
        </w:rPr>
        <w:t>37</w:t>
      </w:r>
      <w:bookmarkStart w:id="0" w:name="_GoBack"/>
      <w:bookmarkEnd w:id="0"/>
      <w:r>
        <w:rPr>
          <w:rFonts w:ascii="Times New Roman" w:hAnsi="Times New Roman"/>
          <w:color w:val="auto"/>
          <w:kern w:val="2"/>
          <w:sz w:val="21"/>
          <w:szCs w:val="21"/>
        </w:rPr>
        <w:t>号</w:t>
      </w:r>
      <w:r>
        <w:rPr>
          <w:rFonts w:hint="eastAsia" w:ascii="Times New Roman" w:hAnsi="Times New Roman"/>
          <w:color w:val="auto"/>
          <w:kern w:val="2"/>
          <w:sz w:val="21"/>
          <w:szCs w:val="21"/>
        </w:rPr>
        <w:t>）中的</w:t>
      </w:r>
      <w:r>
        <w:rPr>
          <w:rFonts w:hint="eastAsia"/>
          <w:color w:val="000000"/>
          <w:szCs w:val="21"/>
        </w:rPr>
        <w:t>《贵州省</w:t>
      </w:r>
      <w:r>
        <w:rPr>
          <w:rFonts w:hint="eastAsia"/>
          <w:color w:val="000000"/>
          <w:szCs w:val="21"/>
          <w:lang w:eastAsia="zh-CN"/>
        </w:rPr>
        <w:t>再生树脂复合材料检查井盖</w:t>
      </w:r>
      <w:r>
        <w:rPr>
          <w:rFonts w:hint="eastAsia"/>
          <w:color w:val="000000"/>
          <w:szCs w:val="21"/>
        </w:rPr>
        <w:t>产品质量监督抽查实施细则（</w:t>
      </w:r>
      <w:r>
        <w:rPr>
          <w:rFonts w:hint="eastAsia"/>
          <w:color w:val="000000"/>
          <w:szCs w:val="21"/>
          <w:lang w:val="en-US" w:eastAsia="zh-CN"/>
        </w:rPr>
        <w:t>2021年版</w:t>
      </w:r>
      <w:r>
        <w:rPr>
          <w:rFonts w:hint="eastAsia"/>
          <w:color w:val="000000"/>
          <w:szCs w:val="21"/>
        </w:rPr>
        <w:t>）》。</w:t>
      </w:r>
    </w:p>
    <w:p>
      <w:pPr>
        <w:spacing w:line="440" w:lineRule="exact"/>
        <w:rPr>
          <w:rFonts w:ascii="Times New Roman" w:hAnsi="Times New Roman" w:cs="Times New Roman"/>
        </w:rPr>
      </w:pPr>
    </w:p>
    <w:sectPr>
      <w:footerReference r:id="rId3" w:type="default"/>
      <w:pgSz w:w="11906" w:h="16838"/>
      <w:pgMar w:top="1644" w:right="1474" w:bottom="1644" w:left="1474" w:header="851" w:footer="1191"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9525">
                        <a:noFill/>
                      </a:ln>
                    </wps:spPr>
                    <wps:txbx>
                      <w:txbxContent>
                        <w:p>
                          <w:pPr>
                            <w:pStyle w:val="2"/>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rPr>
                            <w:t>1</w:t>
                          </w:r>
                          <w:r>
                            <w:rPr>
                              <w:rFonts w:ascii="Times New Roman" w:hAnsi="Times New Roman" w:cs="Times New Roman"/>
                            </w:rPr>
                            <w:fldChar w:fldCharType="end"/>
                          </w:r>
                        </w:p>
                      </w:txbxContent>
                    </wps:txbx>
                    <wps:bodyPr wrap="none" lIns="0" tIns="0" rIns="0" bIns="0" upright="true">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BYA&#10;AABkcnMvUEsBAhQAFAAAAAgAh07iQM6pebnPAAAABQEAAA8AAAAAAAAAAQAgAAAAOAAAAGRycy9k&#10;b3ducmV2LnhtbFBLAQIUABQAAAAIAIdO4kChoDOUvAEAAF0DAAAOAAAAAAAAAAEAIAAAADQBAABk&#10;cnMvZTJvRG9jLnhtbFBLBQYAAAAABgAGAFkBAABiBQAAAAA=&#10;">
              <v:fill on="f" focussize="0,0"/>
              <v:stroke on="f"/>
              <v:imagedata o:title=""/>
              <o:lock v:ext="edit" aspectratio="f"/>
              <v:textbox inset="0mm,0mm,0mm,0mm" style="mso-fit-shape-to-text:t;">
                <w:txbxContent>
                  <w:p>
                    <w:pPr>
                      <w:pStyle w:val="2"/>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rPr>
                      <w:t>1</w:t>
                    </w:r>
                    <w:r>
                      <w:rPr>
                        <w:rFonts w:ascii="Times New Roman" w:hAnsi="Times New Roman" w:cs="Times New Roma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yMTI5NjA5OTM5MzFmNGNiYTJiMDM0ZDY5NmIwNzEifQ=="/>
  </w:docVars>
  <w:rsids>
    <w:rsidRoot w:val="00E92697"/>
    <w:rsid w:val="00003146"/>
    <w:rsid w:val="00016AA6"/>
    <w:rsid w:val="00022BDC"/>
    <w:rsid w:val="00027B4B"/>
    <w:rsid w:val="000310AE"/>
    <w:rsid w:val="00040D0E"/>
    <w:rsid w:val="000578D6"/>
    <w:rsid w:val="00064603"/>
    <w:rsid w:val="000719BF"/>
    <w:rsid w:val="00081867"/>
    <w:rsid w:val="000920F0"/>
    <w:rsid w:val="000D644D"/>
    <w:rsid w:val="000D6DB2"/>
    <w:rsid w:val="000E3D64"/>
    <w:rsid w:val="000F2AB2"/>
    <w:rsid w:val="000F5072"/>
    <w:rsid w:val="00114D61"/>
    <w:rsid w:val="00166B17"/>
    <w:rsid w:val="00183BF6"/>
    <w:rsid w:val="001B0AE9"/>
    <w:rsid w:val="001B0BFE"/>
    <w:rsid w:val="001B270D"/>
    <w:rsid w:val="001C6390"/>
    <w:rsid w:val="001D0D9E"/>
    <w:rsid w:val="001E513B"/>
    <w:rsid w:val="0020108F"/>
    <w:rsid w:val="00205067"/>
    <w:rsid w:val="00205151"/>
    <w:rsid w:val="00216BAD"/>
    <w:rsid w:val="0021768E"/>
    <w:rsid w:val="00235140"/>
    <w:rsid w:val="00251BAB"/>
    <w:rsid w:val="00253FAD"/>
    <w:rsid w:val="00257AD2"/>
    <w:rsid w:val="0027768C"/>
    <w:rsid w:val="0028456F"/>
    <w:rsid w:val="00294E88"/>
    <w:rsid w:val="002A51CA"/>
    <w:rsid w:val="002B5415"/>
    <w:rsid w:val="002D13E6"/>
    <w:rsid w:val="002D613A"/>
    <w:rsid w:val="002F292F"/>
    <w:rsid w:val="0033070A"/>
    <w:rsid w:val="00336CBC"/>
    <w:rsid w:val="00340CC3"/>
    <w:rsid w:val="00365AF0"/>
    <w:rsid w:val="00375ECD"/>
    <w:rsid w:val="00382C71"/>
    <w:rsid w:val="0038712E"/>
    <w:rsid w:val="003B3421"/>
    <w:rsid w:val="003B3BD7"/>
    <w:rsid w:val="003B7C0E"/>
    <w:rsid w:val="003C6120"/>
    <w:rsid w:val="003D7D0E"/>
    <w:rsid w:val="00400285"/>
    <w:rsid w:val="004003DB"/>
    <w:rsid w:val="00400A62"/>
    <w:rsid w:val="00403439"/>
    <w:rsid w:val="00405FBA"/>
    <w:rsid w:val="00421E56"/>
    <w:rsid w:val="004237E8"/>
    <w:rsid w:val="004376C6"/>
    <w:rsid w:val="00464540"/>
    <w:rsid w:val="00467E5D"/>
    <w:rsid w:val="00480A1F"/>
    <w:rsid w:val="004846BD"/>
    <w:rsid w:val="0048569E"/>
    <w:rsid w:val="00495203"/>
    <w:rsid w:val="00495E07"/>
    <w:rsid w:val="00496D09"/>
    <w:rsid w:val="004B1F8E"/>
    <w:rsid w:val="0050252F"/>
    <w:rsid w:val="005046C0"/>
    <w:rsid w:val="005400B7"/>
    <w:rsid w:val="00545791"/>
    <w:rsid w:val="0056604E"/>
    <w:rsid w:val="00581C38"/>
    <w:rsid w:val="00595744"/>
    <w:rsid w:val="005A54A6"/>
    <w:rsid w:val="005A7BD6"/>
    <w:rsid w:val="005B5D49"/>
    <w:rsid w:val="005C7824"/>
    <w:rsid w:val="005D217D"/>
    <w:rsid w:val="005F63E4"/>
    <w:rsid w:val="006000B7"/>
    <w:rsid w:val="0060728F"/>
    <w:rsid w:val="006610A5"/>
    <w:rsid w:val="00681D10"/>
    <w:rsid w:val="00683F2D"/>
    <w:rsid w:val="006B676A"/>
    <w:rsid w:val="006D12B8"/>
    <w:rsid w:val="006E22D6"/>
    <w:rsid w:val="006E27D6"/>
    <w:rsid w:val="006E3882"/>
    <w:rsid w:val="00700041"/>
    <w:rsid w:val="00704CDE"/>
    <w:rsid w:val="00706214"/>
    <w:rsid w:val="0072222E"/>
    <w:rsid w:val="007225A6"/>
    <w:rsid w:val="00746B7D"/>
    <w:rsid w:val="00750264"/>
    <w:rsid w:val="007740F2"/>
    <w:rsid w:val="00776F6D"/>
    <w:rsid w:val="007818D2"/>
    <w:rsid w:val="00783ED0"/>
    <w:rsid w:val="00785E12"/>
    <w:rsid w:val="00787C0A"/>
    <w:rsid w:val="00795782"/>
    <w:rsid w:val="00796274"/>
    <w:rsid w:val="007C7023"/>
    <w:rsid w:val="007D256B"/>
    <w:rsid w:val="007E66DD"/>
    <w:rsid w:val="007E70EA"/>
    <w:rsid w:val="007F5C00"/>
    <w:rsid w:val="00823DC3"/>
    <w:rsid w:val="0083277C"/>
    <w:rsid w:val="00835534"/>
    <w:rsid w:val="008506A8"/>
    <w:rsid w:val="00851DD1"/>
    <w:rsid w:val="00874FB8"/>
    <w:rsid w:val="008A7A47"/>
    <w:rsid w:val="008B06D9"/>
    <w:rsid w:val="008B6046"/>
    <w:rsid w:val="008B6C3C"/>
    <w:rsid w:val="008B73D8"/>
    <w:rsid w:val="008B7437"/>
    <w:rsid w:val="008D76E7"/>
    <w:rsid w:val="008D7E10"/>
    <w:rsid w:val="008E68C4"/>
    <w:rsid w:val="008E77EB"/>
    <w:rsid w:val="008F06C7"/>
    <w:rsid w:val="008F4B94"/>
    <w:rsid w:val="008F563B"/>
    <w:rsid w:val="008F5D04"/>
    <w:rsid w:val="0093322A"/>
    <w:rsid w:val="009376D9"/>
    <w:rsid w:val="009567E7"/>
    <w:rsid w:val="00957BA6"/>
    <w:rsid w:val="009611DB"/>
    <w:rsid w:val="00991EDC"/>
    <w:rsid w:val="00996AD0"/>
    <w:rsid w:val="009A1EC3"/>
    <w:rsid w:val="009B45A4"/>
    <w:rsid w:val="009C43AD"/>
    <w:rsid w:val="009C63E3"/>
    <w:rsid w:val="009E76E7"/>
    <w:rsid w:val="009F0905"/>
    <w:rsid w:val="00A06B2C"/>
    <w:rsid w:val="00A15690"/>
    <w:rsid w:val="00A21DED"/>
    <w:rsid w:val="00A4256C"/>
    <w:rsid w:val="00A47F84"/>
    <w:rsid w:val="00A51077"/>
    <w:rsid w:val="00A73259"/>
    <w:rsid w:val="00A83F0B"/>
    <w:rsid w:val="00A878B7"/>
    <w:rsid w:val="00AA167D"/>
    <w:rsid w:val="00AA2DEE"/>
    <w:rsid w:val="00AA3D59"/>
    <w:rsid w:val="00AC098C"/>
    <w:rsid w:val="00AC3C24"/>
    <w:rsid w:val="00AC3CB1"/>
    <w:rsid w:val="00AC58D4"/>
    <w:rsid w:val="00AC667C"/>
    <w:rsid w:val="00AD644C"/>
    <w:rsid w:val="00AE0E1A"/>
    <w:rsid w:val="00B00721"/>
    <w:rsid w:val="00B456C2"/>
    <w:rsid w:val="00B5093C"/>
    <w:rsid w:val="00B54B0A"/>
    <w:rsid w:val="00B603A5"/>
    <w:rsid w:val="00B664BD"/>
    <w:rsid w:val="00B7576F"/>
    <w:rsid w:val="00B867E4"/>
    <w:rsid w:val="00B9109E"/>
    <w:rsid w:val="00B920D6"/>
    <w:rsid w:val="00B97CBD"/>
    <w:rsid w:val="00BA568D"/>
    <w:rsid w:val="00BB5863"/>
    <w:rsid w:val="00BD301E"/>
    <w:rsid w:val="00BD6198"/>
    <w:rsid w:val="00BF2BC7"/>
    <w:rsid w:val="00C044EA"/>
    <w:rsid w:val="00C06368"/>
    <w:rsid w:val="00C45A3A"/>
    <w:rsid w:val="00C606DF"/>
    <w:rsid w:val="00C85F95"/>
    <w:rsid w:val="00CB0C56"/>
    <w:rsid w:val="00CC6253"/>
    <w:rsid w:val="00CE1057"/>
    <w:rsid w:val="00D07254"/>
    <w:rsid w:val="00D1213B"/>
    <w:rsid w:val="00D46DC6"/>
    <w:rsid w:val="00D64489"/>
    <w:rsid w:val="00D67FA9"/>
    <w:rsid w:val="00D806F3"/>
    <w:rsid w:val="00D84488"/>
    <w:rsid w:val="00DA4D54"/>
    <w:rsid w:val="00DA63B3"/>
    <w:rsid w:val="00DB76EF"/>
    <w:rsid w:val="00DC65EF"/>
    <w:rsid w:val="00DE6EC8"/>
    <w:rsid w:val="00DF130F"/>
    <w:rsid w:val="00DF3607"/>
    <w:rsid w:val="00E018BC"/>
    <w:rsid w:val="00E03AA2"/>
    <w:rsid w:val="00E04813"/>
    <w:rsid w:val="00E211E6"/>
    <w:rsid w:val="00E22841"/>
    <w:rsid w:val="00E24FE4"/>
    <w:rsid w:val="00E279A2"/>
    <w:rsid w:val="00E40042"/>
    <w:rsid w:val="00E44775"/>
    <w:rsid w:val="00E450EF"/>
    <w:rsid w:val="00E54D11"/>
    <w:rsid w:val="00E64DF7"/>
    <w:rsid w:val="00E6790C"/>
    <w:rsid w:val="00E92697"/>
    <w:rsid w:val="00EA0E50"/>
    <w:rsid w:val="00EA165B"/>
    <w:rsid w:val="00EA2F59"/>
    <w:rsid w:val="00EA5A6A"/>
    <w:rsid w:val="00EC6773"/>
    <w:rsid w:val="00EE1473"/>
    <w:rsid w:val="00EE466B"/>
    <w:rsid w:val="00EE4FBF"/>
    <w:rsid w:val="00EE5BCE"/>
    <w:rsid w:val="00EF2653"/>
    <w:rsid w:val="00EF535A"/>
    <w:rsid w:val="00F16A10"/>
    <w:rsid w:val="00F2235D"/>
    <w:rsid w:val="00F24482"/>
    <w:rsid w:val="00F31E24"/>
    <w:rsid w:val="00F56DC5"/>
    <w:rsid w:val="00F651DD"/>
    <w:rsid w:val="00FA72D0"/>
    <w:rsid w:val="00FC03A0"/>
    <w:rsid w:val="00FE38CC"/>
    <w:rsid w:val="00FF4643"/>
    <w:rsid w:val="05BB125D"/>
    <w:rsid w:val="0A0C698D"/>
    <w:rsid w:val="12F07F48"/>
    <w:rsid w:val="176C3D2C"/>
    <w:rsid w:val="17FF3158"/>
    <w:rsid w:val="1A0D19E2"/>
    <w:rsid w:val="1E6C0D4B"/>
    <w:rsid w:val="1E8D559A"/>
    <w:rsid w:val="21300624"/>
    <w:rsid w:val="2BCE5B1B"/>
    <w:rsid w:val="2EE168EE"/>
    <w:rsid w:val="2F99535C"/>
    <w:rsid w:val="3D4F77A2"/>
    <w:rsid w:val="47D90BAE"/>
    <w:rsid w:val="485B206D"/>
    <w:rsid w:val="4D081E98"/>
    <w:rsid w:val="536C4A12"/>
    <w:rsid w:val="56436954"/>
    <w:rsid w:val="5655071B"/>
    <w:rsid w:val="5BE600E0"/>
    <w:rsid w:val="5DBF47FC"/>
    <w:rsid w:val="66AF6921"/>
    <w:rsid w:val="6B135315"/>
    <w:rsid w:val="6BCA7305"/>
    <w:rsid w:val="6F6B13D1"/>
    <w:rsid w:val="700C499A"/>
    <w:rsid w:val="72EC5D71"/>
    <w:rsid w:val="751B6DBB"/>
    <w:rsid w:val="76935AFF"/>
    <w:rsid w:val="7A334608"/>
    <w:rsid w:val="7D5913CE"/>
    <w:rsid w:val="7D8A6FA9"/>
    <w:rsid w:val="FFEF7DB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 w:type="character" w:customStyle="1" w:styleId="7">
    <w:name w:val="页眉 Char"/>
    <w:basedOn w:val="5"/>
    <w:link w:val="3"/>
    <w:qFormat/>
    <w:uiPriority w:val="99"/>
    <w:rPr>
      <w:rFonts w:ascii="Calibri" w:hAnsi="Calibri" w:eastAsia="宋体" w:cs="Calibri"/>
      <w:sz w:val="18"/>
      <w:szCs w:val="18"/>
    </w:rPr>
  </w:style>
  <w:style w:type="character" w:customStyle="1" w:styleId="8">
    <w:name w:val="页脚 Char"/>
    <w:basedOn w:val="5"/>
    <w:link w:val="2"/>
    <w:qFormat/>
    <w:uiPriority w:val="99"/>
    <w:rPr>
      <w:rFonts w:ascii="Calibri" w:hAnsi="Calibri" w:eastAsia="宋体" w:cs="Calibri"/>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1004</Words>
  <Characters>1182</Characters>
  <Lines>6</Lines>
  <Paragraphs>1</Paragraphs>
  <TotalTime>0</TotalTime>
  <ScaleCrop>false</ScaleCrop>
  <LinksUpToDate>false</LinksUpToDate>
  <CharactersWithSpaces>1216</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2019-12-18T22:11:00Z</dcterms:created>
  <dc:creator>fujing yu</dc:creator>
  <cp:lastModifiedBy>ysgz</cp:lastModifiedBy>
  <cp:lastPrinted>2022-05-17T23:01:00Z</cp:lastPrinted>
  <dcterms:modified xsi:type="dcterms:W3CDTF">2022-07-19T10:24:00Z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1B8014B8710B42E1BDEFCA7702BB299A</vt:lpwstr>
  </property>
  <property fmtid="{D5CDD505-2E9C-101B-9397-08002B2CF9AE}" pid="4" name="KSOSaveFontToCloudKey">
    <vt:lpwstr>425104523_cloud</vt:lpwstr>
  </property>
</Properties>
</file>