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960" w:firstLineChars="300"/>
        <w:rPr>
          <w:rFonts w:ascii="方正小标宋_GBK" w:hAnsi="黑体" w:eastAsia="方正小标宋_GBK"/>
          <w:sz w:val="32"/>
          <w:szCs w:val="32"/>
        </w:rPr>
      </w:pPr>
      <w:r>
        <w:rPr>
          <w:rFonts w:hint="eastAsia" w:ascii="方正小标宋_GBK" w:hAnsi="黑体" w:eastAsia="方正小标宋_GBK"/>
          <w:sz w:val="32"/>
          <w:szCs w:val="32"/>
        </w:rPr>
        <w:t>贵州省汽车轮胎产品质量监督抽查实施细则</w:t>
      </w:r>
    </w:p>
    <w:p>
      <w:pPr>
        <w:ind w:firstLine="3360" w:firstLineChars="1050"/>
        <w:rPr>
          <w:rFonts w:ascii="黑体" w:hAnsi="黑体" w:eastAsia="黑体"/>
          <w:b/>
          <w:sz w:val="32"/>
          <w:szCs w:val="32"/>
        </w:rPr>
      </w:pPr>
      <w:r>
        <w:rPr>
          <w:rFonts w:hint="eastAsia" w:ascii="方正小标宋_GBK" w:hAnsi="黑体" w:eastAsia="方正小标宋_GBK"/>
          <w:sz w:val="32"/>
          <w:szCs w:val="32"/>
        </w:rPr>
        <w:t>(2022年版)</w:t>
      </w:r>
    </w:p>
    <w:p>
      <w:pPr>
        <w:spacing w:line="360" w:lineRule="auto"/>
        <w:rPr>
          <w:b/>
          <w:sz w:val="24"/>
          <w:szCs w:val="24"/>
        </w:rPr>
      </w:pPr>
    </w:p>
    <w:p>
      <w:pPr>
        <w:spacing w:line="360" w:lineRule="auto"/>
        <w:rPr>
          <w:rFonts w:ascii="黑体" w:eastAsia="黑体"/>
          <w:szCs w:val="21"/>
        </w:rPr>
      </w:pPr>
      <w:r>
        <w:rPr>
          <w:rFonts w:hint="eastAsia" w:ascii="黑体" w:eastAsia="黑体"/>
          <w:szCs w:val="21"/>
        </w:rPr>
        <w:t>1</w:t>
      </w:r>
      <w:r>
        <w:rPr>
          <w:rFonts w:hint="eastAsia" w:ascii="黑体" w:eastAsia="黑体"/>
          <w:szCs w:val="21"/>
          <w:lang w:val="en-US" w:eastAsia="zh-CN"/>
        </w:rPr>
        <w:t xml:space="preserve"> </w:t>
      </w:r>
      <w:r>
        <w:rPr>
          <w:rFonts w:hint="eastAsia" w:ascii="黑体" w:eastAsia="黑体"/>
          <w:szCs w:val="21"/>
        </w:rPr>
        <w:t>抽样方法</w:t>
      </w:r>
    </w:p>
    <w:p>
      <w:pPr>
        <w:spacing w:line="360" w:lineRule="auto"/>
        <w:rPr>
          <w:rFonts w:asciiTheme="minorEastAsia" w:hAnsiTheme="minorEastAsia"/>
          <w:szCs w:val="21"/>
        </w:rPr>
      </w:pPr>
      <w:r>
        <w:rPr>
          <w:rFonts w:hint="eastAsia" w:asciiTheme="minorEastAsia" w:hAnsiTheme="minorEastAsia"/>
          <w:szCs w:val="21"/>
        </w:rPr>
        <w:t>以随机抽样的方式在被抽样生产者、销售者的待销产品中抽取。</w:t>
      </w:r>
    </w:p>
    <w:p>
      <w:pPr>
        <w:spacing w:line="360" w:lineRule="auto"/>
        <w:rPr>
          <w:rFonts w:asciiTheme="minorEastAsia" w:hAnsiTheme="minorEastAsia"/>
          <w:szCs w:val="21"/>
        </w:rPr>
      </w:pPr>
      <w:r>
        <w:rPr>
          <w:rFonts w:hint="eastAsia" w:asciiTheme="minorEastAsia" w:hAnsiTheme="minorEastAsia"/>
          <w:szCs w:val="21"/>
        </w:rPr>
        <w:t>随机数一般可使用随机数表等方法产生。</w:t>
      </w:r>
    </w:p>
    <w:p>
      <w:pPr>
        <w:spacing w:line="360" w:lineRule="auto"/>
        <w:rPr>
          <w:rFonts w:asciiTheme="minorEastAsia" w:hAnsiTheme="minorEastAsia"/>
          <w:szCs w:val="21"/>
        </w:rPr>
      </w:pPr>
      <w:r>
        <w:rPr>
          <w:rFonts w:hint="eastAsia" w:asciiTheme="minorEastAsia" w:hAnsiTheme="minorEastAsia"/>
          <w:szCs w:val="21"/>
        </w:rPr>
        <w:t>每批次产品抽取样品4条/套，其中3条/套作为检验样品，1条/套作为备用样品。</w:t>
      </w:r>
    </w:p>
    <w:p>
      <w:pPr>
        <w:spacing w:line="360" w:lineRule="auto"/>
        <w:rPr>
          <w:szCs w:val="21"/>
        </w:rPr>
      </w:pPr>
    </w:p>
    <w:p>
      <w:pPr>
        <w:spacing w:line="360" w:lineRule="auto"/>
        <w:rPr>
          <w:rFonts w:ascii="黑体" w:eastAsia="黑体"/>
          <w:szCs w:val="21"/>
        </w:rPr>
      </w:pPr>
      <w:r>
        <w:rPr>
          <w:rFonts w:hint="eastAsia" w:ascii="黑体" w:eastAsia="黑体"/>
          <w:szCs w:val="21"/>
        </w:rPr>
        <w:t>2</w:t>
      </w:r>
      <w:r>
        <w:rPr>
          <w:rFonts w:hint="eastAsia" w:ascii="黑体" w:eastAsia="黑体"/>
          <w:szCs w:val="21"/>
          <w:lang w:val="en-US" w:eastAsia="zh-CN"/>
        </w:rPr>
        <w:t xml:space="preserve"> </w:t>
      </w:r>
      <w:r>
        <w:rPr>
          <w:rFonts w:hint="eastAsia" w:ascii="黑体" w:eastAsia="黑体"/>
          <w:szCs w:val="21"/>
        </w:rPr>
        <w:t>检验依据</w:t>
      </w:r>
    </w:p>
    <w:tbl>
      <w:tblPr>
        <w:tblStyle w:val="4"/>
        <w:tblW w:w="461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4" w:type="dxa"/>
          <w:bottom w:w="0" w:type="dxa"/>
          <w:right w:w="34" w:type="dxa"/>
        </w:tblCellMar>
      </w:tblPr>
      <w:tblGrid>
        <w:gridCol w:w="1169"/>
        <w:gridCol w:w="2893"/>
        <w:gridCol w:w="3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4" w:type="dxa"/>
            <w:bottom w:w="0" w:type="dxa"/>
            <w:right w:w="34" w:type="dxa"/>
          </w:tblCellMar>
        </w:tblPrEx>
        <w:trPr>
          <w:trHeight w:val="440" w:hRule="atLeast"/>
          <w:tblHeader/>
          <w:jc w:val="center"/>
        </w:trPr>
        <w:tc>
          <w:tcPr>
            <w:tcW w:w="1169" w:type="dxa"/>
            <w:vAlign w:val="center"/>
          </w:tcPr>
          <w:p>
            <w:pPr>
              <w:spacing w:line="440" w:lineRule="exact"/>
              <w:jc w:val="center"/>
              <w:rPr>
                <w:rFonts w:asciiTheme="minorEastAsia" w:hAnsiTheme="minorEastAsia"/>
                <w:color w:val="000000"/>
                <w:szCs w:val="21"/>
              </w:rPr>
            </w:pPr>
            <w:r>
              <w:rPr>
                <w:rFonts w:asciiTheme="minorEastAsia" w:hAnsiTheme="minorEastAsia"/>
                <w:color w:val="000000"/>
                <w:szCs w:val="21"/>
              </w:rPr>
              <w:t>序号</w:t>
            </w:r>
          </w:p>
        </w:tc>
        <w:tc>
          <w:tcPr>
            <w:tcW w:w="2893" w:type="dxa"/>
            <w:vAlign w:val="center"/>
          </w:tcPr>
          <w:p>
            <w:pPr>
              <w:spacing w:line="440" w:lineRule="exact"/>
              <w:jc w:val="center"/>
              <w:rPr>
                <w:rFonts w:asciiTheme="minorEastAsia" w:hAnsiTheme="minorEastAsia"/>
                <w:color w:val="000000"/>
                <w:szCs w:val="21"/>
              </w:rPr>
            </w:pPr>
            <w:r>
              <w:rPr>
                <w:rFonts w:asciiTheme="minorEastAsia" w:hAnsiTheme="minorEastAsia"/>
                <w:color w:val="000000"/>
                <w:szCs w:val="21"/>
              </w:rPr>
              <w:t>检验项目</w:t>
            </w:r>
          </w:p>
        </w:tc>
        <w:tc>
          <w:tcPr>
            <w:tcW w:w="3664" w:type="dxa"/>
            <w:vAlign w:val="center"/>
          </w:tcPr>
          <w:p>
            <w:pPr>
              <w:spacing w:line="440" w:lineRule="exact"/>
              <w:jc w:val="center"/>
              <w:rPr>
                <w:rFonts w:asciiTheme="minorEastAsia" w:hAnsiTheme="minorEastAsia"/>
                <w:color w:val="000000"/>
                <w:szCs w:val="21"/>
              </w:rPr>
            </w:pPr>
            <w:r>
              <w:rPr>
                <w:rFonts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4" w:type="dxa"/>
            <w:bottom w:w="0" w:type="dxa"/>
            <w:right w:w="34" w:type="dxa"/>
          </w:tblCellMar>
        </w:tblPrEx>
        <w:trPr>
          <w:trHeight w:val="566" w:hRule="atLeast"/>
          <w:jc w:val="center"/>
        </w:trPr>
        <w:tc>
          <w:tcPr>
            <w:tcW w:w="1169" w:type="dxa"/>
            <w:vAlign w:val="center"/>
          </w:tcPr>
          <w:p>
            <w:pPr>
              <w:spacing w:line="440" w:lineRule="exact"/>
              <w:jc w:val="center"/>
              <w:rPr>
                <w:rFonts w:asciiTheme="minorEastAsia" w:hAnsiTheme="minorEastAsia"/>
                <w:color w:val="000000"/>
                <w:szCs w:val="21"/>
              </w:rPr>
            </w:pPr>
            <w:r>
              <w:rPr>
                <w:rFonts w:asciiTheme="minorEastAsia" w:hAnsiTheme="minorEastAsia"/>
                <w:color w:val="000000"/>
                <w:szCs w:val="21"/>
              </w:rPr>
              <w:t>1</w:t>
            </w:r>
          </w:p>
        </w:tc>
        <w:tc>
          <w:tcPr>
            <w:tcW w:w="2893" w:type="dxa"/>
            <w:vAlign w:val="center"/>
          </w:tcPr>
          <w:p>
            <w:pPr>
              <w:spacing w:line="440" w:lineRule="exact"/>
              <w:jc w:val="center"/>
              <w:rPr>
                <w:rFonts w:asciiTheme="minorEastAsia" w:hAnsiTheme="minorEastAsia"/>
                <w:szCs w:val="21"/>
              </w:rPr>
            </w:pPr>
            <w:r>
              <w:rPr>
                <w:rFonts w:asciiTheme="minorEastAsia" w:hAnsiTheme="minorEastAsia"/>
                <w:szCs w:val="21"/>
              </w:rPr>
              <w:t>新胎外缘尺寸</w:t>
            </w:r>
          </w:p>
        </w:tc>
        <w:tc>
          <w:tcPr>
            <w:tcW w:w="3664" w:type="dxa"/>
            <w:vAlign w:val="center"/>
          </w:tcPr>
          <w:p>
            <w:pPr>
              <w:spacing w:line="440" w:lineRule="exact"/>
              <w:jc w:val="center"/>
              <w:rPr>
                <w:rFonts w:asciiTheme="minorEastAsia" w:hAnsiTheme="minorEastAsia"/>
                <w:color w:val="000000"/>
                <w:szCs w:val="21"/>
              </w:rPr>
            </w:pPr>
            <w:r>
              <w:rPr>
                <w:rFonts w:asciiTheme="minorEastAsia" w:hAnsiTheme="minorEastAsia"/>
                <w:color w:val="000000"/>
                <w:szCs w:val="21"/>
              </w:rPr>
              <w:t>GB/T 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4" w:type="dxa"/>
            <w:bottom w:w="0" w:type="dxa"/>
            <w:right w:w="34" w:type="dxa"/>
          </w:tblCellMar>
        </w:tblPrEx>
        <w:trPr>
          <w:trHeight w:val="490" w:hRule="atLeast"/>
          <w:jc w:val="center"/>
        </w:trPr>
        <w:tc>
          <w:tcPr>
            <w:tcW w:w="1169" w:type="dxa"/>
            <w:vAlign w:val="center"/>
          </w:tcPr>
          <w:p>
            <w:pPr>
              <w:spacing w:line="440" w:lineRule="exact"/>
              <w:jc w:val="center"/>
              <w:rPr>
                <w:rFonts w:asciiTheme="minorEastAsia" w:hAnsiTheme="minorEastAsia"/>
                <w:color w:val="000000"/>
                <w:szCs w:val="21"/>
              </w:rPr>
            </w:pPr>
            <w:r>
              <w:rPr>
                <w:rFonts w:asciiTheme="minorEastAsia" w:hAnsiTheme="minorEastAsia"/>
                <w:color w:val="000000"/>
                <w:szCs w:val="21"/>
              </w:rPr>
              <w:t>2</w:t>
            </w:r>
          </w:p>
        </w:tc>
        <w:tc>
          <w:tcPr>
            <w:tcW w:w="2893" w:type="dxa"/>
            <w:vAlign w:val="center"/>
          </w:tcPr>
          <w:p>
            <w:pPr>
              <w:spacing w:line="440" w:lineRule="exact"/>
              <w:jc w:val="center"/>
              <w:rPr>
                <w:rFonts w:asciiTheme="minorEastAsia" w:hAnsiTheme="minorEastAsia"/>
                <w:szCs w:val="21"/>
              </w:rPr>
            </w:pPr>
            <w:r>
              <w:rPr>
                <w:rFonts w:asciiTheme="minorEastAsia" w:hAnsiTheme="minorEastAsia"/>
                <w:szCs w:val="21"/>
              </w:rPr>
              <w:t>胎面磨耗标志高度</w:t>
            </w:r>
          </w:p>
        </w:tc>
        <w:tc>
          <w:tcPr>
            <w:tcW w:w="3664" w:type="dxa"/>
            <w:vAlign w:val="center"/>
          </w:tcPr>
          <w:p>
            <w:pPr>
              <w:spacing w:line="440" w:lineRule="exact"/>
              <w:jc w:val="center"/>
              <w:rPr>
                <w:rFonts w:asciiTheme="minorEastAsia" w:hAnsiTheme="minorEastAsia"/>
                <w:color w:val="000000"/>
                <w:szCs w:val="21"/>
              </w:rPr>
            </w:pPr>
            <w:r>
              <w:rPr>
                <w:rFonts w:asciiTheme="minorEastAsia" w:hAnsiTheme="minorEastAsia"/>
                <w:color w:val="000000"/>
                <w:szCs w:val="21"/>
              </w:rPr>
              <w:t>GB/T 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4" w:type="dxa"/>
            <w:bottom w:w="0" w:type="dxa"/>
            <w:right w:w="34" w:type="dxa"/>
          </w:tblCellMar>
        </w:tblPrEx>
        <w:trPr>
          <w:trHeight w:val="415" w:hRule="atLeast"/>
          <w:jc w:val="center"/>
        </w:trPr>
        <w:tc>
          <w:tcPr>
            <w:tcW w:w="1169" w:type="dxa"/>
            <w:vAlign w:val="center"/>
          </w:tcPr>
          <w:p>
            <w:pPr>
              <w:spacing w:line="440" w:lineRule="exact"/>
              <w:jc w:val="center"/>
              <w:rPr>
                <w:rFonts w:asciiTheme="minorEastAsia" w:hAnsiTheme="minorEastAsia"/>
                <w:color w:val="000000"/>
                <w:szCs w:val="21"/>
              </w:rPr>
            </w:pPr>
            <w:r>
              <w:rPr>
                <w:rFonts w:asciiTheme="minorEastAsia" w:hAnsiTheme="minorEastAsia"/>
                <w:color w:val="000000"/>
                <w:szCs w:val="21"/>
              </w:rPr>
              <w:t>3</w:t>
            </w:r>
          </w:p>
        </w:tc>
        <w:tc>
          <w:tcPr>
            <w:tcW w:w="2893" w:type="dxa"/>
            <w:vAlign w:val="center"/>
          </w:tcPr>
          <w:p>
            <w:pPr>
              <w:spacing w:line="440" w:lineRule="exact"/>
              <w:jc w:val="center"/>
              <w:rPr>
                <w:rFonts w:asciiTheme="minorEastAsia" w:hAnsiTheme="minorEastAsia"/>
                <w:szCs w:val="21"/>
              </w:rPr>
            </w:pPr>
            <w:r>
              <w:rPr>
                <w:rFonts w:asciiTheme="minorEastAsia" w:hAnsiTheme="minorEastAsia"/>
                <w:szCs w:val="21"/>
              </w:rPr>
              <w:t>强度性能</w:t>
            </w:r>
          </w:p>
        </w:tc>
        <w:tc>
          <w:tcPr>
            <w:tcW w:w="3664" w:type="dxa"/>
            <w:vAlign w:val="center"/>
          </w:tcPr>
          <w:p>
            <w:pPr>
              <w:spacing w:line="440" w:lineRule="exact"/>
              <w:jc w:val="center"/>
              <w:rPr>
                <w:rFonts w:asciiTheme="minorEastAsia" w:hAnsiTheme="minorEastAsia"/>
                <w:szCs w:val="21"/>
              </w:rPr>
            </w:pPr>
            <w:r>
              <w:rPr>
                <w:rFonts w:asciiTheme="minorEastAsia" w:hAnsiTheme="minorEastAsia"/>
                <w:szCs w:val="21"/>
              </w:rPr>
              <w:t>GB/T 450</w:t>
            </w:r>
            <w:r>
              <w:rPr>
                <w:rFonts w:hint="eastAsia" w:asciiTheme="minorEastAsia" w:hAnsiTheme="minorEastAsia"/>
                <w:szCs w:val="21"/>
              </w:rPr>
              <w:t>1</w:t>
            </w:r>
            <w:r>
              <w:rPr>
                <w:rFonts w:asciiTheme="minorEastAsia" w:hAnsiTheme="minorEastAsia"/>
                <w:szCs w:val="21"/>
              </w:rPr>
              <w:t>-2016</w:t>
            </w:r>
          </w:p>
          <w:p>
            <w:pPr>
              <w:spacing w:line="440" w:lineRule="exact"/>
              <w:jc w:val="center"/>
              <w:rPr>
                <w:rFonts w:asciiTheme="minorEastAsia" w:hAnsiTheme="minorEastAsia"/>
                <w:szCs w:val="21"/>
              </w:rPr>
            </w:pPr>
            <w:r>
              <w:rPr>
                <w:rFonts w:asciiTheme="minorEastAsia" w:hAnsiTheme="minorEastAsia"/>
                <w:szCs w:val="21"/>
              </w:rPr>
              <w:t>GB/T 4502-2016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4" w:type="dxa"/>
            <w:bottom w:w="0" w:type="dxa"/>
            <w:right w:w="34" w:type="dxa"/>
          </w:tblCellMar>
        </w:tblPrEx>
        <w:trPr>
          <w:trHeight w:val="421" w:hRule="atLeast"/>
          <w:jc w:val="center"/>
        </w:trPr>
        <w:tc>
          <w:tcPr>
            <w:tcW w:w="1169" w:type="dxa"/>
            <w:vAlign w:val="center"/>
          </w:tcPr>
          <w:p>
            <w:pPr>
              <w:spacing w:line="440" w:lineRule="exact"/>
              <w:jc w:val="center"/>
              <w:rPr>
                <w:rFonts w:asciiTheme="minorEastAsia" w:hAnsiTheme="minorEastAsia"/>
                <w:color w:val="000000"/>
                <w:szCs w:val="21"/>
              </w:rPr>
            </w:pPr>
            <w:r>
              <w:rPr>
                <w:rFonts w:asciiTheme="minorEastAsia" w:hAnsiTheme="minorEastAsia"/>
                <w:color w:val="000000"/>
                <w:szCs w:val="21"/>
              </w:rPr>
              <w:t>4</w:t>
            </w:r>
          </w:p>
        </w:tc>
        <w:tc>
          <w:tcPr>
            <w:tcW w:w="2893" w:type="dxa"/>
            <w:vAlign w:val="center"/>
          </w:tcPr>
          <w:p>
            <w:pPr>
              <w:spacing w:line="440" w:lineRule="exact"/>
              <w:jc w:val="center"/>
              <w:rPr>
                <w:rFonts w:asciiTheme="minorEastAsia" w:hAnsiTheme="minorEastAsia"/>
                <w:szCs w:val="21"/>
              </w:rPr>
            </w:pPr>
            <w:r>
              <w:rPr>
                <w:rFonts w:asciiTheme="minorEastAsia" w:hAnsiTheme="minorEastAsia"/>
                <w:szCs w:val="21"/>
              </w:rPr>
              <w:t>耐久性能</w:t>
            </w:r>
          </w:p>
        </w:tc>
        <w:tc>
          <w:tcPr>
            <w:tcW w:w="3664" w:type="dxa"/>
            <w:vAlign w:val="center"/>
          </w:tcPr>
          <w:p>
            <w:pPr>
              <w:spacing w:line="440" w:lineRule="exact"/>
              <w:jc w:val="center"/>
              <w:rPr>
                <w:rFonts w:asciiTheme="minorEastAsia" w:hAnsiTheme="minorEastAsia"/>
                <w:szCs w:val="21"/>
              </w:rPr>
            </w:pPr>
            <w:r>
              <w:rPr>
                <w:rFonts w:asciiTheme="minorEastAsia" w:hAnsiTheme="minorEastAsia"/>
                <w:szCs w:val="21"/>
              </w:rPr>
              <w:t>GB/T 450</w:t>
            </w:r>
            <w:r>
              <w:rPr>
                <w:rFonts w:hint="eastAsia" w:asciiTheme="minorEastAsia" w:hAnsiTheme="minorEastAsia"/>
                <w:szCs w:val="21"/>
              </w:rPr>
              <w:t>1</w:t>
            </w:r>
            <w:r>
              <w:rPr>
                <w:rFonts w:asciiTheme="minorEastAsia" w:hAnsiTheme="minorEastAsia"/>
                <w:szCs w:val="21"/>
              </w:rPr>
              <w:t>-2016</w:t>
            </w:r>
          </w:p>
          <w:p>
            <w:pPr>
              <w:spacing w:line="440" w:lineRule="exact"/>
              <w:jc w:val="center"/>
              <w:rPr>
                <w:rFonts w:asciiTheme="minorEastAsia" w:hAnsiTheme="minorEastAsia"/>
                <w:szCs w:val="21"/>
              </w:rPr>
            </w:pPr>
            <w:r>
              <w:rPr>
                <w:rFonts w:asciiTheme="minorEastAsia" w:hAnsiTheme="minorEastAsia"/>
                <w:szCs w:val="21"/>
              </w:rPr>
              <w:t>GB/T 4502-2016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4" w:type="dxa"/>
            <w:bottom w:w="0" w:type="dxa"/>
            <w:right w:w="34" w:type="dxa"/>
          </w:tblCellMar>
        </w:tblPrEx>
        <w:trPr>
          <w:jc w:val="center"/>
        </w:trPr>
        <w:tc>
          <w:tcPr>
            <w:tcW w:w="1169" w:type="dxa"/>
            <w:vAlign w:val="center"/>
          </w:tcPr>
          <w:p>
            <w:pPr>
              <w:spacing w:line="440" w:lineRule="exact"/>
              <w:jc w:val="center"/>
              <w:rPr>
                <w:rFonts w:asciiTheme="minorEastAsia" w:hAnsiTheme="minorEastAsia"/>
                <w:color w:val="000000"/>
                <w:szCs w:val="21"/>
              </w:rPr>
            </w:pPr>
            <w:r>
              <w:rPr>
                <w:rFonts w:asciiTheme="minorEastAsia" w:hAnsiTheme="minorEastAsia"/>
                <w:color w:val="000000"/>
                <w:szCs w:val="21"/>
              </w:rPr>
              <w:t>5</w:t>
            </w:r>
          </w:p>
        </w:tc>
        <w:tc>
          <w:tcPr>
            <w:tcW w:w="2893" w:type="dxa"/>
            <w:vAlign w:val="center"/>
          </w:tcPr>
          <w:p>
            <w:pPr>
              <w:spacing w:line="440" w:lineRule="exact"/>
              <w:jc w:val="center"/>
              <w:rPr>
                <w:rFonts w:asciiTheme="minorEastAsia" w:hAnsiTheme="minorEastAsia"/>
                <w:szCs w:val="21"/>
              </w:rPr>
            </w:pPr>
            <w:r>
              <w:rPr>
                <w:rFonts w:asciiTheme="minorEastAsia" w:hAnsiTheme="minorEastAsia"/>
                <w:szCs w:val="21"/>
              </w:rPr>
              <w:t>低气压性能</w:t>
            </w:r>
          </w:p>
        </w:tc>
        <w:tc>
          <w:tcPr>
            <w:tcW w:w="3664" w:type="dxa"/>
            <w:vAlign w:val="center"/>
          </w:tcPr>
          <w:p>
            <w:pPr>
              <w:spacing w:line="440" w:lineRule="exact"/>
              <w:jc w:val="center"/>
              <w:rPr>
                <w:rFonts w:asciiTheme="minorEastAsia" w:hAnsiTheme="minorEastAsia"/>
                <w:color w:val="000000"/>
                <w:szCs w:val="21"/>
              </w:rPr>
            </w:pPr>
            <w:r>
              <w:rPr>
                <w:rFonts w:asciiTheme="minorEastAsia" w:hAnsiTheme="minorEastAsia"/>
                <w:color w:val="000000"/>
                <w:szCs w:val="21"/>
              </w:rPr>
              <w:t>GB/T 4502-2016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4" w:type="dxa"/>
            <w:bottom w:w="0" w:type="dxa"/>
            <w:right w:w="34" w:type="dxa"/>
          </w:tblCellMar>
        </w:tblPrEx>
        <w:trPr>
          <w:trHeight w:val="365" w:hRule="atLeast"/>
          <w:jc w:val="center"/>
        </w:trPr>
        <w:tc>
          <w:tcPr>
            <w:tcW w:w="1169" w:type="dxa"/>
            <w:vAlign w:val="center"/>
          </w:tcPr>
          <w:p>
            <w:pPr>
              <w:spacing w:line="440" w:lineRule="exact"/>
              <w:jc w:val="center"/>
              <w:rPr>
                <w:rFonts w:asciiTheme="minorEastAsia" w:hAnsiTheme="minorEastAsia"/>
                <w:color w:val="000000"/>
                <w:szCs w:val="21"/>
              </w:rPr>
            </w:pPr>
            <w:r>
              <w:rPr>
                <w:rFonts w:asciiTheme="minorEastAsia" w:hAnsiTheme="minorEastAsia"/>
                <w:color w:val="000000"/>
                <w:szCs w:val="21"/>
              </w:rPr>
              <w:t>6</w:t>
            </w:r>
          </w:p>
        </w:tc>
        <w:tc>
          <w:tcPr>
            <w:tcW w:w="2893" w:type="dxa"/>
            <w:vAlign w:val="center"/>
          </w:tcPr>
          <w:p>
            <w:pPr>
              <w:spacing w:line="440" w:lineRule="exact"/>
              <w:jc w:val="center"/>
              <w:rPr>
                <w:rFonts w:asciiTheme="minorEastAsia" w:hAnsiTheme="minorEastAsia"/>
                <w:szCs w:val="21"/>
              </w:rPr>
            </w:pPr>
            <w:r>
              <w:rPr>
                <w:rFonts w:asciiTheme="minorEastAsia" w:hAnsiTheme="minorEastAsia"/>
                <w:szCs w:val="21"/>
              </w:rPr>
              <w:t>高速性能</w:t>
            </w:r>
          </w:p>
        </w:tc>
        <w:tc>
          <w:tcPr>
            <w:tcW w:w="3664" w:type="dxa"/>
            <w:vAlign w:val="center"/>
          </w:tcPr>
          <w:p>
            <w:pPr>
              <w:spacing w:line="440" w:lineRule="exact"/>
              <w:jc w:val="center"/>
              <w:rPr>
                <w:rFonts w:asciiTheme="minorEastAsia" w:hAnsiTheme="minorEastAsia"/>
                <w:color w:val="000000"/>
                <w:szCs w:val="21"/>
              </w:rPr>
            </w:pPr>
            <w:r>
              <w:rPr>
                <w:rFonts w:asciiTheme="minorEastAsia" w:hAnsiTheme="minorEastAsia"/>
                <w:color w:val="000000"/>
                <w:szCs w:val="21"/>
              </w:rPr>
              <w:t>GB/T 4502-2016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69" w:type="dxa"/>
            <w:vAlign w:val="center"/>
          </w:tcPr>
          <w:p>
            <w:pPr>
              <w:spacing w:line="440" w:lineRule="exact"/>
              <w:jc w:val="center"/>
              <w:rPr>
                <w:rFonts w:asciiTheme="minorEastAsia" w:hAnsiTheme="minorEastAsia"/>
                <w:color w:val="000000"/>
                <w:szCs w:val="21"/>
              </w:rPr>
            </w:pPr>
            <w:r>
              <w:rPr>
                <w:rFonts w:asciiTheme="minorEastAsia" w:hAnsiTheme="minorEastAsia"/>
                <w:color w:val="000000"/>
                <w:szCs w:val="21"/>
              </w:rPr>
              <w:t>7</w:t>
            </w:r>
          </w:p>
        </w:tc>
        <w:tc>
          <w:tcPr>
            <w:tcW w:w="2893" w:type="dxa"/>
            <w:vAlign w:val="center"/>
          </w:tcPr>
          <w:p>
            <w:pPr>
              <w:spacing w:line="440" w:lineRule="exact"/>
              <w:jc w:val="center"/>
              <w:rPr>
                <w:rFonts w:asciiTheme="minorEastAsia" w:hAnsiTheme="minorEastAsia"/>
                <w:szCs w:val="21"/>
              </w:rPr>
            </w:pPr>
            <w:r>
              <w:rPr>
                <w:rFonts w:asciiTheme="minorEastAsia" w:hAnsiTheme="minorEastAsia"/>
                <w:szCs w:val="21"/>
              </w:rPr>
              <w:t>无内胎轮胎脱圈阻力</w:t>
            </w:r>
          </w:p>
        </w:tc>
        <w:tc>
          <w:tcPr>
            <w:tcW w:w="3664" w:type="dxa"/>
            <w:vAlign w:val="center"/>
          </w:tcPr>
          <w:p>
            <w:pPr>
              <w:spacing w:line="440" w:lineRule="exact"/>
              <w:jc w:val="center"/>
              <w:rPr>
                <w:rFonts w:asciiTheme="minorEastAsia" w:hAnsiTheme="minorEastAsia"/>
                <w:color w:val="000000"/>
                <w:szCs w:val="21"/>
              </w:rPr>
            </w:pPr>
            <w:r>
              <w:rPr>
                <w:rFonts w:asciiTheme="minorEastAsia" w:hAnsiTheme="minorEastAsia"/>
                <w:color w:val="000000"/>
                <w:szCs w:val="21"/>
              </w:rPr>
              <w:t>GB/T 4502-2016</w:t>
            </w:r>
          </w:p>
        </w:tc>
      </w:tr>
    </w:tbl>
    <w:p>
      <w:pPr>
        <w:spacing w:line="360" w:lineRule="auto"/>
        <w:ind w:firstLine="420" w:firstLineChars="200"/>
        <w:rPr>
          <w:rFonts w:asciiTheme="minorEastAsia" w:hAnsiTheme="minorEastAsia"/>
          <w:szCs w:val="21"/>
        </w:rPr>
      </w:pPr>
      <w:r>
        <w:rPr>
          <w:rFonts w:hint="eastAsia" w:asciiTheme="minorEastAsia" w:hAnsiTheme="minorEastAsia"/>
          <w:szCs w:val="21"/>
        </w:rPr>
        <w:t>执行企业标准、团体标准、地方标准的产品，检验项目参照上述内容执行。</w:t>
      </w:r>
    </w:p>
    <w:p>
      <w:pPr>
        <w:spacing w:line="360" w:lineRule="auto"/>
        <w:ind w:firstLine="420" w:firstLineChars="200"/>
        <w:rPr>
          <w:rFonts w:asciiTheme="minorEastAsia" w:hAnsiTheme="minorEastAsia"/>
          <w:szCs w:val="21"/>
        </w:rPr>
      </w:pPr>
      <w:r>
        <w:rPr>
          <w:rFonts w:hint="eastAsia" w:asciiTheme="minorEastAsia" w:hAnsiTheme="minorEastAsia"/>
          <w:szCs w:val="21"/>
        </w:rPr>
        <w:t>凡是注日期的文件，其随后所有的修改单（不包括勘误的内容）或修订版不适用于本细则。凡是不注日期的文件，其最新版本适用于本细则。</w:t>
      </w:r>
    </w:p>
    <w:p>
      <w:pPr>
        <w:spacing w:line="360" w:lineRule="auto"/>
        <w:rPr>
          <w:rFonts w:asciiTheme="minorEastAsia" w:hAnsiTheme="minorEastAsia"/>
          <w:szCs w:val="21"/>
        </w:rPr>
      </w:pPr>
    </w:p>
    <w:p>
      <w:pPr>
        <w:spacing w:line="360" w:lineRule="auto"/>
        <w:rPr>
          <w:rFonts w:ascii="黑体" w:eastAsia="黑体"/>
          <w:szCs w:val="21"/>
        </w:rPr>
      </w:pPr>
      <w:r>
        <w:rPr>
          <w:rFonts w:hint="eastAsia" w:ascii="黑体" w:eastAsia="黑体"/>
          <w:szCs w:val="21"/>
        </w:rPr>
        <w:t>3</w:t>
      </w:r>
      <w:r>
        <w:rPr>
          <w:rFonts w:hint="eastAsia" w:ascii="黑体" w:eastAsia="黑体"/>
          <w:szCs w:val="21"/>
          <w:lang w:val="en-US" w:eastAsia="zh-CN"/>
        </w:rPr>
        <w:t xml:space="preserve"> </w:t>
      </w:r>
      <w:r>
        <w:rPr>
          <w:rFonts w:hint="eastAsia" w:ascii="黑体" w:eastAsia="黑体"/>
          <w:szCs w:val="21"/>
        </w:rPr>
        <w:t>判定规则</w:t>
      </w:r>
    </w:p>
    <w:p>
      <w:pPr>
        <w:spacing w:line="360" w:lineRule="auto"/>
        <w:rPr>
          <w:rFonts w:asciiTheme="minorEastAsia" w:hAnsiTheme="minorEastAsia"/>
          <w:szCs w:val="21"/>
        </w:rPr>
      </w:pPr>
      <w:r>
        <w:rPr>
          <w:rFonts w:hint="eastAsia" w:asciiTheme="minorEastAsia" w:hAnsiTheme="minorEastAsia"/>
          <w:szCs w:val="21"/>
        </w:rPr>
        <w:t>3.1依据标准</w:t>
      </w:r>
    </w:p>
    <w:p>
      <w:pPr>
        <w:spacing w:line="360" w:lineRule="auto"/>
        <w:ind w:firstLine="420" w:firstLineChars="200"/>
        <w:rPr>
          <w:rFonts w:asciiTheme="minorEastAsia" w:hAnsiTheme="minorEastAsia"/>
          <w:szCs w:val="21"/>
        </w:rPr>
      </w:pPr>
      <w:r>
        <w:rPr>
          <w:rFonts w:hint="eastAsia" w:asciiTheme="minorEastAsia" w:hAnsiTheme="minorEastAsia"/>
          <w:szCs w:val="21"/>
        </w:rPr>
        <w:t>GB 9743-2015 轿车轮胎</w:t>
      </w:r>
    </w:p>
    <w:p>
      <w:pPr>
        <w:spacing w:line="360" w:lineRule="auto"/>
        <w:ind w:firstLine="420" w:firstLineChars="200"/>
        <w:rPr>
          <w:rFonts w:asciiTheme="minorEastAsia" w:hAnsiTheme="minorEastAsia"/>
          <w:szCs w:val="21"/>
        </w:rPr>
      </w:pPr>
      <w:r>
        <w:rPr>
          <w:rFonts w:hint="eastAsia" w:asciiTheme="minorEastAsia" w:hAnsiTheme="minorEastAsia"/>
          <w:szCs w:val="21"/>
        </w:rPr>
        <w:t>GB 9744-2015 载重汽车轮胎</w:t>
      </w:r>
    </w:p>
    <w:p>
      <w:pPr>
        <w:spacing w:line="360" w:lineRule="auto"/>
        <w:ind w:firstLine="420" w:firstLineChars="200"/>
        <w:rPr>
          <w:rFonts w:asciiTheme="minorEastAsia" w:hAnsiTheme="minorEastAsia"/>
          <w:szCs w:val="21"/>
        </w:rPr>
      </w:pPr>
      <w:r>
        <w:rPr>
          <w:rFonts w:hint="eastAsia" w:asciiTheme="minorEastAsia" w:hAnsiTheme="minorEastAsia"/>
          <w:szCs w:val="21"/>
        </w:rPr>
        <w:t>现行有效的企业标准、团体标准、地方标准及产品明示质量要求</w:t>
      </w:r>
    </w:p>
    <w:p>
      <w:pPr>
        <w:spacing w:line="360" w:lineRule="auto"/>
        <w:rPr>
          <w:rFonts w:asciiTheme="minorEastAsia" w:hAnsiTheme="minorEastAsia"/>
          <w:szCs w:val="21"/>
        </w:rPr>
      </w:pPr>
      <w:r>
        <w:rPr>
          <w:rFonts w:hint="eastAsia" w:asciiTheme="minorEastAsia" w:hAnsiTheme="minorEastAsia"/>
          <w:szCs w:val="21"/>
        </w:rPr>
        <w:t>3.2判定原则</w:t>
      </w:r>
    </w:p>
    <w:p>
      <w:pPr>
        <w:snapToGrid w:val="0"/>
        <w:spacing w:line="440" w:lineRule="exact"/>
        <w:ind w:firstLine="420" w:firstLineChars="200"/>
        <w:rPr>
          <w:color w:val="000000"/>
          <w:szCs w:val="21"/>
        </w:rPr>
      </w:pPr>
      <w:r>
        <w:rPr>
          <w:rFonts w:hint="eastAsia"/>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color w:val="000000"/>
          <w:szCs w:val="21"/>
        </w:rPr>
      </w:pPr>
      <w:r>
        <w:rPr>
          <w:rFonts w:hint="eastAsia"/>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rFonts w:hint="eastAsia"/>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rFonts w:hint="eastAsia"/>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rFonts w:hint="eastAsia"/>
          <w:color w:val="000000"/>
          <w:szCs w:val="21"/>
        </w:rPr>
        <w:t>若被检产品明示的质量要求缺少本细则中检验项目依据的推荐性标准要求时，该项目不参与判定。</w:t>
      </w:r>
    </w:p>
    <w:p>
      <w:pPr>
        <w:spacing w:line="360" w:lineRule="auto"/>
        <w:rPr>
          <w:szCs w:val="21"/>
        </w:rPr>
      </w:pPr>
    </w:p>
    <w:p>
      <w:pPr>
        <w:spacing w:line="360" w:lineRule="auto"/>
        <w:rPr>
          <w:rFonts w:ascii="黑体" w:eastAsia="黑体" w:hAnsiTheme="minorEastAsia"/>
          <w:szCs w:val="21"/>
        </w:rPr>
      </w:pPr>
      <w:r>
        <w:rPr>
          <w:rFonts w:hint="eastAsia" w:ascii="黑体" w:eastAsia="黑体" w:hAnsiTheme="minorEastAsia"/>
          <w:szCs w:val="21"/>
        </w:rPr>
        <w:t>4</w:t>
      </w:r>
      <w:r>
        <w:rPr>
          <w:rFonts w:hint="eastAsia" w:ascii="黑体" w:eastAsia="黑体" w:hAnsiTheme="minorEastAsia"/>
          <w:szCs w:val="21"/>
          <w:lang w:val="en-US" w:eastAsia="zh-CN"/>
        </w:rPr>
        <w:t xml:space="preserve"> </w:t>
      </w:r>
      <w:bookmarkStart w:id="0" w:name="_GoBack"/>
      <w:bookmarkEnd w:id="0"/>
      <w:r>
        <w:rPr>
          <w:rFonts w:hint="eastAsia" w:ascii="黑体" w:eastAsia="黑体" w:hAnsiTheme="minorEastAsia"/>
          <w:szCs w:val="21"/>
        </w:rPr>
        <w:t>附则</w:t>
      </w:r>
    </w:p>
    <w:p>
      <w:pPr>
        <w:spacing w:line="36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本细则代替《贵州省市场监管局关于发布2022版贵州省产品质量监督抽查实施细则（第一批）的公告》</w:t>
      </w:r>
      <w:r>
        <w:rPr>
          <w:rFonts w:hint="eastAsia" w:asciiTheme="minorEastAsia" w:hAnsiTheme="minorEastAsia" w:eastAsiaTheme="minorEastAsia" w:cstheme="minorEastAsia"/>
        </w:rPr>
        <w:t xml:space="preserve">（黔市监公告〔2022〕46号） </w:t>
      </w:r>
      <w:r>
        <w:rPr>
          <w:rFonts w:hint="eastAsia" w:asciiTheme="minorEastAsia" w:hAnsiTheme="minorEastAsia" w:eastAsiaTheme="minorEastAsia" w:cstheme="minorEastAsia"/>
          <w:szCs w:val="21"/>
        </w:rPr>
        <w:t>中的《贵州省汽车轮胎产品质量监督抽查实施细则（2022年版）》。</w:t>
      </w:r>
    </w:p>
    <w:p>
      <w:pPr>
        <w:spacing w:line="360" w:lineRule="auto"/>
        <w:rPr>
          <w:szCs w:val="21"/>
        </w:rPr>
      </w:pPr>
    </w:p>
    <w:p>
      <w:pPr>
        <w:rPr>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25891"/>
    <w:rsid w:val="006B34B3"/>
    <w:rsid w:val="006C7727"/>
    <w:rsid w:val="00B25891"/>
    <w:rsid w:val="00F74EA6"/>
    <w:rsid w:val="37E77996"/>
    <w:rsid w:val="6F7B11C7"/>
    <w:rsid w:val="7FDB3BB7"/>
    <w:rsid w:val="BFBF67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141</Words>
  <Characters>805</Characters>
  <Lines>6</Lines>
  <Paragraphs>1</Paragraphs>
  <TotalTime>1</TotalTime>
  <ScaleCrop>false</ScaleCrop>
  <LinksUpToDate>false</LinksUpToDate>
  <CharactersWithSpaces>945</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2022-07-16T09:45:00Z</dcterms:created>
  <dc:creator>User</dc:creator>
  <cp:lastModifiedBy>ysgz</cp:lastModifiedBy>
  <dcterms:modified xsi:type="dcterms:W3CDTF">2022-07-18T13:03:50Z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3348AAD11AE0758DCCE9C762CF9CFB2F</vt:lpwstr>
  </property>
</Properties>
</file>