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方正小标宋_GBK" w:eastAsia="方正小标宋_GBK" w:cs="方正仿宋简体"/>
          <w:color w:val="auto"/>
          <w:sz w:val="32"/>
          <w:szCs w:val="32"/>
        </w:rPr>
      </w:pPr>
      <w:bookmarkStart w:id="1" w:name="_GoBack"/>
      <w:r>
        <w:rPr>
          <w:rFonts w:hint="eastAsia" w:ascii="方正小标宋_GBK" w:eastAsia="方正小标宋_GBK" w:cs="方正仿宋简体"/>
          <w:color w:val="auto"/>
          <w:sz w:val="32"/>
          <w:szCs w:val="32"/>
        </w:rPr>
        <w:t>贵州省食品接触用纸容器产品质量监督抽查实施细则</w:t>
      </w:r>
    </w:p>
    <w:p>
      <w:pPr>
        <w:adjustRightInd w:val="0"/>
        <w:snapToGrid w:val="0"/>
        <w:spacing w:line="440" w:lineRule="exact"/>
        <w:jc w:val="center"/>
        <w:rPr>
          <w:rFonts w:ascii="方正小标宋_GBK" w:eastAsia="方正小标宋_GBK" w:cs="方正仿宋简体"/>
          <w:color w:val="auto"/>
          <w:sz w:val="32"/>
          <w:szCs w:val="32"/>
        </w:rPr>
      </w:pPr>
      <w:r>
        <w:rPr>
          <w:rFonts w:hint="eastAsia" w:ascii="方正小标宋_GBK" w:eastAsia="方正小标宋_GBK" w:cs="方正仿宋简体"/>
          <w:color w:val="auto"/>
          <w:sz w:val="32"/>
          <w:szCs w:val="32"/>
        </w:rPr>
        <w:t>（2022年版）</w:t>
      </w:r>
    </w:p>
    <w:p>
      <w:pPr>
        <w:adjustRightInd w:val="0"/>
        <w:snapToGrid w:val="0"/>
        <w:spacing w:line="440" w:lineRule="exact"/>
        <w:jc w:val="center"/>
        <w:rPr>
          <w:rFonts w:ascii="方正小标宋_GBK" w:eastAsia="方正小标宋_GBK" w:cs="方正仿宋简体"/>
          <w:color w:val="auto"/>
          <w:sz w:val="32"/>
          <w:szCs w:val="32"/>
        </w:rPr>
      </w:pPr>
    </w:p>
    <w:p>
      <w:pPr>
        <w:adjustRightInd w:val="0"/>
        <w:snapToGrid w:val="0"/>
        <w:spacing w:line="440" w:lineRule="exact"/>
        <w:outlineLvl w:val="1"/>
        <w:rPr>
          <w:rFonts w:ascii="Times New Roman" w:hAnsi="Times New Roman" w:eastAsia="黑体" w:cs="Times New Roman"/>
          <w:color w:val="auto"/>
        </w:rPr>
      </w:pPr>
      <w:r>
        <w:rPr>
          <w:rFonts w:hint="eastAsia" w:ascii="黑体" w:hAnsi="黑体" w:eastAsia="黑体" w:cs="黑体"/>
          <w:color w:val="auto"/>
        </w:rPr>
        <w:t>1抽</w:t>
      </w:r>
      <w:r>
        <w:rPr>
          <w:rFonts w:ascii="Times New Roman" w:hAnsi="Times New Roman" w:eastAsia="黑体" w:cs="Times New Roman"/>
          <w:color w:val="auto"/>
        </w:rPr>
        <w:t>样方法</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以随机抽样的方式在被抽样生产者、销售者的待销产品中抽取。</w:t>
      </w:r>
    </w:p>
    <w:p>
      <w:pPr>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随机数一般可使用随机数表等方法产生。</w:t>
      </w:r>
    </w:p>
    <w:p>
      <w:pPr>
        <w:snapToGrid w:val="0"/>
        <w:spacing w:line="440" w:lineRule="exact"/>
        <w:ind w:firstLine="420" w:firstLineChars="200"/>
        <w:jc w:val="center"/>
        <w:rPr>
          <w:rFonts w:ascii="Times New Roman" w:hAnsi="Times New Roman" w:cs="Times New Roman"/>
          <w:color w:val="auto"/>
        </w:rPr>
      </w:pPr>
      <w:r>
        <w:rPr>
          <w:rFonts w:hint="eastAsia" w:ascii="Times New Roman" w:hAnsi="Times New Roman" w:cs="Times New Roman"/>
          <w:color w:val="auto"/>
        </w:rPr>
        <w:t>表1 抽取样品数量</w:t>
      </w:r>
    </w:p>
    <w:tbl>
      <w:tblPr>
        <w:tblStyle w:val="7"/>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gridCol w:w="711"/>
        <w:gridCol w:w="1215"/>
        <w:gridCol w:w="2767"/>
        <w:gridCol w:w="1769"/>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1021"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序号</w:t>
            </w:r>
          </w:p>
        </w:tc>
        <w:tc>
          <w:tcPr>
            <w:tcW w:w="1926" w:type="dxa"/>
            <w:gridSpan w:val="2"/>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产品名称</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抽样数量</w:t>
            </w:r>
            <w:r>
              <w:rPr>
                <w:rFonts w:hint="eastAsia" w:ascii="Times New Roman" w:hAnsi="Times New Roman" w:cs="Times New Roman"/>
                <w:color w:val="auto"/>
                <w:kern w:val="0"/>
              </w:rPr>
              <w:t>（只/支）</w:t>
            </w:r>
          </w:p>
        </w:tc>
        <w:tc>
          <w:tcPr>
            <w:tcW w:w="1769"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检验样品数量</w:t>
            </w:r>
            <w:r>
              <w:rPr>
                <w:rFonts w:hint="eastAsia" w:ascii="Times New Roman" w:hAnsi="Times New Roman" w:cs="Times New Roman"/>
                <w:color w:val="auto"/>
                <w:kern w:val="0"/>
              </w:rPr>
              <w:t>（只/支）</w:t>
            </w:r>
          </w:p>
        </w:tc>
        <w:tc>
          <w:tcPr>
            <w:tcW w:w="1617" w:type="dxa"/>
            <w:vAlign w:val="center"/>
          </w:tcPr>
          <w:p>
            <w:pPr>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备用样品数量</w:t>
            </w:r>
            <w:r>
              <w:rPr>
                <w:rFonts w:hint="eastAsia" w:ascii="Times New Roman" w:hAnsi="Times New Roman" w:cs="Times New Roman"/>
                <w:color w:val="auto"/>
                <w:kern w:val="0"/>
              </w:rPr>
              <w:t>（只/支）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1</w:t>
            </w:r>
          </w:p>
        </w:tc>
        <w:tc>
          <w:tcPr>
            <w:tcW w:w="1926" w:type="dxa"/>
            <w:gridSpan w:val="2"/>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纸餐具</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70</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50</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w:t>
            </w:r>
          </w:p>
        </w:tc>
        <w:tc>
          <w:tcPr>
            <w:tcW w:w="1926" w:type="dxa"/>
            <w:gridSpan w:val="2"/>
            <w:vAlign w:val="center"/>
          </w:tcPr>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纸盒</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40</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30</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21"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3</w:t>
            </w:r>
          </w:p>
        </w:tc>
        <w:tc>
          <w:tcPr>
            <w:tcW w:w="1926" w:type="dxa"/>
            <w:gridSpan w:val="2"/>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纸袋</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60（若样品过小、过大时，应调整抽样量满足总质量不少于0.25kg,不多于3kg，检验、备样按比例：2:1抽取）</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40</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Merge w:val="restart"/>
            <w:vAlign w:val="center"/>
          </w:tcPr>
          <w:p>
            <w:pPr>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711" w:type="dxa"/>
            <w:vMerge w:val="restart"/>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纸罐</w:t>
            </w:r>
          </w:p>
        </w:tc>
        <w:tc>
          <w:tcPr>
            <w:tcW w:w="1215"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纸板类罐</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30</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25</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021" w:type="dxa"/>
            <w:vMerge w:val="continue"/>
            <w:vAlign w:val="center"/>
          </w:tcPr>
          <w:p>
            <w:pPr>
              <w:autoSpaceDE w:val="0"/>
              <w:autoSpaceDN w:val="0"/>
              <w:adjustRightInd w:val="0"/>
              <w:snapToGrid w:val="0"/>
              <w:spacing w:line="440" w:lineRule="exact"/>
              <w:jc w:val="center"/>
              <w:rPr>
                <w:rFonts w:ascii="Times New Roman" w:hAnsi="Times New Roman" w:cs="Times New Roman"/>
                <w:color w:val="auto"/>
                <w:kern w:val="0"/>
              </w:rPr>
            </w:pPr>
          </w:p>
        </w:tc>
        <w:tc>
          <w:tcPr>
            <w:tcW w:w="711" w:type="dxa"/>
            <w:vMerge w:val="continue"/>
            <w:vAlign w:val="center"/>
          </w:tcPr>
          <w:p>
            <w:pPr>
              <w:autoSpaceDE w:val="0"/>
              <w:autoSpaceDN w:val="0"/>
              <w:adjustRightInd w:val="0"/>
              <w:snapToGrid w:val="0"/>
              <w:spacing w:line="440" w:lineRule="exact"/>
              <w:jc w:val="center"/>
              <w:rPr>
                <w:rFonts w:ascii="Times New Roman" w:hAnsi="Times New Roman" w:cs="Times New Roman"/>
                <w:color w:val="auto"/>
                <w:kern w:val="0"/>
              </w:rPr>
            </w:pPr>
          </w:p>
        </w:tc>
        <w:tc>
          <w:tcPr>
            <w:tcW w:w="1215"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圆柱形复合罐</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50</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40</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021"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5</w:t>
            </w:r>
          </w:p>
        </w:tc>
        <w:tc>
          <w:tcPr>
            <w:tcW w:w="1926" w:type="dxa"/>
            <w:gridSpan w:val="2"/>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纸吸管</w:t>
            </w:r>
          </w:p>
        </w:tc>
        <w:tc>
          <w:tcPr>
            <w:tcW w:w="276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600</w:t>
            </w:r>
          </w:p>
        </w:tc>
        <w:tc>
          <w:tcPr>
            <w:tcW w:w="1769"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400</w:t>
            </w:r>
          </w:p>
        </w:tc>
        <w:tc>
          <w:tcPr>
            <w:tcW w:w="1617" w:type="dxa"/>
            <w:vAlign w:val="center"/>
          </w:tcPr>
          <w:p>
            <w:pPr>
              <w:autoSpaceDE w:val="0"/>
              <w:autoSpaceDN w:val="0"/>
              <w:adjustRightInd w:val="0"/>
              <w:snapToGrid w:val="0"/>
              <w:spacing w:line="440" w:lineRule="exact"/>
              <w:jc w:val="center"/>
              <w:rPr>
                <w:rFonts w:ascii="Times New Roman" w:hAnsi="Times New Roman" w:cs="Times New Roman"/>
                <w:color w:val="auto"/>
                <w:kern w:val="0"/>
              </w:rPr>
            </w:pPr>
            <w:r>
              <w:rPr>
                <w:rFonts w:ascii="Times New Roman" w:hAnsi="Times New Roman" w:cs="Times New Roman"/>
                <w:color w:val="auto"/>
                <w:kern w:val="0"/>
              </w:rPr>
              <w:t>200</w:t>
            </w:r>
          </w:p>
        </w:tc>
      </w:tr>
    </w:tbl>
    <w:p>
      <w:pPr>
        <w:snapToGrid w:val="0"/>
        <w:spacing w:line="440" w:lineRule="exact"/>
        <w:rPr>
          <w:rFonts w:ascii="Times New Roman" w:hAnsi="Times New Roman" w:cs="Times New Roman"/>
          <w:color w:val="auto"/>
        </w:rPr>
      </w:pPr>
    </w:p>
    <w:p>
      <w:pPr>
        <w:snapToGrid w:val="0"/>
        <w:spacing w:before="160" w:line="440" w:lineRule="exact"/>
        <w:rPr>
          <w:rFonts w:ascii="Times New Roman" w:hAnsi="Times New Roman" w:eastAsia="黑体" w:cs="Times New Roman"/>
          <w:color w:val="auto"/>
        </w:rPr>
      </w:pPr>
      <w:r>
        <w:rPr>
          <w:rFonts w:hint="eastAsia" w:ascii="黑体" w:hAnsi="黑体" w:eastAsia="黑体" w:cs="黑体"/>
          <w:color w:val="auto"/>
        </w:rPr>
        <w:t>2 检</w:t>
      </w:r>
      <w:r>
        <w:rPr>
          <w:rFonts w:ascii="Times New Roman" w:hAnsi="Times New Roman" w:eastAsia="黑体" w:cs="Times New Roman"/>
          <w:color w:val="auto"/>
        </w:rPr>
        <w:t>验依据</w:t>
      </w: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2</w:t>
      </w:r>
      <w:r>
        <w:rPr>
          <w:rFonts w:ascii="Times New Roman" w:hAnsi="Times New Roman" w:cs="Times New Roman"/>
          <w:color w:val="auto"/>
        </w:rPr>
        <w:t xml:space="preserve"> 纸餐具（淋膜纸餐具）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3265"/>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31604.34-2016第一部分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12</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耐温试验（95℃±5℃的油、水，30min）</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27589-2011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13</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渗漏性能（95℃±5℃水、油）</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27591-2011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14</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渗漏性能（90℃±5℃水、95℃±5℃油）</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QB/T 2898-2007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567"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15</w:t>
            </w:r>
          </w:p>
        </w:tc>
        <w:tc>
          <w:tcPr>
            <w:tcW w:w="1779"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抗压强度</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27591-2011 </w:t>
            </w:r>
          </w:p>
        </w:tc>
      </w:tr>
    </w:tbl>
    <w:p>
      <w:pPr>
        <w:adjustRightInd w:val="0"/>
        <w:snapToGrid w:val="0"/>
        <w:spacing w:line="440" w:lineRule="exact"/>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3</w:t>
      </w:r>
      <w:r>
        <w:rPr>
          <w:rFonts w:ascii="Times New Roman" w:hAnsi="Times New Roman" w:cs="Times New Roman"/>
          <w:color w:val="auto"/>
        </w:rPr>
        <w:t>纸餐具（纸浆模塑餐具）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31604.34-2016第一部分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adjustRightInd w:val="0"/>
        <w:snapToGrid w:val="0"/>
        <w:spacing w:line="440" w:lineRule="exact"/>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4</w:t>
      </w:r>
      <w:r>
        <w:rPr>
          <w:rFonts w:ascii="Times New Roman" w:hAnsi="Times New Roman" w:cs="Times New Roman"/>
          <w:color w:val="auto"/>
        </w:rPr>
        <w:t xml:space="preserve"> 纸餐具（纸板餐具）</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31604.34-2016第一部分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spacing w:line="440" w:lineRule="exact"/>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5</w:t>
      </w:r>
      <w:r>
        <w:rPr>
          <w:rFonts w:ascii="Times New Roman" w:hAnsi="Times New Roman" w:cs="Times New Roman"/>
          <w:color w:val="auto"/>
        </w:rPr>
        <w:t xml:space="preserve"> 纸盒</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31604.34-2016第一部分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spacing w:line="440" w:lineRule="exact"/>
        <w:jc w:val="left"/>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6</w:t>
      </w:r>
      <w:r>
        <w:rPr>
          <w:rFonts w:ascii="Times New Roman" w:hAnsi="Times New Roman" w:cs="Times New Roman"/>
          <w:color w:val="auto"/>
        </w:rPr>
        <w:t xml:space="preserve"> 纸袋</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31604.34-2016第一部分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31604.38-2016第一部分</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adjustRightInd w:val="0"/>
        <w:snapToGrid w:val="0"/>
        <w:spacing w:line="440" w:lineRule="exact"/>
        <w:jc w:val="center"/>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7</w:t>
      </w:r>
      <w:r>
        <w:rPr>
          <w:rFonts w:ascii="Times New Roman" w:hAnsi="Times New Roman" w:cs="Times New Roman"/>
          <w:color w:val="auto"/>
        </w:rPr>
        <w:t xml:space="preserve"> 纸罐（纸板类罐）</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31604.34-2016 </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或GB 31604.49-2016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spacing w:line="440" w:lineRule="exact"/>
        <w:jc w:val="center"/>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8</w:t>
      </w:r>
      <w:r>
        <w:rPr>
          <w:rFonts w:ascii="Times New Roman" w:hAnsi="Times New Roman" w:cs="Times New Roman"/>
          <w:color w:val="auto"/>
        </w:rPr>
        <w:t xml:space="preserve"> 纸罐（圆柱形复合罐）</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端盖脱离力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10440-2008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轴向压溃力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10440-2008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快速泄漏试验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GB/T 10440-2008 </w:t>
            </w:r>
          </w:p>
        </w:tc>
      </w:tr>
    </w:tbl>
    <w:p>
      <w:pPr>
        <w:adjustRightInd w:val="0"/>
        <w:snapToGrid w:val="0"/>
        <w:spacing w:line="440" w:lineRule="exact"/>
        <w:rPr>
          <w:rFonts w:ascii="Times New Roman" w:hAnsi="Times New Roman" w:cs="Times New Roman"/>
          <w:color w:val="auto"/>
        </w:rPr>
      </w:pPr>
    </w:p>
    <w:p>
      <w:pPr>
        <w:adjustRightInd w:val="0"/>
        <w:snapToGrid w:val="0"/>
        <w:spacing w:line="440" w:lineRule="exact"/>
        <w:jc w:val="center"/>
        <w:rPr>
          <w:rFonts w:ascii="Times New Roman" w:hAnsi="Times New Roman" w:cs="Times New Roman"/>
          <w:color w:val="auto"/>
        </w:rPr>
      </w:pPr>
      <w:r>
        <w:rPr>
          <w:rFonts w:ascii="Times New Roman" w:hAnsi="Times New Roman" w:cs="Times New Roman"/>
          <w:color w:val="auto"/>
        </w:rPr>
        <w:t>表</w:t>
      </w:r>
      <w:r>
        <w:rPr>
          <w:rFonts w:hint="eastAsia" w:ascii="Times New Roman" w:hAnsi="Times New Roman" w:cs="Times New Roman"/>
          <w:color w:val="auto"/>
        </w:rPr>
        <w:t>9</w:t>
      </w:r>
      <w:r>
        <w:rPr>
          <w:rFonts w:ascii="Times New Roman" w:hAnsi="Times New Roman" w:cs="Times New Roman"/>
          <w:color w:val="auto"/>
        </w:rPr>
        <w:t xml:space="preserve"> 纸吸管</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3270"/>
        <w:gridCol w:w="4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序号</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检验项目</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感官要求</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2</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铅</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31604.34-2016 </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或GB 31604.49-2016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3</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砷</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31604.38-2016</w:t>
            </w:r>
          </w:p>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4</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甲醛</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rPr>
              <w:t>5</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荧光性物质</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6</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总迁移量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31604.8</w:t>
            </w:r>
            <w:r>
              <w:rPr>
                <w:rFonts w:ascii="Times New Roman" w:hAnsi="Times New Roman" w:cs="Times New Roman"/>
                <w:color w:val="auto"/>
              </w:rPr>
              <w:t>-20</w:t>
            </w:r>
            <w:r>
              <w:rPr>
                <w:rFonts w:hint="eastAsia" w:ascii="Times New Roman" w:hAnsi="Times New Roman" w:cs="Times New Roman"/>
                <w:color w:val="auto"/>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7</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高锰酸钾消耗量</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8</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重金属（以Pb计）</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9</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大肠菌群</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10</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沙门氏菌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 xml:space="preserve">GB 14934-2016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4" w:type="pct"/>
            <w:vAlign w:val="center"/>
          </w:tcPr>
          <w:p>
            <w:pPr>
              <w:adjustRightInd w:val="0"/>
              <w:snapToGrid w:val="0"/>
              <w:spacing w:beforeLines="20" w:afterLines="20" w:line="440" w:lineRule="exact"/>
              <w:jc w:val="center"/>
              <w:rPr>
                <w:rFonts w:ascii="Times New Roman" w:hAnsi="Times New Roman" w:cs="Times New Roman"/>
                <w:color w:val="auto"/>
                <w:kern w:val="0"/>
              </w:rPr>
            </w:pPr>
            <w:r>
              <w:rPr>
                <w:rFonts w:ascii="Times New Roman" w:hAnsi="Times New Roman" w:cs="Times New Roman"/>
                <w:color w:val="auto"/>
                <w:kern w:val="0"/>
              </w:rPr>
              <w:t>11</w:t>
            </w:r>
          </w:p>
        </w:tc>
        <w:tc>
          <w:tcPr>
            <w:tcW w:w="178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霉菌</w:t>
            </w:r>
          </w:p>
        </w:tc>
        <w:tc>
          <w:tcPr>
            <w:tcW w:w="2652" w:type="pct"/>
            <w:vAlign w:val="center"/>
          </w:tcPr>
          <w:p>
            <w:pPr>
              <w:adjustRightInd w:val="0"/>
              <w:snapToGrid w:val="0"/>
              <w:spacing w:beforeLines="20" w:afterLines="20" w:line="440" w:lineRule="exact"/>
              <w:jc w:val="center"/>
              <w:rPr>
                <w:rFonts w:ascii="Times New Roman" w:hAnsi="Times New Roman" w:cs="Times New Roman"/>
                <w:color w:val="auto"/>
              </w:rPr>
            </w:pPr>
            <w:r>
              <w:rPr>
                <w:rFonts w:ascii="Times New Roman" w:hAnsi="Times New Roman" w:cs="Times New Roman"/>
                <w:color w:val="auto"/>
              </w:rPr>
              <w:t>GB 4789.15-2016</w:t>
            </w:r>
          </w:p>
        </w:tc>
      </w:tr>
    </w:tbl>
    <w:p>
      <w:pPr>
        <w:adjustRightInd w:val="0"/>
        <w:snapToGrid w:val="0"/>
        <w:spacing w:line="440" w:lineRule="exact"/>
        <w:ind w:firstLine="420" w:firstLineChars="200"/>
        <w:rPr>
          <w:rFonts w:ascii="Times New Roman" w:hAnsi="Times New Roman" w:cs="Times New Roman"/>
          <w:color w:val="auto"/>
        </w:rPr>
      </w:pPr>
      <w:bookmarkStart w:id="0" w:name="_Hlk40347690"/>
      <w:r>
        <w:rPr>
          <w:rFonts w:ascii="Times New Roman" w:hAnsi="Times New Roman" w:cs="Times New Roman"/>
          <w:color w:val="auto"/>
        </w:rPr>
        <w:t>执行企业标准、团体标准、地方标准的产品，检验项目参照上述内容执行。</w:t>
      </w:r>
      <w:bookmarkEnd w:id="0"/>
    </w:p>
    <w:p>
      <w:pPr>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Times New Roman" w:hAnsi="Times New Roman" w:cs="Times New Roman"/>
          <w:color w:val="auto"/>
        </w:rPr>
      </w:pPr>
    </w:p>
    <w:p>
      <w:pPr>
        <w:spacing w:line="440" w:lineRule="exact"/>
        <w:rPr>
          <w:rFonts w:ascii="Times New Roman" w:hAnsi="Times New Roman" w:eastAsia="黑体" w:cs="Times New Roman"/>
          <w:color w:val="auto"/>
        </w:rPr>
      </w:pPr>
      <w:r>
        <w:rPr>
          <w:rFonts w:hint="eastAsia" w:ascii="黑体" w:hAnsi="黑体" w:eastAsia="黑体" w:cs="黑体"/>
          <w:color w:val="auto"/>
        </w:rPr>
        <w:t>3 判定规则</w:t>
      </w:r>
    </w:p>
    <w:p>
      <w:pPr>
        <w:snapToGrid w:val="0"/>
        <w:spacing w:line="440" w:lineRule="exact"/>
        <w:rPr>
          <w:rFonts w:ascii="Times New Roman" w:hAnsi="Times New Roman" w:cs="Times New Roman"/>
          <w:color w:val="auto"/>
        </w:rPr>
      </w:pPr>
      <w:r>
        <w:rPr>
          <w:rFonts w:ascii="Times New Roman" w:hAnsi="Times New Roman" w:cs="Times New Roman"/>
          <w:color w:val="auto"/>
        </w:rPr>
        <w:t>3.1依据标准</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GB/T 27589-2011 纸餐盒</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GB/T 27591-2011 纸碗</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QB/T 2898-2007 餐用纸制品</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GB/T 10440-2008 圆柱形复合罐</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GB 4806.7-2016 食品安全国家标准 食品接触用塑料材料及制品</w:t>
      </w:r>
    </w:p>
    <w:p>
      <w:pPr>
        <w:adjustRightInd w:val="0"/>
        <w:snapToGrid w:val="0"/>
        <w:spacing w:line="440" w:lineRule="exact"/>
        <w:ind w:firstLine="420" w:firstLineChars="200"/>
        <w:rPr>
          <w:rFonts w:ascii="Times New Roman" w:hAnsi="Times New Roman" w:cs="Times New Roman"/>
          <w:color w:val="auto"/>
        </w:rPr>
      </w:pPr>
      <w:r>
        <w:rPr>
          <w:rFonts w:ascii="Times New Roman" w:hAnsi="Times New Roman" w:cs="Times New Roman"/>
          <w:color w:val="auto"/>
        </w:rPr>
        <w:t>GB 4806.8-2016 食品安全国家标准 食品接触用纸和纸板材料及制品</w:t>
      </w:r>
    </w:p>
    <w:p>
      <w:pPr>
        <w:snapToGrid w:val="0"/>
        <w:spacing w:line="440" w:lineRule="exact"/>
        <w:ind w:firstLine="359" w:firstLineChars="171"/>
        <w:rPr>
          <w:rFonts w:ascii="Times New Roman" w:hAnsi="Times New Roman" w:cs="Times New Roman"/>
          <w:color w:val="auto"/>
        </w:rPr>
      </w:pPr>
      <w:r>
        <w:rPr>
          <w:rFonts w:ascii="Times New Roman" w:hAnsi="Times New Roman" w:cs="Times New Roman"/>
          <w:color w:val="auto"/>
        </w:rPr>
        <w:t>现行有效的企业标准、团体标准、</w:t>
      </w:r>
      <w:r>
        <w:rPr>
          <w:rFonts w:ascii="Times New Roman" w:hAnsi="Times New Roman" w:cs="Times New Roman"/>
          <w:color w:val="auto"/>
        </w:rPr>
        <w:t>地方标准及产品明示质量要求</w:t>
      </w:r>
    </w:p>
    <w:p>
      <w:pPr>
        <w:snapToGrid w:val="0"/>
        <w:spacing w:line="440" w:lineRule="exact"/>
        <w:rPr>
          <w:rFonts w:ascii="Times New Roman" w:hAnsi="Times New Roman" w:cs="Times New Roman"/>
          <w:color w:val="auto"/>
        </w:rPr>
      </w:pPr>
      <w:r>
        <w:rPr>
          <w:rFonts w:ascii="Times New Roman" w:hAnsi="Times New Roman" w:cs="Times New Roman"/>
          <w:color w:val="auto"/>
        </w:rPr>
        <w:t>3.2判定原则</w:t>
      </w:r>
    </w:p>
    <w:p>
      <w:pPr>
        <w:snapToGrid w:val="0"/>
        <w:spacing w:line="440" w:lineRule="exact"/>
        <w:ind w:firstLine="420" w:firstLineChars="200"/>
        <w:rPr>
          <w:rFonts w:ascii="Times New Roman" w:hAnsi="Times New Roman"/>
          <w:color w:val="auto"/>
        </w:rPr>
      </w:pPr>
      <w:r>
        <w:rPr>
          <w:rFonts w:ascii="Times New Roman" w:hAnsi="Times New Roman"/>
          <w:color w:val="auto"/>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若被检产品明示的质量要求缺少本细则中检验项目依据的推荐性标准要求时，该项目不参与判定。</w:t>
      </w:r>
    </w:p>
    <w:p>
      <w:pPr>
        <w:snapToGrid w:val="0"/>
        <w:spacing w:line="440" w:lineRule="exact"/>
        <w:ind w:firstLine="417" w:firstLineChars="199"/>
        <w:rPr>
          <w:rFonts w:ascii="Times New Roman" w:hAnsi="Times New Roman" w:cs="Times New Roman"/>
          <w:color w:val="auto"/>
        </w:rPr>
      </w:pPr>
      <w:r>
        <w:rPr>
          <w:rFonts w:ascii="Times New Roman" w:hAnsi="Times New Roman" w:cs="Times New Roman"/>
          <w:color w:val="auto"/>
        </w:rPr>
        <w:t>依据卫健委“卫监督发[2005]515号”《健康相关产品国家卫生监督抽检规定》第十九条“产品微生物指标超标的不予复检” 及GB 4789.1-2016 《食品安全国家标准 食品微生物学检验 总则》第7.3条“检验结果报告后，剩余样品和同批产品不进行微生物项目的复检”的规定，微生物（大肠菌群、沙门氏菌、霉菌）项目不合格不复检。</w:t>
      </w:r>
    </w:p>
    <w:p>
      <w:pPr>
        <w:snapToGrid w:val="0"/>
        <w:spacing w:line="440" w:lineRule="exact"/>
        <w:ind w:firstLine="417" w:firstLineChars="199"/>
        <w:rPr>
          <w:rFonts w:ascii="Times New Roman" w:hAnsi="Times New Roman" w:cs="Times New Roman"/>
          <w:color w:val="auto"/>
        </w:rPr>
      </w:pPr>
    </w:p>
    <w:p>
      <w:pPr>
        <w:spacing w:line="440" w:lineRule="exact"/>
        <w:rPr>
          <w:rFonts w:eastAsia="黑体"/>
          <w:color w:val="auto"/>
        </w:rPr>
      </w:pPr>
      <w:r>
        <w:rPr>
          <w:rFonts w:hint="eastAsia" w:ascii="黑体" w:hAnsi="黑体" w:eastAsia="黑体" w:cs="黑体"/>
          <w:color w:val="auto"/>
        </w:rPr>
        <w:t>4</w:t>
      </w:r>
      <w:r>
        <w:rPr>
          <w:rFonts w:hint="eastAsia" w:eastAsia="黑体"/>
          <w:color w:val="auto"/>
        </w:rPr>
        <w:t xml:space="preserve"> 附则</w:t>
      </w:r>
    </w:p>
    <w:p>
      <w:pPr>
        <w:ind w:firstLine="420" w:firstLineChars="200"/>
        <w:rPr>
          <w:rFonts w:ascii="Times New Roman" w:hAnsi="Times New Roman" w:cs="Times New Roman"/>
          <w:color w:val="auto"/>
        </w:rPr>
      </w:pPr>
      <w:r>
        <w:rPr>
          <w:rFonts w:hint="eastAsia"/>
          <w:color w:val="auto"/>
        </w:rPr>
        <w:t>本细则代替《贵州省市场监管局关于发布2022年版贵州省产品质量监督抽查实施细则（第一批）的公告》（黔市监公告〔2022〕46号）中的《贵州省食品接触用纸容器产品质量监督抽查实施细则（</w:t>
      </w:r>
      <w:r>
        <w:rPr>
          <w:rFonts w:hint="eastAsia" w:ascii="Times New Roman" w:hAnsi="Times New Roman" w:cs="Times New Roman"/>
          <w:color w:val="auto"/>
        </w:rPr>
        <w:t>2022年版</w:t>
      </w:r>
      <w:r>
        <w:rPr>
          <w:rFonts w:hint="eastAsia"/>
          <w:color w:val="auto"/>
        </w:rPr>
        <w:t>）》。</w:t>
      </w:r>
    </w:p>
    <w:bookmarkEnd w:id="1"/>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8</w:t>
    </w:r>
    <w:r>
      <w:rPr>
        <w:rFonts w:ascii="Times New Roman" w:hAnsi="Times New Roma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443"/>
    <w:rsid w:val="000A2874"/>
    <w:rsid w:val="000C2594"/>
    <w:rsid w:val="000D04CA"/>
    <w:rsid w:val="001010CA"/>
    <w:rsid w:val="00113FBE"/>
    <w:rsid w:val="00162504"/>
    <w:rsid w:val="001E3443"/>
    <w:rsid w:val="0021277B"/>
    <w:rsid w:val="0024582F"/>
    <w:rsid w:val="002B5082"/>
    <w:rsid w:val="002C7009"/>
    <w:rsid w:val="00322439"/>
    <w:rsid w:val="00356AE1"/>
    <w:rsid w:val="003D4887"/>
    <w:rsid w:val="004E45AA"/>
    <w:rsid w:val="00510516"/>
    <w:rsid w:val="00532231"/>
    <w:rsid w:val="00581E33"/>
    <w:rsid w:val="00593F48"/>
    <w:rsid w:val="005B3CAB"/>
    <w:rsid w:val="005E5680"/>
    <w:rsid w:val="005E632C"/>
    <w:rsid w:val="00605E22"/>
    <w:rsid w:val="0068106E"/>
    <w:rsid w:val="00714FC7"/>
    <w:rsid w:val="00807F42"/>
    <w:rsid w:val="0081150C"/>
    <w:rsid w:val="008A6E90"/>
    <w:rsid w:val="008B6C09"/>
    <w:rsid w:val="008B7B47"/>
    <w:rsid w:val="008C349B"/>
    <w:rsid w:val="008D678E"/>
    <w:rsid w:val="00902387"/>
    <w:rsid w:val="00952410"/>
    <w:rsid w:val="00987140"/>
    <w:rsid w:val="00992502"/>
    <w:rsid w:val="00997662"/>
    <w:rsid w:val="009D60ED"/>
    <w:rsid w:val="00AA4371"/>
    <w:rsid w:val="00B658A9"/>
    <w:rsid w:val="00BD45C8"/>
    <w:rsid w:val="00BE7509"/>
    <w:rsid w:val="00BF34D2"/>
    <w:rsid w:val="00BF76BB"/>
    <w:rsid w:val="00C16879"/>
    <w:rsid w:val="00CB4778"/>
    <w:rsid w:val="00D4428B"/>
    <w:rsid w:val="00D46A99"/>
    <w:rsid w:val="00D56CE1"/>
    <w:rsid w:val="00D63A4A"/>
    <w:rsid w:val="00D74030"/>
    <w:rsid w:val="00D92669"/>
    <w:rsid w:val="00DE0387"/>
    <w:rsid w:val="00E202B2"/>
    <w:rsid w:val="00E66E18"/>
    <w:rsid w:val="00E81DB6"/>
    <w:rsid w:val="00EF7E42"/>
    <w:rsid w:val="00F346AE"/>
    <w:rsid w:val="00F60810"/>
    <w:rsid w:val="06D957A5"/>
    <w:rsid w:val="08680557"/>
    <w:rsid w:val="0B1659B9"/>
    <w:rsid w:val="100C136B"/>
    <w:rsid w:val="10F22FF4"/>
    <w:rsid w:val="13C773FA"/>
    <w:rsid w:val="15E1046E"/>
    <w:rsid w:val="1666503C"/>
    <w:rsid w:val="1AC85A38"/>
    <w:rsid w:val="218923F5"/>
    <w:rsid w:val="2284663F"/>
    <w:rsid w:val="23131BDE"/>
    <w:rsid w:val="26191A4E"/>
    <w:rsid w:val="2B5F098D"/>
    <w:rsid w:val="2FDA6409"/>
    <w:rsid w:val="31406FFC"/>
    <w:rsid w:val="32FE1849"/>
    <w:rsid w:val="38853EBE"/>
    <w:rsid w:val="3B2F38C9"/>
    <w:rsid w:val="3EE95F8A"/>
    <w:rsid w:val="438700C4"/>
    <w:rsid w:val="43B531B7"/>
    <w:rsid w:val="464278AD"/>
    <w:rsid w:val="47965578"/>
    <w:rsid w:val="498C0C76"/>
    <w:rsid w:val="4A4E61B4"/>
    <w:rsid w:val="51064BF1"/>
    <w:rsid w:val="52B55C95"/>
    <w:rsid w:val="55865969"/>
    <w:rsid w:val="5B414FAB"/>
    <w:rsid w:val="5E6B43EC"/>
    <w:rsid w:val="5F1B7F32"/>
    <w:rsid w:val="60BA57F4"/>
    <w:rsid w:val="624C5753"/>
    <w:rsid w:val="634925E4"/>
    <w:rsid w:val="64AC6B49"/>
    <w:rsid w:val="664A0B1C"/>
    <w:rsid w:val="6944085B"/>
    <w:rsid w:val="6C1E5310"/>
    <w:rsid w:val="6E902609"/>
    <w:rsid w:val="761A1EE1"/>
    <w:rsid w:val="77EDC965"/>
    <w:rsid w:val="7B5F19F8"/>
    <w:rsid w:val="7F5BFB3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unhideWhenUsed/>
    <w:qFormat/>
    <w:locked/>
    <w:uiPriority w:val="99"/>
    <w:pPr>
      <w:jc w:val="left"/>
    </w:pPr>
  </w:style>
  <w:style w:type="paragraph" w:styleId="4">
    <w:name w:val="Balloon Text"/>
    <w:basedOn w:val="1"/>
    <w:link w:val="11"/>
    <w:semiHidden/>
    <w:qFormat/>
    <w:uiPriority w:val="99"/>
    <w:rPr>
      <w:rFonts w:cs="Times New Roman"/>
      <w:sz w:val="18"/>
      <w:szCs w:val="18"/>
    </w:rPr>
  </w:style>
  <w:style w:type="paragraph" w:styleId="5">
    <w:name w:val="footer"/>
    <w:basedOn w:val="1"/>
    <w:link w:val="10"/>
    <w:qFormat/>
    <w:uiPriority w:val="99"/>
    <w:pPr>
      <w:tabs>
        <w:tab w:val="center" w:pos="4153"/>
        <w:tab w:val="right" w:pos="8306"/>
      </w:tabs>
      <w:snapToGrid w:val="0"/>
      <w:jc w:val="left"/>
    </w:pPr>
    <w:rPr>
      <w:rFonts w:cs="Times New Roman"/>
      <w:sz w:val="18"/>
      <w:szCs w:val="18"/>
    </w:rPr>
  </w:style>
  <w:style w:type="paragraph" w:styleId="6">
    <w:name w:val="header"/>
    <w:basedOn w:val="1"/>
    <w:link w:val="9"/>
    <w:qFormat/>
    <w:uiPriority w:val="99"/>
    <w:pPr>
      <w:pBdr>
        <w:bottom w:val="single" w:color="auto" w:sz="6" w:space="1"/>
      </w:pBdr>
      <w:tabs>
        <w:tab w:val="center" w:pos="4153"/>
        <w:tab w:val="right" w:pos="8306"/>
      </w:tabs>
      <w:snapToGrid w:val="0"/>
      <w:jc w:val="center"/>
    </w:pPr>
    <w:rPr>
      <w:rFonts w:cs="Times New Roman"/>
      <w:sz w:val="18"/>
      <w:szCs w:val="18"/>
    </w:rPr>
  </w:style>
  <w:style w:type="character" w:customStyle="1" w:styleId="9">
    <w:name w:val="页眉 Char"/>
    <w:link w:val="6"/>
    <w:qFormat/>
    <w:locked/>
    <w:uiPriority w:val="99"/>
    <w:rPr>
      <w:rFonts w:ascii="Calibri" w:hAnsi="Calibri" w:cs="Calibri"/>
      <w:kern w:val="2"/>
      <w:sz w:val="18"/>
      <w:szCs w:val="18"/>
    </w:rPr>
  </w:style>
  <w:style w:type="character" w:customStyle="1" w:styleId="10">
    <w:name w:val="页脚 Char"/>
    <w:link w:val="5"/>
    <w:qFormat/>
    <w:locked/>
    <w:uiPriority w:val="99"/>
    <w:rPr>
      <w:rFonts w:ascii="Calibri" w:hAnsi="Calibri" w:cs="Calibri"/>
      <w:kern w:val="2"/>
      <w:sz w:val="18"/>
      <w:szCs w:val="18"/>
    </w:rPr>
  </w:style>
  <w:style w:type="character" w:customStyle="1" w:styleId="11">
    <w:name w:val="批注框文本 Char"/>
    <w:link w:val="4"/>
    <w:qFormat/>
    <w:locked/>
    <w:uiPriority w:val="99"/>
    <w:rPr>
      <w:rFonts w:ascii="Calibri" w:hAnsi="Calibri" w:cs="Calibri"/>
      <w:kern w:val="2"/>
      <w:sz w:val="18"/>
      <w:szCs w:val="18"/>
    </w:rPr>
  </w:style>
  <w:style w:type="character" w:customStyle="1" w:styleId="12">
    <w:name w:val="文档结构图 Char"/>
    <w:link w:val="2"/>
    <w:semiHidden/>
    <w:qFormat/>
    <w:uiPriority w:val="99"/>
    <w:rPr>
      <w:rFonts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571</Words>
  <Characters>3255</Characters>
  <Lines>27</Lines>
  <Paragraphs>7</Paragraphs>
  <TotalTime>10</TotalTime>
  <ScaleCrop>false</ScaleCrop>
  <LinksUpToDate>false</LinksUpToDate>
  <CharactersWithSpaces>3819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ysgz</cp:lastModifiedBy>
  <dcterms:modified xsi:type="dcterms:W3CDTF">2022-07-18T11:25:20Z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03913330A78540F5A0969D63936B9E7B</vt:lpwstr>
  </property>
</Properties>
</file>