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_GBK" w:eastAsia="方正小标宋_GBK" w:cs="方正仿宋简体"/>
          <w:color w:val="000000"/>
          <w:sz w:val="32"/>
          <w:szCs w:val="32"/>
        </w:rPr>
      </w:pPr>
      <w:r>
        <w:rPr>
          <w:rFonts w:hint="eastAsia" w:ascii="Times New Roman" w:hAnsi="Times New Roman" w:eastAsia="方正小标宋简体" w:cs="方正仿宋简体"/>
          <w:color w:val="000000"/>
          <w:sz w:val="32"/>
          <w:szCs w:val="32"/>
        </w:rPr>
        <w:t>贵州省</w:t>
      </w:r>
      <w:r>
        <w:rPr>
          <w:rFonts w:ascii="Times New Roman" w:hAnsi="Times New Roman" w:eastAsia="方正小标宋简体" w:cs="方正仿宋简体"/>
          <w:color w:val="000000"/>
          <w:sz w:val="32"/>
          <w:szCs w:val="32"/>
        </w:rPr>
        <w:t>木家具产品质量监督抽查实施细则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ascii="Times New Roman" w:hAnsi="Times New Roman" w:eastAsia="方正小标宋简体" w:cs="方正仿宋简体"/>
          <w:color w:val="000000"/>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snapToGrid w:val="0"/>
        <w:spacing w:line="440" w:lineRule="exact"/>
        <w:ind w:firstLine="420" w:firstLineChars="200"/>
        <w:rPr>
          <w:rFonts w:ascii="Times New Roman" w:hAnsi="Times New Roman"/>
          <w:color w:val="000000"/>
          <w:szCs w:val="21"/>
        </w:rPr>
      </w:pPr>
      <w:r>
        <w:rPr>
          <w:rFonts w:ascii="Times New Roman" w:hAnsi="Times New Roman"/>
          <w:color w:val="000000"/>
          <w:szCs w:val="21"/>
        </w:rPr>
        <w:t>随机数一般可使用随机数表等方法产生。</w:t>
      </w:r>
    </w:p>
    <w:p>
      <w:pPr>
        <w:adjustRightInd w:val="0"/>
        <w:snapToGrid w:val="0"/>
        <w:spacing w:line="440" w:lineRule="exact"/>
        <w:ind w:firstLine="420" w:firstLineChars="200"/>
        <w:rPr>
          <w:rFonts w:hint="eastAsia" w:ascii="宋体" w:hAnsi="宋体"/>
          <w:szCs w:val="21"/>
        </w:rPr>
      </w:pPr>
      <w:r>
        <w:rPr>
          <w:rFonts w:hint="eastAsia" w:ascii="宋体" w:hAnsi="宋体"/>
          <w:szCs w:val="21"/>
        </w:rPr>
        <w:t>每批次产品抽取样品</w:t>
      </w:r>
      <w:r>
        <w:rPr>
          <w:rFonts w:ascii="Times New Roman" w:hAnsi="Times New Roman"/>
          <w:szCs w:val="21"/>
        </w:rPr>
        <w:t>2</w:t>
      </w:r>
      <w:r>
        <w:rPr>
          <w:rFonts w:hint="eastAsia" w:ascii="Times New Roman" w:hAnsi="Times New Roman"/>
          <w:szCs w:val="21"/>
        </w:rPr>
        <w:t>件</w:t>
      </w:r>
      <w:r>
        <w:rPr>
          <w:rFonts w:ascii="Times New Roman" w:hAnsi="Times New Roman"/>
          <w:szCs w:val="21"/>
        </w:rPr>
        <w:t>，其中1</w:t>
      </w:r>
      <w:r>
        <w:rPr>
          <w:rFonts w:hint="eastAsia" w:ascii="Times New Roman" w:hAnsi="Times New Roman"/>
          <w:szCs w:val="21"/>
        </w:rPr>
        <w:t>件</w:t>
      </w:r>
      <w:r>
        <w:rPr>
          <w:rFonts w:ascii="Times New Roman" w:hAnsi="Times New Roman"/>
          <w:szCs w:val="21"/>
        </w:rPr>
        <w:t>作为检验样品，1</w:t>
      </w:r>
      <w:r>
        <w:rPr>
          <w:rFonts w:hint="eastAsia" w:ascii="Times New Roman" w:hAnsi="Times New Roman"/>
          <w:szCs w:val="21"/>
        </w:rPr>
        <w:t>件</w:t>
      </w:r>
      <w:r>
        <w:rPr>
          <w:rFonts w:ascii="Times New Roman" w:hAnsi="Times New Roman"/>
          <w:szCs w:val="21"/>
        </w:rPr>
        <w:t>作</w:t>
      </w:r>
      <w:r>
        <w:rPr>
          <w:rFonts w:hint="eastAsia" w:ascii="宋体" w:hAnsi="宋体"/>
          <w:szCs w:val="21"/>
        </w:rPr>
        <w:t>为备用样品。</w:t>
      </w:r>
    </w:p>
    <w:p>
      <w:pPr>
        <w:adjustRightInd w:val="0"/>
        <w:snapToGrid w:val="0"/>
        <w:spacing w:line="440" w:lineRule="exact"/>
        <w:ind w:firstLine="420" w:firstLineChars="200"/>
        <w:rPr>
          <w:rFonts w:ascii="宋体" w:hAnsi="宋体"/>
          <w:szCs w:val="21"/>
        </w:rPr>
      </w:pPr>
    </w:p>
    <w:p>
      <w:pPr>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2 检验依据</w:t>
      </w:r>
    </w:p>
    <w:tbl>
      <w:tblPr>
        <w:tblStyle w:val="10"/>
        <w:tblpPr w:leftFromText="180" w:rightFromText="180" w:vertAnchor="text" w:horzAnchor="page" w:tblpX="1807" w:tblpY="423"/>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657"/>
        <w:gridCol w:w="2866"/>
        <w:gridCol w:w="2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blHeader/>
        </w:trPr>
        <w:tc>
          <w:tcPr>
            <w:tcW w:w="474" w:type="pct"/>
            <w:vAlign w:val="center"/>
          </w:tcPr>
          <w:p>
            <w:pPr>
              <w:spacing w:line="440" w:lineRule="exact"/>
              <w:jc w:val="center"/>
              <w:textAlignment w:val="center"/>
              <w:rPr>
                <w:rFonts w:ascii="Times New Roman" w:hAnsi="Times New Roman"/>
                <w:szCs w:val="21"/>
              </w:rPr>
            </w:pPr>
            <w:r>
              <w:rPr>
                <w:rFonts w:ascii="Times New Roman" w:hAnsi="Times New Roman"/>
              </w:rPr>
              <w:t>序号</w:t>
            </w:r>
          </w:p>
        </w:tc>
        <w:tc>
          <w:tcPr>
            <w:tcW w:w="3010" w:type="pct"/>
            <w:gridSpan w:val="2"/>
            <w:vAlign w:val="center"/>
          </w:tcPr>
          <w:p>
            <w:pPr>
              <w:spacing w:line="440" w:lineRule="exact"/>
              <w:jc w:val="center"/>
              <w:textAlignment w:val="center"/>
              <w:rPr>
                <w:rFonts w:ascii="Times New Roman" w:hAnsi="Times New Roman"/>
                <w:szCs w:val="21"/>
              </w:rPr>
            </w:pPr>
            <w:r>
              <w:rPr>
                <w:rFonts w:ascii="Times New Roman" w:hAnsi="Times New Roman"/>
              </w:rPr>
              <w:t>检验项目</w:t>
            </w:r>
          </w:p>
        </w:tc>
        <w:tc>
          <w:tcPr>
            <w:tcW w:w="1514" w:type="pct"/>
            <w:vAlign w:val="center"/>
          </w:tcPr>
          <w:p>
            <w:pPr>
              <w:spacing w:line="440" w:lineRule="exact"/>
              <w:jc w:val="center"/>
              <w:textAlignment w:val="center"/>
              <w:rPr>
                <w:rFonts w:ascii="Times New Roman" w:hAnsi="Times New Roman"/>
                <w:szCs w:val="21"/>
              </w:rPr>
            </w:pPr>
            <w:r>
              <w:rPr>
                <w:rFonts w:ascii="Times New Roman" w:hAnsi="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3010" w:type="pct"/>
            <w:gridSpan w:val="2"/>
            <w:vAlign w:val="center"/>
          </w:tcPr>
          <w:p>
            <w:pPr>
              <w:snapToGrid w:val="0"/>
              <w:jc w:val="center"/>
              <w:rPr>
                <w:rFonts w:ascii="Times New Roman" w:hAnsi="Times New Roman"/>
                <w:color w:val="000000"/>
                <w:szCs w:val="21"/>
              </w:rPr>
            </w:pPr>
            <w:r>
              <w:rPr>
                <w:rFonts w:ascii="Times New Roman" w:hAnsi="Times New Roman"/>
                <w:color w:val="000000"/>
                <w:szCs w:val="21"/>
              </w:rPr>
              <w:t>木工要求</w:t>
            </w:r>
          </w:p>
        </w:tc>
        <w:tc>
          <w:tcPr>
            <w:tcW w:w="1514" w:type="pct"/>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表面理化性能（漆膜）</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耐液性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耐湿热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附着力</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7</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8</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表面理化性能（软、硬质覆面）</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耐冷热循环</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耐干热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耐湿热</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11</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表面耐磨性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12</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抗冲击</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13</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力学性能（柜类）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结构和底架强度试验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推拉构件结构强度试验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推拉构件强度试验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17</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力学性能（桌类）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18</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水平静载荷试验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19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桌面垂直冲击试验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桌腿跌落试验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21</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力学性能（椅凳类）</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座面和椅背静载荷试验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椅腿前向静载荷试验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椅腿侧向静载荷试验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座面冲击试验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跌落试验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27</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稳定性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28</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力学性能（单层床）</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床铺面集中静载荷试验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29</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床长边静载荷试验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30</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床铺面冲击载荷试验</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31</w:t>
            </w:r>
          </w:p>
        </w:tc>
        <w:tc>
          <w:tcPr>
            <w:tcW w:w="3010" w:type="pct"/>
            <w:gridSpan w:val="2"/>
            <w:vAlign w:val="center"/>
          </w:tcPr>
          <w:p>
            <w:pPr>
              <w:snapToGrid w:val="0"/>
              <w:jc w:val="center"/>
              <w:rPr>
                <w:rFonts w:ascii="Times New Roman" w:hAnsi="Times New Roman"/>
                <w:color w:val="000000"/>
                <w:szCs w:val="21"/>
              </w:rPr>
            </w:pPr>
            <w:r>
              <w:rPr>
                <w:rFonts w:ascii="Times New Roman" w:hAnsi="Times New Roman"/>
                <w:color w:val="000000"/>
                <w:szCs w:val="21"/>
              </w:rPr>
              <w:t>结构安全性</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32</w:t>
            </w:r>
          </w:p>
        </w:tc>
        <w:tc>
          <w:tcPr>
            <w:tcW w:w="1448" w:type="pct"/>
            <w:vMerge w:val="restart"/>
            <w:vAlign w:val="center"/>
          </w:tcPr>
          <w:p>
            <w:pPr>
              <w:snapToGrid w:val="0"/>
              <w:jc w:val="center"/>
              <w:rPr>
                <w:rFonts w:ascii="Times New Roman" w:hAnsi="Times New Roman"/>
                <w:color w:val="000000"/>
                <w:szCs w:val="21"/>
              </w:rPr>
            </w:pPr>
            <w:r>
              <w:rPr>
                <w:rFonts w:ascii="Times New Roman" w:hAnsi="Times New Roman"/>
                <w:color w:val="000000"/>
                <w:szCs w:val="21"/>
              </w:rPr>
              <w:t>有害物质限量</w:t>
            </w: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甲醛释放量</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33</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（可溶性铅）</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34</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（可溶性镉）</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35</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（可溶性铬）</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74" w:type="pct"/>
            <w:vAlign w:val="center"/>
          </w:tcPr>
          <w:p>
            <w:pPr>
              <w:snapToGrid w:val="0"/>
              <w:jc w:val="center"/>
              <w:rPr>
                <w:rFonts w:ascii="Times New Roman" w:hAnsi="Times New Roman"/>
                <w:color w:val="000000"/>
                <w:szCs w:val="21"/>
              </w:rPr>
            </w:pPr>
            <w:r>
              <w:rPr>
                <w:rFonts w:ascii="Times New Roman" w:hAnsi="Times New Roman"/>
                <w:color w:val="000000"/>
                <w:szCs w:val="21"/>
              </w:rPr>
              <w:t>36</w:t>
            </w:r>
          </w:p>
        </w:tc>
        <w:tc>
          <w:tcPr>
            <w:tcW w:w="1448" w:type="pct"/>
            <w:vMerge w:val="continue"/>
            <w:vAlign w:val="center"/>
          </w:tcPr>
          <w:p>
            <w:pPr>
              <w:snapToGrid w:val="0"/>
              <w:jc w:val="center"/>
              <w:rPr>
                <w:rFonts w:ascii="Times New Roman" w:hAnsi="Times New Roman"/>
                <w:color w:val="000000"/>
                <w:szCs w:val="21"/>
              </w:rPr>
            </w:pPr>
          </w:p>
        </w:tc>
        <w:tc>
          <w:tcPr>
            <w:tcW w:w="1562" w:type="pct"/>
            <w:vAlign w:val="center"/>
          </w:tcPr>
          <w:p>
            <w:pPr>
              <w:snapToGrid w:val="0"/>
              <w:jc w:val="center"/>
              <w:rPr>
                <w:rFonts w:ascii="Times New Roman" w:hAnsi="Times New Roman"/>
                <w:color w:val="000000"/>
                <w:szCs w:val="21"/>
              </w:rPr>
            </w:pPr>
            <w:r>
              <w:rPr>
                <w:rFonts w:ascii="Times New Roman" w:hAnsi="Times New Roman"/>
                <w:color w:val="000000"/>
                <w:szCs w:val="21"/>
              </w:rPr>
              <w:t>重金属含量</w:t>
            </w:r>
          </w:p>
          <w:p>
            <w:pPr>
              <w:snapToGrid w:val="0"/>
              <w:jc w:val="center"/>
              <w:rPr>
                <w:rFonts w:ascii="Times New Roman" w:hAnsi="Times New Roman"/>
                <w:color w:val="000000"/>
                <w:szCs w:val="21"/>
              </w:rPr>
            </w:pPr>
            <w:r>
              <w:rPr>
                <w:rFonts w:ascii="Times New Roman" w:hAnsi="Times New Roman"/>
                <w:color w:val="000000"/>
                <w:szCs w:val="21"/>
              </w:rPr>
              <w:t>（可溶性汞）</w:t>
            </w:r>
          </w:p>
        </w:tc>
        <w:tc>
          <w:tcPr>
            <w:tcW w:w="1514" w:type="pct"/>
            <w:vAlign w:val="center"/>
          </w:tcPr>
          <w:p>
            <w:pPr>
              <w:snapToGrid w:val="0"/>
              <w:jc w:val="center"/>
              <w:rPr>
                <w:rFonts w:ascii="Times New Roman" w:hAnsi="Times New Roman"/>
                <w:color w:val="000000"/>
                <w:szCs w:val="21"/>
              </w:rPr>
            </w:pPr>
            <w:r>
              <w:rPr>
                <w:rFonts w:ascii="Times New Roman" w:hAnsi="Times New Roman"/>
                <w:color w:val="000000"/>
                <w:szCs w:val="21"/>
              </w:rPr>
              <w:t>GB/T 3324-2017</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hint="eastAsia" w:ascii="Times New Roman" w:hAnsi="Times New Roman"/>
          <w:color w:val="000000"/>
          <w:szCs w:val="21"/>
        </w:rPr>
      </w:pPr>
      <w:r>
        <w:rPr>
          <w:rFonts w:ascii="Times New Roman" w:hAnsi="Times New Roman"/>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Times New Roman" w:hAnsi="Times New Roman"/>
          <w:color w:val="000000"/>
          <w:szCs w:val="21"/>
        </w:rPr>
      </w:pPr>
    </w:p>
    <w:p>
      <w:pPr>
        <w:spacing w:line="360" w:lineRule="auto"/>
        <w:rPr>
          <w:rFonts w:ascii="Times New Roman" w:hAnsi="Times New Roman" w:eastAsia="黑体"/>
          <w:color w:val="000000"/>
          <w:szCs w:val="21"/>
        </w:rPr>
      </w:pPr>
      <w:r>
        <w:rPr>
          <w:rFonts w:ascii="Times New Roman" w:hAnsi="Times New Roman" w:eastAsia="黑体"/>
          <w:color w:val="000000"/>
          <w:szCs w:val="21"/>
        </w:rPr>
        <w:t>3 判定规则</w:t>
      </w:r>
    </w:p>
    <w:p>
      <w:pPr>
        <w:snapToGrid w:val="0"/>
        <w:spacing w:line="360" w:lineRule="auto"/>
        <w:rPr>
          <w:rFonts w:ascii="Times New Roman" w:hAnsi="Times New Roman"/>
          <w:color w:val="000000"/>
          <w:szCs w:val="21"/>
        </w:rPr>
      </w:pPr>
      <w:r>
        <w:rPr>
          <w:rFonts w:ascii="Times New Roman" w:hAnsi="Times New Roman"/>
          <w:color w:val="000000"/>
          <w:szCs w:val="21"/>
        </w:rPr>
        <w:t>3.1依据标准</w:t>
      </w:r>
    </w:p>
    <w:p>
      <w:pPr>
        <w:snapToGrid w:val="0"/>
        <w:spacing w:line="360" w:lineRule="auto"/>
        <w:ind w:firstLine="420" w:firstLineChars="200"/>
        <w:rPr>
          <w:rFonts w:ascii="Times New Roman" w:hAnsi="Times New Roman"/>
          <w:color w:val="000000"/>
          <w:szCs w:val="21"/>
        </w:rPr>
      </w:pPr>
      <w:r>
        <w:rPr>
          <w:rFonts w:ascii="Times New Roman" w:hAnsi="Times New Roman"/>
          <w:color w:val="000000"/>
          <w:szCs w:val="21"/>
        </w:rPr>
        <w:t>GB/T 3324-2017</w:t>
      </w:r>
      <w:r>
        <w:rPr>
          <w:rFonts w:hint="eastAsia" w:ascii="Times New Roman" w:hAnsi="Times New Roman"/>
          <w:color w:val="000000"/>
          <w:szCs w:val="21"/>
        </w:rPr>
        <w:t xml:space="preserve"> </w:t>
      </w:r>
      <w:r>
        <w:rPr>
          <w:rFonts w:ascii="Times New Roman" w:hAnsi="Times New Roman"/>
          <w:color w:val="000000"/>
          <w:szCs w:val="21"/>
        </w:rPr>
        <w:t>木家具通用技术条件</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现行有效的企业标准、团体标准、地方标准及产品明示质量要求</w:t>
      </w:r>
    </w:p>
    <w:p>
      <w:pPr>
        <w:snapToGrid w:val="0"/>
        <w:spacing w:line="360" w:lineRule="auto"/>
        <w:rPr>
          <w:rFonts w:ascii="Times New Roman" w:hAnsi="Times New Roman"/>
          <w:color w:val="000000"/>
          <w:szCs w:val="21"/>
        </w:rPr>
      </w:pPr>
      <w:r>
        <w:rPr>
          <w:rFonts w:ascii="Times New Roman" w:hAnsi="Times New Roman"/>
          <w:color w:val="000000"/>
          <w:szCs w:val="21"/>
        </w:rPr>
        <w:t>3.2判定原则</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经检验，检验项目全部合格，判定为被抽查产品所检项目未发现不合格；检验项目中任一项或一项以上不合格，判定为被抽查产品不合格。</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若被检产品明示的质量要求高于本细则中检验项目依据的标准要求时，应按被检产品明示的质量要求判定。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若被检产品明示的质量要求低于或包含本细则中检验项目依据的推荐性标准要求时，应以被检产品明示的质量要求判定。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若被检产品明示的质量要求缺少本细则中检验项目依据的强制性标准要求时，应按照强制性标准要求判定。</w:t>
      </w:r>
    </w:p>
    <w:p>
      <w:pPr>
        <w:snapToGrid w:val="0"/>
        <w:spacing w:line="384" w:lineRule="auto"/>
        <w:ind w:firstLine="420" w:firstLineChars="200"/>
        <w:rPr>
          <w:rFonts w:ascii="Times New Roman" w:hAnsi="Times New Roman"/>
          <w:color w:val="000000"/>
          <w:szCs w:val="21"/>
        </w:rPr>
      </w:pPr>
      <w:r>
        <w:rPr>
          <w:rFonts w:ascii="Times New Roman" w:hAnsi="Times New Roman"/>
          <w:color w:val="000000"/>
          <w:szCs w:val="21"/>
        </w:rPr>
        <w:t>若被检产品明示的质量要求缺少本细则中检验项目依据的推荐性标准要求时，该项目不参与判定。</w:t>
      </w:r>
    </w:p>
    <w:p>
      <w:pPr>
        <w:snapToGrid w:val="0"/>
        <w:spacing w:line="384" w:lineRule="auto"/>
        <w:ind w:firstLine="420" w:firstLineChars="200"/>
        <w:rPr>
          <w:rFonts w:ascii="Times New Roman" w:hAnsi="Times New Roman"/>
          <w:color w:val="000000"/>
          <w:szCs w:val="21"/>
        </w:rPr>
      </w:pPr>
    </w:p>
    <w:p>
      <w:pPr>
        <w:spacing w:line="440" w:lineRule="exact"/>
        <w:rPr>
          <w:rFonts w:hint="eastAsia" w:eastAsia="黑体"/>
          <w:color w:val="000000"/>
          <w:szCs w:val="21"/>
        </w:rPr>
      </w:pPr>
      <w:r>
        <w:rPr>
          <w:rFonts w:hint="eastAsia" w:eastAsia="黑体"/>
          <w:color w:val="000000"/>
          <w:szCs w:val="21"/>
        </w:rPr>
        <w:t>4 附则</w:t>
      </w:r>
    </w:p>
    <w:p>
      <w:pPr>
        <w:ind w:firstLine="420" w:firstLineChars="200"/>
        <w:rPr>
          <w:rFonts w:hint="eastAsia"/>
          <w:color w:val="000000"/>
          <w:szCs w:val="21"/>
        </w:rPr>
      </w:pPr>
      <w:r>
        <w:rPr>
          <w:rFonts w:hint="eastAsia"/>
          <w:color w:val="000000"/>
          <w:szCs w:val="21"/>
        </w:rPr>
        <w:t>本细则代替《</w:t>
      </w:r>
      <w:r>
        <w:rPr>
          <w:rFonts w:hint="eastAsia"/>
          <w:color w:val="000000"/>
          <w:szCs w:val="21"/>
          <w:lang w:eastAsia="zh-CN"/>
        </w:rPr>
        <w:t>贵</w:t>
      </w:r>
      <w:bookmarkStart w:id="0" w:name="_GoBack"/>
      <w:bookmarkEnd w:id="0"/>
      <w:r>
        <w:rPr>
          <w:rFonts w:hint="eastAsia"/>
          <w:color w:val="000000"/>
          <w:szCs w:val="21"/>
          <w:lang w:eastAsia="zh-CN"/>
        </w:rPr>
        <w:t>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号）中的《贵州省木家具产品质量监督抽查实施细则（</w:t>
      </w:r>
      <w:r>
        <w:rPr>
          <w:rFonts w:hint="eastAsia"/>
          <w:color w:val="000000"/>
          <w:szCs w:val="21"/>
          <w:lang w:val="en-US" w:eastAsia="zh-CN"/>
        </w:rPr>
        <w:t>2022版</w:t>
      </w:r>
      <w:r>
        <w:rPr>
          <w:rFonts w:hint="eastAsia"/>
          <w:color w:val="000000"/>
          <w:szCs w:val="21"/>
        </w:rPr>
        <w:t>）》。</w:t>
      </w:r>
    </w:p>
    <w:p>
      <w:pPr>
        <w:snapToGrid w:val="0"/>
        <w:spacing w:line="384" w:lineRule="auto"/>
        <w:ind w:firstLine="420" w:firstLineChars="200"/>
        <w:rPr>
          <w:rFonts w:ascii="Times New Roman" w:hAnsi="Times New Roman"/>
          <w:color w:val="000000"/>
          <w:szCs w:val="21"/>
        </w:rPr>
      </w:pP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611BA"/>
    <w:rsid w:val="00014997"/>
    <w:rsid w:val="00052D0A"/>
    <w:rsid w:val="0006741A"/>
    <w:rsid w:val="00080190"/>
    <w:rsid w:val="000A0C0F"/>
    <w:rsid w:val="000A1F68"/>
    <w:rsid w:val="0010045C"/>
    <w:rsid w:val="001134E2"/>
    <w:rsid w:val="0013450E"/>
    <w:rsid w:val="00135D58"/>
    <w:rsid w:val="001479E1"/>
    <w:rsid w:val="00175325"/>
    <w:rsid w:val="001960E8"/>
    <w:rsid w:val="00197FAE"/>
    <w:rsid w:val="001B1ECE"/>
    <w:rsid w:val="001B3557"/>
    <w:rsid w:val="001D3021"/>
    <w:rsid w:val="001E7E75"/>
    <w:rsid w:val="001F4D89"/>
    <w:rsid w:val="002642D1"/>
    <w:rsid w:val="00283526"/>
    <w:rsid w:val="00287CFB"/>
    <w:rsid w:val="002A1067"/>
    <w:rsid w:val="002B6418"/>
    <w:rsid w:val="002C75FA"/>
    <w:rsid w:val="002F3260"/>
    <w:rsid w:val="00301FD0"/>
    <w:rsid w:val="00342341"/>
    <w:rsid w:val="00354255"/>
    <w:rsid w:val="00355360"/>
    <w:rsid w:val="003611BA"/>
    <w:rsid w:val="003701D3"/>
    <w:rsid w:val="003C4925"/>
    <w:rsid w:val="004565AD"/>
    <w:rsid w:val="004A4DFC"/>
    <w:rsid w:val="004B58D8"/>
    <w:rsid w:val="004B599D"/>
    <w:rsid w:val="004C6EAB"/>
    <w:rsid w:val="004C79DF"/>
    <w:rsid w:val="004D05AF"/>
    <w:rsid w:val="00507AE0"/>
    <w:rsid w:val="0051512A"/>
    <w:rsid w:val="00560FE5"/>
    <w:rsid w:val="00624DD6"/>
    <w:rsid w:val="006350F9"/>
    <w:rsid w:val="00652075"/>
    <w:rsid w:val="00652B40"/>
    <w:rsid w:val="00660FFF"/>
    <w:rsid w:val="0067449B"/>
    <w:rsid w:val="00675807"/>
    <w:rsid w:val="006C75F5"/>
    <w:rsid w:val="006F3686"/>
    <w:rsid w:val="006F6818"/>
    <w:rsid w:val="00700705"/>
    <w:rsid w:val="007032EA"/>
    <w:rsid w:val="00712FE6"/>
    <w:rsid w:val="00721DBD"/>
    <w:rsid w:val="00766407"/>
    <w:rsid w:val="007C5B37"/>
    <w:rsid w:val="007E7B78"/>
    <w:rsid w:val="00801099"/>
    <w:rsid w:val="0081765C"/>
    <w:rsid w:val="008536DB"/>
    <w:rsid w:val="00863267"/>
    <w:rsid w:val="00863F48"/>
    <w:rsid w:val="00872CC4"/>
    <w:rsid w:val="008737DB"/>
    <w:rsid w:val="008B262B"/>
    <w:rsid w:val="008E4C32"/>
    <w:rsid w:val="008F131B"/>
    <w:rsid w:val="00911043"/>
    <w:rsid w:val="00933214"/>
    <w:rsid w:val="00963128"/>
    <w:rsid w:val="009A6925"/>
    <w:rsid w:val="009B3AF3"/>
    <w:rsid w:val="009B48C4"/>
    <w:rsid w:val="009C1C38"/>
    <w:rsid w:val="009D2CD9"/>
    <w:rsid w:val="009D2E2A"/>
    <w:rsid w:val="009E6086"/>
    <w:rsid w:val="009F189F"/>
    <w:rsid w:val="00A055B0"/>
    <w:rsid w:val="00A0674B"/>
    <w:rsid w:val="00A256FA"/>
    <w:rsid w:val="00A5157E"/>
    <w:rsid w:val="00A66A3D"/>
    <w:rsid w:val="00A7543F"/>
    <w:rsid w:val="00A77E8A"/>
    <w:rsid w:val="00A916BA"/>
    <w:rsid w:val="00AB2350"/>
    <w:rsid w:val="00AB462B"/>
    <w:rsid w:val="00AE1821"/>
    <w:rsid w:val="00AE471A"/>
    <w:rsid w:val="00AE5734"/>
    <w:rsid w:val="00AF5572"/>
    <w:rsid w:val="00B51584"/>
    <w:rsid w:val="00B54E2B"/>
    <w:rsid w:val="00B55224"/>
    <w:rsid w:val="00B80476"/>
    <w:rsid w:val="00B97F97"/>
    <w:rsid w:val="00BD2490"/>
    <w:rsid w:val="00C17712"/>
    <w:rsid w:val="00C17F20"/>
    <w:rsid w:val="00C207B1"/>
    <w:rsid w:val="00C21785"/>
    <w:rsid w:val="00C345BB"/>
    <w:rsid w:val="00C46A22"/>
    <w:rsid w:val="00C57739"/>
    <w:rsid w:val="00C9467F"/>
    <w:rsid w:val="00CD3877"/>
    <w:rsid w:val="00CD7EE7"/>
    <w:rsid w:val="00CF5F1B"/>
    <w:rsid w:val="00D1325F"/>
    <w:rsid w:val="00D31DB4"/>
    <w:rsid w:val="00D6657B"/>
    <w:rsid w:val="00D732ED"/>
    <w:rsid w:val="00D85C2A"/>
    <w:rsid w:val="00D879A0"/>
    <w:rsid w:val="00D9506C"/>
    <w:rsid w:val="00DC0140"/>
    <w:rsid w:val="00DD7E3B"/>
    <w:rsid w:val="00E1489E"/>
    <w:rsid w:val="00E24FC8"/>
    <w:rsid w:val="00E66BAB"/>
    <w:rsid w:val="00E96130"/>
    <w:rsid w:val="00EF0AC2"/>
    <w:rsid w:val="00F24C84"/>
    <w:rsid w:val="00FA2884"/>
    <w:rsid w:val="00FA45C8"/>
    <w:rsid w:val="00FA59DC"/>
    <w:rsid w:val="00FC0C80"/>
    <w:rsid w:val="00FE1549"/>
    <w:rsid w:val="01757279"/>
    <w:rsid w:val="02394E6E"/>
    <w:rsid w:val="071C39DD"/>
    <w:rsid w:val="0C3020D5"/>
    <w:rsid w:val="0D184869"/>
    <w:rsid w:val="14707C4A"/>
    <w:rsid w:val="14A748C1"/>
    <w:rsid w:val="29817179"/>
    <w:rsid w:val="2C062286"/>
    <w:rsid w:val="4A1D0919"/>
    <w:rsid w:val="55CC633D"/>
    <w:rsid w:val="60D566FD"/>
    <w:rsid w:val="61D054C2"/>
    <w:rsid w:val="61F5033B"/>
    <w:rsid w:val="652F585C"/>
    <w:rsid w:val="723415EF"/>
    <w:rsid w:val="97E8B252"/>
    <w:rsid w:val="FFBED6C3"/>
    <w:rsid w:val="FFD79B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Indent"/>
    <w:basedOn w:val="1"/>
    <w:link w:val="16"/>
    <w:qFormat/>
    <w:uiPriority w:val="0"/>
    <w:pPr>
      <w:ind w:firstLine="600" w:firstLineChars="200"/>
    </w:pPr>
    <w:rPr>
      <w:rFonts w:ascii="Times New Roman" w:hAnsi="Times New Roman" w:eastAsia="仿宋_GB2312"/>
      <w:sz w:val="30"/>
      <w:szCs w:val="24"/>
    </w:rPr>
  </w:style>
  <w:style w:type="paragraph" w:styleId="5">
    <w:name w:val="Plain Text"/>
    <w:basedOn w:val="1"/>
    <w:link w:val="17"/>
    <w:unhideWhenUsed/>
    <w:qFormat/>
    <w:uiPriority w:val="99"/>
    <w:rPr>
      <w:rFonts w:ascii="宋体" w:hAnsi="Courier New"/>
      <w:kern w:val="0"/>
      <w:sz w:val="20"/>
      <w:szCs w:val="20"/>
    </w:rPr>
  </w:style>
  <w:style w:type="paragraph" w:styleId="6">
    <w:name w:val="Balloon Text"/>
    <w:basedOn w:val="1"/>
    <w:link w:val="18"/>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table" w:styleId="11">
    <w:name w:val="Table Grid"/>
    <w:basedOn w:val="1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qFormat/>
    <w:uiPriority w:val="9"/>
    <w:rPr>
      <w:rFonts w:ascii="Calibri" w:hAnsi="Calibri" w:eastAsia="宋体" w:cs="Times New Roman"/>
      <w:b/>
      <w:bCs/>
      <w:kern w:val="44"/>
      <w:sz w:val="44"/>
      <w:szCs w:val="44"/>
    </w:rPr>
  </w:style>
  <w:style w:type="character" w:customStyle="1" w:styleId="16">
    <w:name w:val="正文文本缩进 Char"/>
    <w:basedOn w:val="12"/>
    <w:link w:val="4"/>
    <w:qFormat/>
    <w:uiPriority w:val="0"/>
    <w:rPr>
      <w:rFonts w:ascii="Times New Roman" w:hAnsi="Times New Roman" w:eastAsia="仿宋_GB2312" w:cs="Times New Roman"/>
      <w:sz w:val="30"/>
      <w:szCs w:val="24"/>
    </w:rPr>
  </w:style>
  <w:style w:type="character" w:customStyle="1" w:styleId="17">
    <w:name w:val="纯文本 Char"/>
    <w:basedOn w:val="12"/>
    <w:link w:val="5"/>
    <w:qFormat/>
    <w:uiPriority w:val="99"/>
    <w:rPr>
      <w:rFonts w:ascii="宋体" w:hAnsi="Courier New" w:eastAsia="宋体" w:cs="Times New Roman"/>
      <w:kern w:val="0"/>
      <w:sz w:val="20"/>
      <w:szCs w:val="20"/>
    </w:rPr>
  </w:style>
  <w:style w:type="character" w:customStyle="1" w:styleId="18">
    <w:name w:val="批注框文本 Char"/>
    <w:basedOn w:val="12"/>
    <w:link w:val="6"/>
    <w:qFormat/>
    <w:uiPriority w:val="99"/>
    <w:rPr>
      <w:rFonts w:ascii="Calibri" w:hAnsi="Calibri" w:eastAsia="宋体" w:cs="Times New Roman"/>
      <w:sz w:val="18"/>
      <w:szCs w:val="18"/>
    </w:rPr>
  </w:style>
  <w:style w:type="character" w:customStyle="1" w:styleId="19">
    <w:name w:val="页脚 Char"/>
    <w:basedOn w:val="12"/>
    <w:link w:val="7"/>
    <w:qFormat/>
    <w:uiPriority w:val="99"/>
    <w:rPr>
      <w:rFonts w:ascii="Calibri" w:hAnsi="Calibri" w:eastAsia="宋体" w:cs="Times New Roman"/>
      <w:sz w:val="18"/>
      <w:szCs w:val="18"/>
    </w:rPr>
  </w:style>
  <w:style w:type="character" w:customStyle="1" w:styleId="20">
    <w:name w:val="页眉 Char"/>
    <w:basedOn w:val="12"/>
    <w:link w:val="8"/>
    <w:qFormat/>
    <w:uiPriority w:val="0"/>
    <w:rPr>
      <w:rFonts w:ascii="Calibri" w:hAnsi="Calibri" w:eastAsia="宋体" w:cs="Times New Roman"/>
      <w:sz w:val="18"/>
      <w:szCs w:val="18"/>
    </w:rPr>
  </w:style>
  <w:style w:type="character" w:customStyle="1" w:styleId="21">
    <w:name w:val="正文文本缩进 3 Char"/>
    <w:basedOn w:val="12"/>
    <w:link w:val="9"/>
    <w:qFormat/>
    <w:uiPriority w:val="0"/>
    <w:rPr>
      <w:rFonts w:ascii="仿宋_GB2312" w:hAnsi="Times New Roman" w:eastAsia="仿宋_GB2312" w:cs="Times New Roman"/>
      <w:kern w:val="0"/>
      <w:sz w:val="32"/>
      <w:szCs w:val="20"/>
    </w:rPr>
  </w:style>
  <w:style w:type="character" w:customStyle="1" w:styleId="22">
    <w:name w:val="页眉 字符"/>
    <w:qFormat/>
    <w:uiPriority w:val="0"/>
    <w:rPr>
      <w:kern w:val="2"/>
      <w:sz w:val="18"/>
      <w:szCs w:val="18"/>
    </w:rPr>
  </w:style>
  <w:style w:type="paragraph" w:customStyle="1" w:styleId="23">
    <w:name w:val="Char11"/>
    <w:basedOn w:val="1"/>
    <w:qFormat/>
    <w:uiPriority w:val="0"/>
    <w:pPr>
      <w:jc w:val="center"/>
    </w:pPr>
    <w:rPr>
      <w:rFonts w:ascii="Times New Roman" w:hAnsi="Times New Roman"/>
      <w:szCs w:val="21"/>
    </w:rPr>
  </w:style>
  <w:style w:type="paragraph" w:customStyle="1" w:styleId="24">
    <w:name w:val="Char Char"/>
    <w:basedOn w:val="1"/>
    <w:semiHidden/>
    <w:qFormat/>
    <w:uiPriority w:val="0"/>
    <w:rPr>
      <w:rFonts w:ascii="Times New Roman" w:hAnsi="Times New Roman"/>
      <w:szCs w:val="20"/>
    </w:rPr>
  </w:style>
  <w:style w:type="paragraph" w:customStyle="1" w:styleId="25">
    <w:name w:val="列出段落1"/>
    <w:basedOn w:val="1"/>
    <w:qFormat/>
    <w:uiPriority w:val="34"/>
    <w:pPr>
      <w:ind w:firstLine="420" w:firstLineChars="200"/>
    </w:pPr>
  </w:style>
  <w:style w:type="paragraph" w:customStyle="1" w:styleId="26">
    <w:name w:val="列出段落2"/>
    <w:basedOn w:val="1"/>
    <w:qFormat/>
    <w:uiPriority w:val="99"/>
    <w:pPr>
      <w:ind w:firstLine="420" w:firstLineChars="200"/>
    </w:pPr>
  </w:style>
  <w:style w:type="paragraph" w:customStyle="1" w:styleId="27">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8">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29">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0">
    <w:name w:val="List Paragraph"/>
    <w:basedOn w:val="1"/>
    <w:qFormat/>
    <w:uiPriority w:val="34"/>
    <w:pPr>
      <w:ind w:firstLine="420" w:firstLineChars="200"/>
    </w:pPr>
  </w:style>
  <w:style w:type="character" w:customStyle="1" w:styleId="31">
    <w:name w:val="段 Char"/>
    <w:link w:val="29"/>
    <w:qFormat/>
    <w:uiPriority w:val="0"/>
    <w:rPr>
      <w:rFonts w:ascii="宋体" w:hAnsi="Times New Roman" w:eastAsia="宋体" w:cs="Times New Roman"/>
      <w:kern w:val="0"/>
      <w:szCs w:val="20"/>
    </w:rPr>
  </w:style>
  <w:style w:type="character" w:customStyle="1" w:styleId="32">
    <w:name w:val="ask-title"/>
    <w:basedOn w:val="1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244</Words>
  <Characters>1396</Characters>
  <Lines>11</Lines>
  <Paragraphs>3</Paragraphs>
  <TotalTime>0</TotalTime>
  <ScaleCrop>false</ScaleCrop>
  <LinksUpToDate>false</LinksUpToDate>
  <CharactersWithSpaces>1637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2019-12-10T02:31:00Z</dcterms:created>
  <dc:creator>lenovo</dc:creator>
  <cp:lastModifiedBy>ysgz</cp:lastModifiedBy>
  <dcterms:modified xsi:type="dcterms:W3CDTF">2022-07-18T17:09:41Z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333935165_cloud</vt:lpwstr>
  </property>
  <property fmtid="{D5CDD505-2E9C-101B-9397-08002B2CF9AE}" pid="4" name="ICV">
    <vt:lpwstr>E6143228EC144789B85BBDDAA55DF99B</vt:lpwstr>
  </property>
</Properties>
</file>