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baseline"/>
        <w:rPr>
          <w:rFonts w:ascii="方正小标宋_GBK" w:hAnsi="黑体" w:eastAsia="方正小标宋_GBK"/>
          <w:color w:val="auto"/>
          <w:sz w:val="32"/>
          <w:szCs w:val="32"/>
        </w:rPr>
      </w:pPr>
      <w:r>
        <w:rPr>
          <w:rFonts w:hint="eastAsia" w:ascii="方正小标宋_GBK" w:hAnsi="黑体" w:eastAsia="方正小标宋_GBK"/>
          <w:color w:val="auto"/>
          <w:sz w:val="32"/>
          <w:szCs w:val="32"/>
        </w:rPr>
        <w:t>贵州省制动软管产品质量监督抽查实施细则</w:t>
      </w:r>
    </w:p>
    <w:p>
      <w:pPr>
        <w:ind w:firstLine="3360" w:firstLineChars="1050"/>
        <w:textAlignment w:val="baseline"/>
        <w:rPr>
          <w:rFonts w:ascii="方正小标宋_GBK" w:hAnsi="黑体" w:eastAsia="方正小标宋_GBK"/>
          <w:color w:val="auto"/>
          <w:sz w:val="32"/>
          <w:szCs w:val="32"/>
        </w:rPr>
      </w:pPr>
      <w:r>
        <w:rPr>
          <w:rFonts w:hint="eastAsia" w:ascii="方正小标宋_GBK" w:hAnsi="黑体" w:eastAsia="方正小标宋_GBK"/>
          <w:color w:val="auto"/>
          <w:sz w:val="32"/>
          <w:szCs w:val="32"/>
        </w:rPr>
        <w:t>(2022年版)</w:t>
      </w:r>
    </w:p>
    <w:p>
      <w:pPr>
        <w:spacing w:line="360" w:lineRule="auto"/>
        <w:textAlignment w:val="baseline"/>
        <w:rPr>
          <w:rFonts w:ascii="黑体" w:eastAsia="黑体"/>
          <w:color w:val="auto"/>
        </w:rPr>
      </w:pPr>
    </w:p>
    <w:p>
      <w:pPr>
        <w:spacing w:line="360" w:lineRule="auto"/>
        <w:textAlignment w:val="baseline"/>
        <w:rPr>
          <w:rFonts w:ascii="黑体" w:eastAsia="黑体"/>
          <w:color w:val="auto"/>
          <w:szCs w:val="21"/>
        </w:rPr>
      </w:pPr>
      <w:r>
        <w:rPr>
          <w:rFonts w:hint="eastAsia" w:ascii="黑体" w:eastAsia="黑体"/>
          <w:color w:val="auto"/>
          <w:szCs w:val="21"/>
        </w:rPr>
        <w:t>1</w:t>
      </w:r>
      <w:r>
        <w:rPr>
          <w:rFonts w:hint="eastAsia" w:ascii="黑体" w:eastAsia="黑体"/>
          <w:color w:val="auto"/>
          <w:szCs w:val="21"/>
          <w:lang w:val="en-US" w:eastAsia="zh-CN"/>
        </w:rPr>
        <w:t xml:space="preserve"> </w:t>
      </w:r>
      <w:r>
        <w:rPr>
          <w:rFonts w:hint="eastAsia" w:ascii="黑体" w:eastAsia="黑体"/>
          <w:color w:val="auto"/>
          <w:szCs w:val="21"/>
        </w:rPr>
        <w:t>抽样方法</w:t>
      </w:r>
    </w:p>
    <w:p>
      <w:pPr>
        <w:spacing w:line="360" w:lineRule="auto"/>
        <w:ind w:firstLine="420" w:firstLineChars="200"/>
        <w:textAlignment w:val="baseline"/>
        <w:rPr>
          <w:rFonts w:asciiTheme="minorEastAsia" w:hAnsiTheme="minorEastAsia"/>
          <w:color w:val="auto"/>
          <w:szCs w:val="21"/>
        </w:rPr>
      </w:pPr>
      <w:r>
        <w:rPr>
          <w:rFonts w:asciiTheme="minorEastAsia" w:hAnsiTheme="minorEastAsia"/>
          <w:color w:val="auto"/>
          <w:szCs w:val="21"/>
        </w:rPr>
        <w:t>以随机抽样的方式在被抽样生产者的待销产品中抽取</w:t>
      </w:r>
      <w:r>
        <w:rPr>
          <w:rFonts w:hint="eastAsia" w:asciiTheme="minorEastAsia" w:hAnsiTheme="minorEastAsia"/>
          <w:color w:val="auto"/>
          <w:szCs w:val="21"/>
        </w:rPr>
        <w:t>，抽样数量应符合下表1要求</w:t>
      </w:r>
      <w:r>
        <w:rPr>
          <w:rFonts w:asciiTheme="minorEastAsia" w:hAnsiTheme="minorEastAsia"/>
          <w:color w:val="auto"/>
          <w:szCs w:val="21"/>
        </w:rPr>
        <w:t>。</w:t>
      </w:r>
    </w:p>
    <w:p>
      <w:pPr>
        <w:spacing w:line="360" w:lineRule="auto"/>
        <w:ind w:firstLine="3150" w:firstLineChars="1500"/>
        <w:textAlignment w:val="baseline"/>
        <w:rPr>
          <w:rFonts w:asciiTheme="minorEastAsia" w:hAnsiTheme="minorEastAsia"/>
          <w:b/>
          <w:i/>
          <w:caps/>
          <w:color w:val="auto"/>
          <w:szCs w:val="21"/>
        </w:rPr>
      </w:pPr>
      <w:r>
        <w:rPr>
          <w:rFonts w:hint="eastAsia" w:asciiTheme="minorEastAsia" w:hAnsiTheme="minorEastAsia"/>
          <w:color w:val="auto"/>
          <w:szCs w:val="21"/>
        </w:rPr>
        <w:t>表1</w:t>
      </w:r>
      <w:r>
        <w:rPr>
          <w:rFonts w:asciiTheme="minorEastAsia" w:hAnsiTheme="minorEastAsia"/>
          <w:color w:val="auto"/>
          <w:szCs w:val="21"/>
        </w:rPr>
        <w:t xml:space="preserve"> </w:t>
      </w:r>
      <w:r>
        <w:rPr>
          <w:rFonts w:hint="eastAsia" w:asciiTheme="minorEastAsia" w:hAnsiTheme="minorEastAsia"/>
          <w:color w:val="auto"/>
          <w:szCs w:val="21"/>
        </w:rPr>
        <w:t>抽取样品数量</w:t>
      </w:r>
    </w:p>
    <w:tbl>
      <w:tblPr>
        <w:tblStyle w:val="4"/>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04"/>
        <w:gridCol w:w="2126"/>
        <w:gridCol w:w="1701"/>
        <w:gridCol w:w="2127"/>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2" w:hRule="atLeast"/>
          <w:jc w:val="center"/>
        </w:trPr>
        <w:tc>
          <w:tcPr>
            <w:tcW w:w="704" w:type="dxa"/>
            <w:vAlign w:val="center"/>
          </w:tcPr>
          <w:p>
            <w:pPr>
              <w:spacing w:line="360" w:lineRule="auto"/>
              <w:jc w:val="center"/>
              <w:textAlignment w:val="baseline"/>
              <w:rPr>
                <w:rFonts w:asciiTheme="minorEastAsia" w:hAnsiTheme="minorEastAsia"/>
                <w:b/>
                <w:i/>
                <w:caps/>
                <w:color w:val="auto"/>
                <w:szCs w:val="21"/>
              </w:rPr>
            </w:pPr>
            <w:r>
              <w:rPr>
                <w:rFonts w:hint="eastAsia" w:asciiTheme="minorEastAsia" w:hAnsiTheme="minorEastAsia"/>
                <w:color w:val="auto"/>
                <w:szCs w:val="21"/>
              </w:rPr>
              <w:t>序号</w:t>
            </w:r>
          </w:p>
        </w:tc>
        <w:tc>
          <w:tcPr>
            <w:tcW w:w="2126" w:type="dxa"/>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产品类别</w:t>
            </w:r>
          </w:p>
        </w:tc>
        <w:tc>
          <w:tcPr>
            <w:tcW w:w="1701" w:type="dxa"/>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抽样数量</w:t>
            </w:r>
            <w:r>
              <w:rPr>
                <w:rFonts w:hint="eastAsia" w:asciiTheme="minorEastAsia" w:hAnsiTheme="minorEastAsia"/>
                <w:color w:val="auto"/>
                <w:szCs w:val="21"/>
              </w:rPr>
              <w:t>（根）</w:t>
            </w:r>
          </w:p>
        </w:tc>
        <w:tc>
          <w:tcPr>
            <w:tcW w:w="2127" w:type="dxa"/>
            <w:vAlign w:val="center"/>
          </w:tcPr>
          <w:p>
            <w:pPr>
              <w:spacing w:line="360" w:lineRule="auto"/>
              <w:jc w:val="center"/>
              <w:textAlignment w:val="baseline"/>
              <w:rPr>
                <w:rFonts w:asciiTheme="minorEastAsia" w:hAnsiTheme="minorEastAsia"/>
                <w:b/>
                <w:i/>
                <w:caps/>
                <w:color w:val="auto"/>
                <w:szCs w:val="21"/>
              </w:rPr>
            </w:pPr>
            <w:r>
              <w:rPr>
                <w:rFonts w:hint="eastAsia" w:asciiTheme="minorEastAsia" w:hAnsiTheme="minorEastAsia"/>
                <w:color w:val="auto"/>
                <w:szCs w:val="21"/>
              </w:rPr>
              <w:t>检验样品</w:t>
            </w:r>
            <w:r>
              <w:rPr>
                <w:rFonts w:asciiTheme="minorEastAsia" w:hAnsiTheme="minorEastAsia"/>
                <w:color w:val="auto"/>
                <w:szCs w:val="21"/>
              </w:rPr>
              <w:t>数量</w:t>
            </w:r>
            <w:r>
              <w:rPr>
                <w:rFonts w:hint="eastAsia" w:asciiTheme="minorEastAsia" w:hAnsiTheme="minorEastAsia"/>
                <w:color w:val="auto"/>
                <w:szCs w:val="21"/>
              </w:rPr>
              <w:t>（根）</w:t>
            </w:r>
          </w:p>
        </w:tc>
        <w:tc>
          <w:tcPr>
            <w:tcW w:w="2126" w:type="dxa"/>
            <w:vAlign w:val="center"/>
          </w:tcPr>
          <w:p>
            <w:pPr>
              <w:spacing w:line="360" w:lineRule="auto"/>
              <w:jc w:val="center"/>
              <w:textAlignment w:val="baseline"/>
              <w:rPr>
                <w:rFonts w:asciiTheme="minorEastAsia" w:hAnsiTheme="minorEastAsia"/>
                <w:b/>
                <w:i/>
                <w:caps/>
                <w:color w:val="auto"/>
                <w:szCs w:val="21"/>
              </w:rPr>
            </w:pPr>
            <w:r>
              <w:rPr>
                <w:rFonts w:hint="eastAsia" w:asciiTheme="minorEastAsia" w:hAnsiTheme="minorEastAsia"/>
                <w:color w:val="auto"/>
                <w:szCs w:val="21"/>
              </w:rPr>
              <w:t>备用样品</w:t>
            </w:r>
            <w:r>
              <w:rPr>
                <w:rFonts w:asciiTheme="minorEastAsia" w:hAnsiTheme="minorEastAsia"/>
                <w:color w:val="auto"/>
                <w:szCs w:val="21"/>
              </w:rPr>
              <w:t>数量</w:t>
            </w:r>
            <w:r>
              <w:rPr>
                <w:rFonts w:hint="eastAsia" w:asciiTheme="minorEastAsia" w:hAnsiTheme="minorEastAsia"/>
                <w:color w:val="auto"/>
                <w:szCs w:val="21"/>
              </w:rPr>
              <w:t>（根）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38" w:hRule="atLeast"/>
          <w:jc w:val="center"/>
        </w:trPr>
        <w:tc>
          <w:tcPr>
            <w:tcW w:w="704" w:type="dxa"/>
            <w:vAlign w:val="center"/>
          </w:tcPr>
          <w:p>
            <w:pPr>
              <w:spacing w:line="276" w:lineRule="auto"/>
              <w:jc w:val="center"/>
              <w:textAlignment w:val="baseline"/>
              <w:rPr>
                <w:rFonts w:asciiTheme="minorEastAsia" w:hAnsiTheme="minorEastAsia"/>
                <w:b/>
                <w:i/>
                <w:caps/>
                <w:color w:val="auto"/>
                <w:szCs w:val="21"/>
              </w:rPr>
            </w:pPr>
            <w:r>
              <w:rPr>
                <w:rFonts w:hint="eastAsia" w:asciiTheme="minorEastAsia" w:hAnsiTheme="minorEastAsia"/>
                <w:color w:val="auto"/>
                <w:szCs w:val="21"/>
              </w:rPr>
              <w:t>1</w:t>
            </w:r>
          </w:p>
        </w:tc>
        <w:tc>
          <w:tcPr>
            <w:tcW w:w="2126"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液压制动软管总成</w:t>
            </w:r>
          </w:p>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（普通接头）</w:t>
            </w:r>
          </w:p>
        </w:tc>
        <w:tc>
          <w:tcPr>
            <w:tcW w:w="1701"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28</w:t>
            </w:r>
          </w:p>
        </w:tc>
        <w:tc>
          <w:tcPr>
            <w:tcW w:w="2127"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14</w:t>
            </w:r>
          </w:p>
        </w:tc>
        <w:tc>
          <w:tcPr>
            <w:tcW w:w="2126"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4" w:hRule="atLeast"/>
          <w:jc w:val="center"/>
        </w:trPr>
        <w:tc>
          <w:tcPr>
            <w:tcW w:w="704" w:type="dxa"/>
            <w:vAlign w:val="center"/>
          </w:tcPr>
          <w:p>
            <w:pPr>
              <w:spacing w:line="276" w:lineRule="auto"/>
              <w:jc w:val="center"/>
              <w:textAlignment w:val="baseline"/>
              <w:rPr>
                <w:rFonts w:asciiTheme="minorEastAsia" w:hAnsiTheme="minorEastAsia"/>
                <w:b/>
                <w:i/>
                <w:caps/>
                <w:color w:val="auto"/>
                <w:szCs w:val="21"/>
              </w:rPr>
            </w:pPr>
            <w:r>
              <w:rPr>
                <w:rFonts w:hint="eastAsia" w:asciiTheme="minorEastAsia" w:hAnsiTheme="minorEastAsia"/>
                <w:color w:val="auto"/>
                <w:szCs w:val="21"/>
              </w:rPr>
              <w:t>2</w:t>
            </w:r>
          </w:p>
        </w:tc>
        <w:tc>
          <w:tcPr>
            <w:tcW w:w="2126"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液压制动软管总成</w:t>
            </w:r>
          </w:p>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（异型接头）</w:t>
            </w:r>
          </w:p>
        </w:tc>
        <w:tc>
          <w:tcPr>
            <w:tcW w:w="1701"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36</w:t>
            </w:r>
          </w:p>
        </w:tc>
        <w:tc>
          <w:tcPr>
            <w:tcW w:w="2127"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18</w:t>
            </w:r>
          </w:p>
        </w:tc>
        <w:tc>
          <w:tcPr>
            <w:tcW w:w="2126"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0" w:hRule="atLeast"/>
          <w:jc w:val="center"/>
        </w:trPr>
        <w:tc>
          <w:tcPr>
            <w:tcW w:w="704" w:type="dxa"/>
            <w:vAlign w:val="center"/>
          </w:tcPr>
          <w:p>
            <w:pPr>
              <w:spacing w:line="276" w:lineRule="auto"/>
              <w:jc w:val="center"/>
              <w:textAlignment w:val="baseline"/>
              <w:rPr>
                <w:rFonts w:asciiTheme="minorEastAsia" w:hAnsiTheme="minorEastAsia"/>
                <w:b/>
                <w:i/>
                <w:caps/>
                <w:color w:val="auto"/>
                <w:szCs w:val="21"/>
              </w:rPr>
            </w:pPr>
            <w:r>
              <w:rPr>
                <w:rFonts w:hint="eastAsia" w:asciiTheme="minorEastAsia" w:hAnsiTheme="minorEastAsia"/>
                <w:color w:val="auto"/>
                <w:szCs w:val="21"/>
              </w:rPr>
              <w:t>3</w:t>
            </w:r>
          </w:p>
        </w:tc>
        <w:tc>
          <w:tcPr>
            <w:tcW w:w="2126"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气压制动软管总成</w:t>
            </w:r>
          </w:p>
        </w:tc>
        <w:tc>
          <w:tcPr>
            <w:tcW w:w="1701" w:type="dxa"/>
            <w:vAlign w:val="center"/>
          </w:tcPr>
          <w:p>
            <w:pPr>
              <w:spacing w:line="276" w:lineRule="auto"/>
              <w:jc w:val="center"/>
              <w:textAlignment w:val="baseline"/>
              <w:rPr>
                <w:rFonts w:asciiTheme="minorEastAsia" w:hAnsiTheme="minorEastAsia"/>
                <w:b/>
                <w:i/>
                <w:caps/>
                <w:color w:val="auto"/>
                <w:szCs w:val="21"/>
              </w:rPr>
            </w:pPr>
            <w:r>
              <w:rPr>
                <w:rFonts w:hint="eastAsia" w:asciiTheme="minorEastAsia" w:hAnsiTheme="minorEastAsia"/>
                <w:color w:val="auto"/>
                <w:szCs w:val="21"/>
              </w:rPr>
              <w:t>24</w:t>
            </w:r>
          </w:p>
        </w:tc>
        <w:tc>
          <w:tcPr>
            <w:tcW w:w="2127"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12</w:t>
            </w:r>
          </w:p>
        </w:tc>
        <w:tc>
          <w:tcPr>
            <w:tcW w:w="2126"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42" w:hRule="atLeast"/>
          <w:jc w:val="center"/>
        </w:trPr>
        <w:tc>
          <w:tcPr>
            <w:tcW w:w="704" w:type="dxa"/>
            <w:vAlign w:val="center"/>
          </w:tcPr>
          <w:p>
            <w:pPr>
              <w:spacing w:line="276" w:lineRule="auto"/>
              <w:jc w:val="center"/>
              <w:textAlignment w:val="baseline"/>
              <w:rPr>
                <w:rFonts w:asciiTheme="minorEastAsia" w:hAnsiTheme="minorEastAsia"/>
                <w:b/>
                <w:i/>
                <w:caps/>
                <w:color w:val="auto"/>
                <w:szCs w:val="21"/>
              </w:rPr>
            </w:pPr>
            <w:r>
              <w:rPr>
                <w:rFonts w:hint="eastAsia" w:asciiTheme="minorEastAsia" w:hAnsiTheme="minorEastAsia"/>
                <w:color w:val="auto"/>
                <w:szCs w:val="21"/>
              </w:rPr>
              <w:t>4</w:t>
            </w:r>
          </w:p>
        </w:tc>
        <w:tc>
          <w:tcPr>
            <w:tcW w:w="2126"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真空制动软管总成</w:t>
            </w:r>
          </w:p>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（橡胶）</w:t>
            </w:r>
          </w:p>
        </w:tc>
        <w:tc>
          <w:tcPr>
            <w:tcW w:w="1701"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12</w:t>
            </w:r>
          </w:p>
        </w:tc>
        <w:tc>
          <w:tcPr>
            <w:tcW w:w="2127"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6</w:t>
            </w:r>
          </w:p>
        </w:tc>
        <w:tc>
          <w:tcPr>
            <w:tcW w:w="2126"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40" w:hRule="atLeast"/>
          <w:jc w:val="center"/>
        </w:trPr>
        <w:tc>
          <w:tcPr>
            <w:tcW w:w="704" w:type="dxa"/>
            <w:vAlign w:val="center"/>
          </w:tcPr>
          <w:p>
            <w:pPr>
              <w:spacing w:line="276" w:lineRule="auto"/>
              <w:jc w:val="center"/>
              <w:textAlignment w:val="baseline"/>
              <w:rPr>
                <w:rFonts w:asciiTheme="minorEastAsia" w:hAnsiTheme="minorEastAsia"/>
                <w:b/>
                <w:i/>
                <w:caps/>
                <w:color w:val="auto"/>
                <w:szCs w:val="21"/>
              </w:rPr>
            </w:pPr>
            <w:r>
              <w:rPr>
                <w:rFonts w:hint="eastAsia" w:asciiTheme="minorEastAsia" w:hAnsiTheme="minorEastAsia"/>
                <w:color w:val="auto"/>
                <w:szCs w:val="21"/>
              </w:rPr>
              <w:t>5</w:t>
            </w:r>
          </w:p>
        </w:tc>
        <w:tc>
          <w:tcPr>
            <w:tcW w:w="2126"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真空制动软管总成</w:t>
            </w:r>
          </w:p>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（塑料）</w:t>
            </w:r>
          </w:p>
        </w:tc>
        <w:tc>
          <w:tcPr>
            <w:tcW w:w="1701"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8</w:t>
            </w:r>
          </w:p>
        </w:tc>
        <w:tc>
          <w:tcPr>
            <w:tcW w:w="2127"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4</w:t>
            </w:r>
          </w:p>
        </w:tc>
        <w:tc>
          <w:tcPr>
            <w:tcW w:w="2126" w:type="dxa"/>
            <w:vAlign w:val="center"/>
          </w:tcPr>
          <w:p>
            <w:pPr>
              <w:spacing w:line="276" w:lineRule="auto"/>
              <w:jc w:val="center"/>
              <w:textAlignment w:val="baseline"/>
              <w:rPr>
                <w:rFonts w:asciiTheme="minorEastAsia" w:hAnsiTheme="minorEastAsia"/>
                <w:b/>
                <w:i/>
                <w:caps/>
                <w:color w:val="auto"/>
                <w:szCs w:val="21"/>
              </w:rPr>
            </w:pPr>
            <w:r>
              <w:rPr>
                <w:rFonts w:asciiTheme="minorEastAsia" w:hAnsiTheme="minorEastAsia"/>
                <w:color w:val="auto"/>
                <w:szCs w:val="21"/>
              </w:rPr>
              <w:t>4</w:t>
            </w:r>
          </w:p>
        </w:tc>
      </w:tr>
    </w:tbl>
    <w:p>
      <w:pPr>
        <w:spacing w:line="360" w:lineRule="auto"/>
        <w:ind w:firstLine="420" w:firstLineChars="200"/>
        <w:textAlignment w:val="baseline"/>
        <w:rPr>
          <w:rFonts w:asciiTheme="minorEastAsia" w:hAnsiTheme="minorEastAsia"/>
          <w:b/>
          <w:i/>
          <w:caps/>
          <w:color w:val="auto"/>
          <w:szCs w:val="21"/>
        </w:rPr>
      </w:pPr>
      <w:r>
        <w:rPr>
          <w:rFonts w:asciiTheme="minorEastAsia" w:hAnsiTheme="minorEastAsia"/>
          <w:color w:val="auto"/>
          <w:szCs w:val="21"/>
        </w:rPr>
        <w:t>以随机抽样的方式在被抽样</w:t>
      </w:r>
      <w:r>
        <w:rPr>
          <w:rFonts w:hint="eastAsia" w:asciiTheme="minorEastAsia" w:hAnsiTheme="minorEastAsia"/>
          <w:color w:val="auto"/>
          <w:szCs w:val="21"/>
        </w:rPr>
        <w:t>销售</w:t>
      </w:r>
      <w:r>
        <w:rPr>
          <w:rFonts w:asciiTheme="minorEastAsia" w:hAnsiTheme="minorEastAsia"/>
          <w:color w:val="auto"/>
          <w:szCs w:val="21"/>
        </w:rPr>
        <w:t>者的待销产品中抽取</w:t>
      </w:r>
      <w:r>
        <w:rPr>
          <w:rFonts w:hint="eastAsia" w:asciiTheme="minorEastAsia" w:hAnsiTheme="minorEastAsia"/>
          <w:color w:val="auto"/>
          <w:szCs w:val="21"/>
        </w:rPr>
        <w:t>，</w:t>
      </w:r>
      <w:r>
        <w:rPr>
          <w:rFonts w:hint="eastAsia" w:asciiTheme="minorEastAsia" w:hAnsiTheme="minorEastAsia"/>
          <w:bCs/>
          <w:color w:val="auto"/>
          <w:szCs w:val="21"/>
        </w:rPr>
        <w:t>每</w:t>
      </w:r>
      <w:r>
        <w:rPr>
          <w:rFonts w:asciiTheme="minorEastAsia" w:hAnsiTheme="minorEastAsia"/>
          <w:bCs/>
          <w:color w:val="auto"/>
          <w:szCs w:val="21"/>
        </w:rPr>
        <w:t>批次</w:t>
      </w:r>
      <w:r>
        <w:rPr>
          <w:rFonts w:hint="eastAsia" w:asciiTheme="minorEastAsia" w:hAnsiTheme="minorEastAsia"/>
          <w:bCs/>
          <w:color w:val="auto"/>
          <w:szCs w:val="21"/>
        </w:rPr>
        <w:t>产品抽取</w:t>
      </w:r>
      <w:r>
        <w:rPr>
          <w:rFonts w:asciiTheme="minorEastAsia" w:hAnsiTheme="minorEastAsia"/>
          <w:bCs/>
          <w:color w:val="auto"/>
          <w:szCs w:val="21"/>
        </w:rPr>
        <w:t>样品</w:t>
      </w:r>
      <w:r>
        <w:rPr>
          <w:rFonts w:hint="eastAsia" w:asciiTheme="minorEastAsia" w:hAnsiTheme="minorEastAsia"/>
          <w:bCs/>
          <w:color w:val="auto"/>
          <w:szCs w:val="21"/>
        </w:rPr>
        <w:t>7根，其中4根</w:t>
      </w:r>
      <w:r>
        <w:rPr>
          <w:rFonts w:asciiTheme="minorEastAsia" w:hAnsiTheme="minorEastAsia"/>
          <w:bCs/>
          <w:color w:val="auto"/>
          <w:szCs w:val="21"/>
        </w:rPr>
        <w:t>作为</w:t>
      </w:r>
      <w:r>
        <w:rPr>
          <w:rFonts w:hint="eastAsia" w:asciiTheme="minorEastAsia" w:hAnsiTheme="minorEastAsia"/>
          <w:bCs/>
          <w:color w:val="auto"/>
          <w:szCs w:val="21"/>
        </w:rPr>
        <w:t>检验样品，3根</w:t>
      </w:r>
      <w:r>
        <w:rPr>
          <w:rFonts w:asciiTheme="minorEastAsia" w:hAnsiTheme="minorEastAsia"/>
          <w:bCs/>
          <w:color w:val="auto"/>
          <w:szCs w:val="21"/>
        </w:rPr>
        <w:t>作为</w:t>
      </w:r>
      <w:r>
        <w:rPr>
          <w:rFonts w:hint="eastAsia" w:asciiTheme="minorEastAsia" w:hAnsiTheme="minorEastAsia"/>
          <w:bCs/>
          <w:color w:val="auto"/>
          <w:szCs w:val="21"/>
        </w:rPr>
        <w:t>备用样品。</w:t>
      </w:r>
    </w:p>
    <w:p>
      <w:pPr>
        <w:spacing w:line="360" w:lineRule="auto"/>
        <w:ind w:firstLine="420" w:firstLineChars="200"/>
        <w:textAlignment w:val="baseline"/>
        <w:rPr>
          <w:rFonts w:asciiTheme="minorEastAsia" w:hAnsiTheme="minorEastAsia"/>
          <w:b/>
          <w:i/>
          <w:caps/>
          <w:color w:val="auto"/>
          <w:szCs w:val="21"/>
        </w:rPr>
      </w:pPr>
      <w:r>
        <w:rPr>
          <w:rFonts w:hint="eastAsia" w:asciiTheme="minorEastAsia" w:hAnsiTheme="minorEastAsia"/>
          <w:color w:val="auto"/>
          <w:szCs w:val="21"/>
        </w:rPr>
        <w:t>随机数一般可使用随机数表等方法产生。</w:t>
      </w:r>
    </w:p>
    <w:p>
      <w:pPr>
        <w:spacing w:line="360" w:lineRule="auto"/>
        <w:textAlignment w:val="baseline"/>
        <w:rPr>
          <w:rFonts w:ascii="黑体" w:eastAsia="黑体"/>
          <w:color w:val="auto"/>
          <w:szCs w:val="21"/>
        </w:rPr>
      </w:pPr>
    </w:p>
    <w:p>
      <w:pPr>
        <w:spacing w:line="360" w:lineRule="auto"/>
        <w:textAlignment w:val="baseline"/>
        <w:rPr>
          <w:rFonts w:ascii="黑体" w:eastAsia="黑体"/>
          <w:color w:val="auto"/>
          <w:szCs w:val="21"/>
        </w:rPr>
      </w:pPr>
      <w:r>
        <w:rPr>
          <w:rFonts w:hint="eastAsia" w:ascii="黑体" w:eastAsia="黑体"/>
          <w:color w:val="auto"/>
          <w:szCs w:val="21"/>
        </w:rPr>
        <w:t>2</w:t>
      </w:r>
      <w:r>
        <w:rPr>
          <w:rFonts w:hint="eastAsia" w:ascii="黑体" w:eastAsia="黑体"/>
          <w:color w:val="auto"/>
          <w:szCs w:val="21"/>
          <w:lang w:val="en-US" w:eastAsia="zh-CN"/>
        </w:rPr>
        <w:t xml:space="preserve"> </w:t>
      </w:r>
      <w:r>
        <w:rPr>
          <w:rFonts w:hint="eastAsia" w:ascii="黑体" w:eastAsia="黑体"/>
          <w:color w:val="auto"/>
          <w:szCs w:val="21"/>
        </w:rPr>
        <w:t>检验依据</w:t>
      </w:r>
    </w:p>
    <w:p>
      <w:pPr>
        <w:spacing w:line="360" w:lineRule="auto"/>
        <w:ind w:firstLine="3150" w:firstLineChars="1500"/>
        <w:textAlignment w:val="baseline"/>
        <w:rPr>
          <w:rFonts w:asciiTheme="minorEastAsia" w:hAnsiTheme="minorEastAsia"/>
          <w:b/>
          <w:i/>
          <w:caps/>
          <w:color w:val="auto"/>
          <w:szCs w:val="21"/>
        </w:rPr>
      </w:pPr>
      <w:r>
        <w:rPr>
          <w:rFonts w:asciiTheme="minorEastAsia" w:hAnsiTheme="minorEastAsia"/>
          <w:color w:val="auto"/>
          <w:szCs w:val="21"/>
        </w:rPr>
        <w:t>表2 液压制动软管总成</w:t>
      </w:r>
    </w:p>
    <w:tbl>
      <w:tblPr>
        <w:tblStyle w:val="4"/>
        <w:tblW w:w="496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678"/>
        <w:gridCol w:w="3434"/>
        <w:gridCol w:w="4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2" w:hRule="atLeast"/>
          <w:jc w:val="center"/>
        </w:trPr>
        <w:tc>
          <w:tcPr>
            <w:tcW w:w="405"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序号</w:t>
            </w:r>
          </w:p>
        </w:tc>
        <w:tc>
          <w:tcPr>
            <w:tcW w:w="2052"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检验项目</w:t>
            </w:r>
          </w:p>
        </w:tc>
        <w:tc>
          <w:tcPr>
            <w:tcW w:w="2543"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1" w:hRule="atLeast"/>
          <w:jc w:val="center"/>
        </w:trPr>
        <w:tc>
          <w:tcPr>
            <w:tcW w:w="405"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1</w:t>
            </w:r>
          </w:p>
        </w:tc>
        <w:tc>
          <w:tcPr>
            <w:tcW w:w="2052"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缩颈后的内孔通过量</w:t>
            </w:r>
          </w:p>
        </w:tc>
        <w:tc>
          <w:tcPr>
            <w:tcW w:w="2543" w:type="pct"/>
            <w:vMerge w:val="restar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2" w:hRule="atLeast"/>
          <w:jc w:val="center"/>
        </w:trPr>
        <w:tc>
          <w:tcPr>
            <w:tcW w:w="405"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2</w:t>
            </w:r>
          </w:p>
        </w:tc>
        <w:tc>
          <w:tcPr>
            <w:tcW w:w="2052"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最大膨胀量</w:t>
            </w:r>
          </w:p>
        </w:tc>
        <w:tc>
          <w:tcPr>
            <w:tcW w:w="2543" w:type="pct"/>
            <w:vMerge w:val="continue"/>
            <w:vAlign w:val="center"/>
          </w:tcPr>
          <w:p>
            <w:pPr>
              <w:spacing w:line="360" w:lineRule="auto"/>
              <w:jc w:val="center"/>
              <w:textAlignment w:val="baseline"/>
              <w:rPr>
                <w:rFonts w:asciiTheme="minorEastAsia" w:hAnsiTheme="minorEastAsia"/>
                <w:b/>
                <w:i/>
                <w:cap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2" w:hRule="atLeast"/>
          <w:jc w:val="center"/>
        </w:trPr>
        <w:tc>
          <w:tcPr>
            <w:tcW w:w="405"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3</w:t>
            </w:r>
          </w:p>
        </w:tc>
        <w:tc>
          <w:tcPr>
            <w:tcW w:w="2052"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爆裂强度</w:t>
            </w:r>
          </w:p>
        </w:tc>
        <w:tc>
          <w:tcPr>
            <w:tcW w:w="2543" w:type="pct"/>
            <w:vMerge w:val="continue"/>
            <w:vAlign w:val="center"/>
          </w:tcPr>
          <w:p>
            <w:pPr>
              <w:spacing w:line="360" w:lineRule="auto"/>
              <w:jc w:val="center"/>
              <w:textAlignment w:val="baseline"/>
              <w:rPr>
                <w:rFonts w:asciiTheme="minorEastAsia" w:hAnsiTheme="minorEastAsia"/>
                <w:b/>
                <w:i/>
                <w:cap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2" w:hRule="atLeast"/>
          <w:jc w:val="center"/>
        </w:trPr>
        <w:tc>
          <w:tcPr>
            <w:tcW w:w="405"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4</w:t>
            </w:r>
          </w:p>
        </w:tc>
        <w:tc>
          <w:tcPr>
            <w:tcW w:w="2052"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抗拉强度</w:t>
            </w:r>
          </w:p>
        </w:tc>
        <w:tc>
          <w:tcPr>
            <w:tcW w:w="2543" w:type="pct"/>
            <w:vMerge w:val="continue"/>
            <w:vAlign w:val="center"/>
          </w:tcPr>
          <w:p>
            <w:pPr>
              <w:spacing w:line="360" w:lineRule="auto"/>
              <w:jc w:val="center"/>
              <w:textAlignment w:val="baseline"/>
              <w:rPr>
                <w:rFonts w:asciiTheme="minorEastAsia" w:hAnsiTheme="minorEastAsia"/>
                <w:b/>
                <w:i/>
                <w:cap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2" w:hRule="atLeast"/>
          <w:jc w:val="center"/>
        </w:trPr>
        <w:tc>
          <w:tcPr>
            <w:tcW w:w="405"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5</w:t>
            </w:r>
          </w:p>
        </w:tc>
        <w:tc>
          <w:tcPr>
            <w:tcW w:w="2052"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耐寒性</w:t>
            </w:r>
          </w:p>
        </w:tc>
        <w:tc>
          <w:tcPr>
            <w:tcW w:w="2543" w:type="pct"/>
            <w:vMerge w:val="continue"/>
            <w:vAlign w:val="center"/>
          </w:tcPr>
          <w:p>
            <w:pPr>
              <w:jc w:val="center"/>
              <w:textAlignment w:val="baseline"/>
              <w:rPr>
                <w:rFonts w:asciiTheme="minorEastAsia" w:hAnsiTheme="minorEastAsia"/>
                <w:b/>
                <w:i/>
                <w:cap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2" w:hRule="atLeast"/>
          <w:jc w:val="center"/>
        </w:trPr>
        <w:tc>
          <w:tcPr>
            <w:tcW w:w="405"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6</w:t>
            </w:r>
          </w:p>
        </w:tc>
        <w:tc>
          <w:tcPr>
            <w:tcW w:w="2052"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耐臭氧性</w:t>
            </w:r>
          </w:p>
        </w:tc>
        <w:tc>
          <w:tcPr>
            <w:tcW w:w="2543" w:type="pct"/>
            <w:vMerge w:val="continue"/>
            <w:vAlign w:val="center"/>
          </w:tcPr>
          <w:p>
            <w:pPr>
              <w:jc w:val="center"/>
              <w:textAlignment w:val="baseline"/>
              <w:rPr>
                <w:rFonts w:asciiTheme="minorEastAsia" w:hAnsiTheme="minorEastAsia"/>
                <w:b/>
                <w:i/>
                <w:cap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2" w:hRule="atLeast"/>
          <w:jc w:val="center"/>
        </w:trPr>
        <w:tc>
          <w:tcPr>
            <w:tcW w:w="405"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7</w:t>
            </w:r>
          </w:p>
        </w:tc>
        <w:tc>
          <w:tcPr>
            <w:tcW w:w="2052"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耐高温脉冲性</w:t>
            </w:r>
          </w:p>
        </w:tc>
        <w:tc>
          <w:tcPr>
            <w:tcW w:w="2543" w:type="pct"/>
            <w:vMerge w:val="continue"/>
            <w:vAlign w:val="center"/>
          </w:tcPr>
          <w:p>
            <w:pPr>
              <w:jc w:val="center"/>
              <w:textAlignment w:val="baseline"/>
              <w:rPr>
                <w:rFonts w:asciiTheme="minorEastAsia" w:hAnsiTheme="minorEastAsia"/>
                <w:b/>
                <w:i/>
                <w:caps/>
                <w:color w:val="auto"/>
                <w:szCs w:val="21"/>
              </w:rPr>
            </w:pPr>
          </w:p>
        </w:tc>
      </w:tr>
    </w:tbl>
    <w:p>
      <w:pPr>
        <w:spacing w:line="360" w:lineRule="auto"/>
        <w:jc w:val="center"/>
        <w:textAlignment w:val="baseline"/>
        <w:rPr>
          <w:rFonts w:asciiTheme="minorEastAsia" w:hAnsiTheme="minorEastAsia"/>
          <w:b/>
          <w:i/>
          <w:caps/>
          <w:color w:val="auto"/>
          <w:szCs w:val="21"/>
        </w:rPr>
      </w:pPr>
    </w:p>
    <w:p>
      <w:pPr>
        <w:spacing w:line="360" w:lineRule="auto"/>
        <w:ind w:firstLine="2940" w:firstLineChars="1400"/>
        <w:textAlignment w:val="baseline"/>
        <w:rPr>
          <w:rFonts w:asciiTheme="minorEastAsia" w:hAnsiTheme="minorEastAsia"/>
          <w:b/>
          <w:i/>
          <w:caps/>
          <w:color w:val="auto"/>
          <w:szCs w:val="21"/>
        </w:rPr>
      </w:pPr>
      <w:r>
        <w:rPr>
          <w:rFonts w:asciiTheme="minorEastAsia" w:hAnsiTheme="minorEastAsia"/>
          <w:color w:val="auto"/>
          <w:szCs w:val="21"/>
        </w:rPr>
        <w:t>表3 气压制动软管总成</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color w:val="auto"/>
                <w:szCs w:val="21"/>
              </w:rPr>
            </w:pPr>
            <w:r>
              <w:rPr>
                <w:rFonts w:hint="eastAsia" w:asciiTheme="minorEastAsia" w:hAnsiTheme="minorEastAsia"/>
                <w:bCs/>
                <w:color w:val="auto"/>
                <w:szCs w:val="21"/>
              </w:rPr>
              <w:t>序号</w:t>
            </w:r>
          </w:p>
        </w:tc>
        <w:tc>
          <w:tcPr>
            <w:tcW w:w="3685" w:type="dxa"/>
            <w:vAlign w:val="center"/>
          </w:tcPr>
          <w:p>
            <w:pPr>
              <w:spacing w:line="360" w:lineRule="auto"/>
              <w:jc w:val="center"/>
              <w:textAlignment w:val="baseline"/>
              <w:rPr>
                <w:rFonts w:asciiTheme="minorEastAsia" w:hAnsiTheme="minorEastAsia"/>
                <w:bCs/>
                <w:color w:val="auto"/>
                <w:szCs w:val="21"/>
              </w:rPr>
            </w:pPr>
            <w:r>
              <w:rPr>
                <w:rFonts w:hint="eastAsia" w:asciiTheme="minorEastAsia" w:hAnsiTheme="minorEastAsia"/>
                <w:bCs/>
                <w:color w:val="auto"/>
                <w:szCs w:val="21"/>
              </w:rPr>
              <w:t>检验</w:t>
            </w:r>
            <w:r>
              <w:rPr>
                <w:rFonts w:asciiTheme="minorEastAsia" w:hAnsiTheme="minorEastAsia"/>
                <w:bCs/>
                <w:color w:val="auto"/>
                <w:szCs w:val="21"/>
              </w:rPr>
              <w:t>项目</w:t>
            </w:r>
          </w:p>
        </w:tc>
        <w:tc>
          <w:tcPr>
            <w:tcW w:w="3969" w:type="dxa"/>
            <w:vAlign w:val="center"/>
          </w:tcPr>
          <w:p>
            <w:pPr>
              <w:spacing w:line="360" w:lineRule="auto"/>
              <w:jc w:val="center"/>
              <w:textAlignment w:val="baseline"/>
              <w:rPr>
                <w:rFonts w:asciiTheme="minorEastAsia" w:hAnsiTheme="minorEastAsia"/>
                <w:bCs/>
                <w:color w:val="auto"/>
                <w:szCs w:val="21"/>
              </w:rPr>
            </w:pPr>
            <w:r>
              <w:rPr>
                <w:rFonts w:hint="eastAsia" w:asciiTheme="minorEastAsia" w:hAnsiTheme="minorEastAsia"/>
                <w:bCs/>
                <w:color w:val="auto"/>
                <w:szCs w:val="21"/>
              </w:rPr>
              <w:t>检测</w:t>
            </w:r>
            <w:r>
              <w:rPr>
                <w:rFonts w:asciiTheme="minorEastAsia" w:hAnsiTheme="minorEastAsia"/>
                <w:bCs/>
                <w:color w:val="auto"/>
                <w:szCs w:val="21"/>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color w:val="auto"/>
                <w:szCs w:val="21"/>
              </w:rPr>
            </w:pPr>
            <w:r>
              <w:rPr>
                <w:rFonts w:hint="eastAsia" w:asciiTheme="minorEastAsia" w:hAnsiTheme="minorEastAsia"/>
                <w:bCs/>
                <w:color w:val="auto"/>
                <w:szCs w:val="21"/>
              </w:rPr>
              <w:t>1</w:t>
            </w:r>
          </w:p>
        </w:tc>
        <w:tc>
          <w:tcPr>
            <w:tcW w:w="3685" w:type="dxa"/>
            <w:vAlign w:val="center"/>
          </w:tcPr>
          <w:p>
            <w:pPr>
              <w:spacing w:line="360" w:lineRule="auto"/>
              <w:jc w:val="center"/>
              <w:textAlignment w:val="baseline"/>
              <w:rPr>
                <w:rFonts w:asciiTheme="minorEastAsia" w:hAnsiTheme="minorEastAsia"/>
                <w:color w:val="auto"/>
                <w:szCs w:val="21"/>
              </w:rPr>
            </w:pPr>
            <w:r>
              <w:rPr>
                <w:rFonts w:asciiTheme="minorEastAsia" w:hAnsiTheme="minorEastAsia"/>
                <w:color w:val="auto"/>
                <w:szCs w:val="21"/>
              </w:rPr>
              <w:t>缩颈后的内孔通过量</w:t>
            </w:r>
          </w:p>
        </w:tc>
        <w:tc>
          <w:tcPr>
            <w:tcW w:w="3969" w:type="dxa"/>
            <w:vMerge w:val="restart"/>
            <w:vAlign w:val="center"/>
          </w:tcPr>
          <w:p>
            <w:pPr>
              <w:spacing w:line="360" w:lineRule="auto"/>
              <w:jc w:val="center"/>
              <w:textAlignment w:val="baseline"/>
              <w:rPr>
                <w:rFonts w:asciiTheme="minorEastAsia" w:hAnsiTheme="minorEastAsia"/>
                <w:bCs/>
                <w:color w:val="auto"/>
                <w:szCs w:val="21"/>
              </w:rPr>
            </w:pPr>
            <w:r>
              <w:rPr>
                <w:rFonts w:hint="eastAsia" w:asciiTheme="minorEastAsia" w:hAnsiTheme="minorEastAsia"/>
                <w:bCs/>
                <w:color w:val="auto"/>
                <w:szCs w:val="21"/>
              </w:rPr>
              <w:t xml:space="preserve">GB </w:t>
            </w:r>
            <w:r>
              <w:rPr>
                <w:rFonts w:asciiTheme="minorEastAsia" w:hAnsiTheme="minorEastAsia"/>
                <w:bCs/>
                <w:color w:val="auto"/>
                <w:szCs w:val="21"/>
              </w:rPr>
              <w:t>1</w:t>
            </w:r>
            <w:r>
              <w:rPr>
                <w:rFonts w:hint="eastAsia" w:asciiTheme="minorEastAsia" w:hAnsiTheme="minorEastAsia"/>
                <w:bCs/>
                <w:color w:val="auto"/>
                <w:szCs w:val="21"/>
              </w:rPr>
              <w:t>6897</w:t>
            </w:r>
            <w:r>
              <w:rPr>
                <w:rFonts w:asciiTheme="minorEastAsia" w:hAnsiTheme="minorEastAsia"/>
                <w:bCs/>
                <w:color w:val="auto"/>
                <w:szCs w:val="21"/>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color w:val="auto"/>
                <w:szCs w:val="21"/>
              </w:rPr>
            </w:pPr>
            <w:r>
              <w:rPr>
                <w:rFonts w:hint="eastAsia" w:asciiTheme="minorEastAsia" w:hAnsiTheme="minorEastAsia"/>
                <w:bCs/>
                <w:color w:val="auto"/>
                <w:szCs w:val="21"/>
              </w:rPr>
              <w:t>2</w:t>
            </w:r>
          </w:p>
        </w:tc>
        <w:tc>
          <w:tcPr>
            <w:tcW w:w="3685" w:type="dxa"/>
            <w:vAlign w:val="center"/>
          </w:tcPr>
          <w:p>
            <w:pPr>
              <w:spacing w:line="360" w:lineRule="auto"/>
              <w:jc w:val="center"/>
              <w:textAlignment w:val="baseline"/>
              <w:rPr>
                <w:rFonts w:asciiTheme="minorEastAsia" w:hAnsiTheme="minorEastAsia"/>
                <w:color w:val="auto"/>
                <w:szCs w:val="21"/>
              </w:rPr>
            </w:pPr>
            <w:r>
              <w:rPr>
                <w:rFonts w:asciiTheme="minorEastAsia" w:hAnsiTheme="minorEastAsia"/>
                <w:color w:val="auto"/>
                <w:szCs w:val="21"/>
              </w:rPr>
              <w:t>气密性</w:t>
            </w:r>
          </w:p>
        </w:tc>
        <w:tc>
          <w:tcPr>
            <w:tcW w:w="3969" w:type="dxa"/>
            <w:vMerge w:val="continue"/>
            <w:vAlign w:val="center"/>
          </w:tcPr>
          <w:p>
            <w:pPr>
              <w:spacing w:line="360" w:lineRule="auto"/>
              <w:textAlignment w:val="baseline"/>
              <w:rPr>
                <w:rFonts w:asciiTheme="minorEastAsia" w:hAnsi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46" w:type="dxa"/>
            <w:vAlign w:val="center"/>
          </w:tcPr>
          <w:p>
            <w:pPr>
              <w:spacing w:line="360" w:lineRule="auto"/>
              <w:jc w:val="center"/>
              <w:textAlignment w:val="baseline"/>
              <w:rPr>
                <w:rFonts w:asciiTheme="minorEastAsia" w:hAnsiTheme="minorEastAsia"/>
                <w:bCs/>
                <w:color w:val="auto"/>
                <w:szCs w:val="21"/>
              </w:rPr>
            </w:pPr>
            <w:r>
              <w:rPr>
                <w:rFonts w:asciiTheme="minorEastAsia" w:hAnsiTheme="minorEastAsia"/>
                <w:bCs/>
                <w:color w:val="auto"/>
                <w:szCs w:val="21"/>
              </w:rPr>
              <w:t>3</w:t>
            </w:r>
          </w:p>
        </w:tc>
        <w:tc>
          <w:tcPr>
            <w:tcW w:w="3685" w:type="dxa"/>
            <w:vAlign w:val="center"/>
          </w:tcPr>
          <w:p>
            <w:pPr>
              <w:spacing w:line="360" w:lineRule="auto"/>
              <w:jc w:val="center"/>
              <w:textAlignment w:val="baseline"/>
              <w:rPr>
                <w:rFonts w:asciiTheme="minorEastAsia" w:hAnsiTheme="minorEastAsia"/>
                <w:color w:val="auto"/>
                <w:szCs w:val="21"/>
              </w:rPr>
            </w:pPr>
            <w:r>
              <w:rPr>
                <w:rFonts w:asciiTheme="minorEastAsia" w:hAnsiTheme="minorEastAsia"/>
                <w:color w:val="auto"/>
                <w:szCs w:val="21"/>
              </w:rPr>
              <w:t>爆裂强度</w:t>
            </w:r>
          </w:p>
        </w:tc>
        <w:tc>
          <w:tcPr>
            <w:tcW w:w="3969" w:type="dxa"/>
            <w:vMerge w:val="continue"/>
            <w:vAlign w:val="center"/>
          </w:tcPr>
          <w:p>
            <w:pPr>
              <w:spacing w:line="360" w:lineRule="auto"/>
              <w:textAlignment w:val="baseline"/>
              <w:rPr>
                <w:rFonts w:asciiTheme="minorEastAsia" w:hAnsi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color w:val="auto"/>
                <w:szCs w:val="21"/>
              </w:rPr>
            </w:pPr>
            <w:r>
              <w:rPr>
                <w:rFonts w:asciiTheme="minorEastAsia" w:hAnsiTheme="minorEastAsia"/>
                <w:bCs/>
                <w:color w:val="auto"/>
                <w:szCs w:val="21"/>
              </w:rPr>
              <w:t>4</w:t>
            </w:r>
          </w:p>
        </w:tc>
        <w:tc>
          <w:tcPr>
            <w:tcW w:w="3685" w:type="dxa"/>
            <w:vAlign w:val="center"/>
          </w:tcPr>
          <w:p>
            <w:pPr>
              <w:spacing w:line="360" w:lineRule="auto"/>
              <w:jc w:val="center"/>
              <w:textAlignment w:val="baseline"/>
              <w:rPr>
                <w:rFonts w:asciiTheme="minorEastAsia" w:hAnsiTheme="minorEastAsia"/>
                <w:color w:val="auto"/>
                <w:szCs w:val="21"/>
              </w:rPr>
            </w:pPr>
            <w:r>
              <w:rPr>
                <w:rFonts w:asciiTheme="minorEastAsia" w:hAnsiTheme="minorEastAsia"/>
                <w:color w:val="auto"/>
                <w:szCs w:val="21"/>
              </w:rPr>
              <w:t>抗拉强度</w:t>
            </w:r>
          </w:p>
        </w:tc>
        <w:tc>
          <w:tcPr>
            <w:tcW w:w="3969" w:type="dxa"/>
            <w:vMerge w:val="continue"/>
            <w:vAlign w:val="center"/>
          </w:tcPr>
          <w:p>
            <w:pPr>
              <w:spacing w:line="360" w:lineRule="auto"/>
              <w:textAlignment w:val="baseline"/>
              <w:rPr>
                <w:rFonts w:asciiTheme="minorEastAsia" w:hAnsi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color w:val="auto"/>
                <w:szCs w:val="21"/>
              </w:rPr>
            </w:pPr>
            <w:r>
              <w:rPr>
                <w:rFonts w:asciiTheme="minorEastAsia" w:hAnsiTheme="minorEastAsia"/>
                <w:bCs/>
                <w:color w:val="auto"/>
                <w:szCs w:val="21"/>
              </w:rPr>
              <w:t>5</w:t>
            </w:r>
          </w:p>
        </w:tc>
        <w:tc>
          <w:tcPr>
            <w:tcW w:w="3685" w:type="dxa"/>
            <w:vAlign w:val="center"/>
          </w:tcPr>
          <w:p>
            <w:pPr>
              <w:spacing w:line="360" w:lineRule="auto"/>
              <w:jc w:val="center"/>
              <w:textAlignment w:val="baseline"/>
              <w:rPr>
                <w:rFonts w:asciiTheme="minorEastAsia" w:hAnsiTheme="minorEastAsia"/>
                <w:color w:val="auto"/>
                <w:szCs w:val="21"/>
              </w:rPr>
            </w:pPr>
            <w:r>
              <w:rPr>
                <w:rFonts w:asciiTheme="minorEastAsia" w:hAnsiTheme="minorEastAsia"/>
                <w:color w:val="auto"/>
                <w:szCs w:val="21"/>
              </w:rPr>
              <w:t>粘合强度</w:t>
            </w:r>
          </w:p>
        </w:tc>
        <w:tc>
          <w:tcPr>
            <w:tcW w:w="3969" w:type="dxa"/>
            <w:vMerge w:val="continue"/>
            <w:vAlign w:val="center"/>
          </w:tcPr>
          <w:p>
            <w:pPr>
              <w:spacing w:line="360" w:lineRule="auto"/>
              <w:textAlignment w:val="baseline"/>
              <w:rPr>
                <w:rFonts w:asciiTheme="minorEastAsia" w:hAnsi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color w:val="auto"/>
                <w:szCs w:val="21"/>
              </w:rPr>
            </w:pPr>
            <w:r>
              <w:rPr>
                <w:rFonts w:asciiTheme="minorEastAsia" w:hAnsiTheme="minorEastAsia"/>
                <w:bCs/>
                <w:color w:val="auto"/>
                <w:szCs w:val="21"/>
              </w:rPr>
              <w:t>6</w:t>
            </w:r>
          </w:p>
        </w:tc>
        <w:tc>
          <w:tcPr>
            <w:tcW w:w="3685" w:type="dxa"/>
            <w:vAlign w:val="center"/>
          </w:tcPr>
          <w:p>
            <w:pPr>
              <w:spacing w:line="360" w:lineRule="auto"/>
              <w:jc w:val="center"/>
              <w:textAlignment w:val="baseline"/>
              <w:rPr>
                <w:rFonts w:asciiTheme="minorEastAsia" w:hAnsiTheme="minorEastAsia"/>
                <w:color w:val="auto"/>
                <w:szCs w:val="21"/>
              </w:rPr>
            </w:pPr>
            <w:r>
              <w:rPr>
                <w:rFonts w:asciiTheme="minorEastAsia" w:hAnsiTheme="minorEastAsia"/>
                <w:color w:val="auto"/>
                <w:szCs w:val="21"/>
              </w:rPr>
              <w:t>耐氯化锌性</w:t>
            </w:r>
          </w:p>
        </w:tc>
        <w:tc>
          <w:tcPr>
            <w:tcW w:w="3969" w:type="dxa"/>
            <w:vMerge w:val="continue"/>
            <w:vAlign w:val="center"/>
          </w:tcPr>
          <w:p>
            <w:pPr>
              <w:spacing w:line="360" w:lineRule="auto"/>
              <w:textAlignment w:val="baseline"/>
              <w:rPr>
                <w:rFonts w:asciiTheme="minorEastAsia" w:hAnsi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46" w:type="dxa"/>
            <w:vAlign w:val="center"/>
          </w:tcPr>
          <w:p>
            <w:pPr>
              <w:spacing w:line="360" w:lineRule="auto"/>
              <w:jc w:val="center"/>
              <w:textAlignment w:val="baseline"/>
              <w:rPr>
                <w:rFonts w:asciiTheme="minorEastAsia" w:hAnsiTheme="minorEastAsia"/>
                <w:bCs/>
                <w:color w:val="auto"/>
                <w:szCs w:val="21"/>
              </w:rPr>
            </w:pPr>
            <w:r>
              <w:rPr>
                <w:rFonts w:asciiTheme="minorEastAsia" w:hAnsiTheme="minorEastAsia"/>
                <w:bCs/>
                <w:color w:val="auto"/>
                <w:szCs w:val="21"/>
              </w:rPr>
              <w:t>7</w:t>
            </w:r>
          </w:p>
        </w:tc>
        <w:tc>
          <w:tcPr>
            <w:tcW w:w="3685" w:type="dxa"/>
            <w:vAlign w:val="center"/>
          </w:tcPr>
          <w:p>
            <w:pPr>
              <w:spacing w:line="360" w:lineRule="auto"/>
              <w:jc w:val="center"/>
              <w:textAlignment w:val="baseline"/>
              <w:rPr>
                <w:rFonts w:asciiTheme="minorEastAsia" w:hAnsiTheme="minorEastAsia"/>
                <w:color w:val="auto"/>
                <w:szCs w:val="21"/>
              </w:rPr>
            </w:pPr>
            <w:r>
              <w:rPr>
                <w:rFonts w:asciiTheme="minorEastAsia" w:hAnsiTheme="minorEastAsia"/>
                <w:color w:val="auto"/>
                <w:szCs w:val="21"/>
              </w:rPr>
              <w:t>耐寒性</w:t>
            </w:r>
          </w:p>
        </w:tc>
        <w:tc>
          <w:tcPr>
            <w:tcW w:w="3969" w:type="dxa"/>
            <w:vMerge w:val="continue"/>
            <w:vAlign w:val="center"/>
          </w:tcPr>
          <w:p>
            <w:pPr>
              <w:spacing w:line="360" w:lineRule="auto"/>
              <w:textAlignment w:val="baseline"/>
              <w:rPr>
                <w:rFonts w:asciiTheme="minorEastAsia" w:hAnsiTheme="minorEastAsia"/>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vAlign w:val="center"/>
          </w:tcPr>
          <w:p>
            <w:pPr>
              <w:spacing w:line="360" w:lineRule="auto"/>
              <w:jc w:val="center"/>
              <w:textAlignment w:val="baseline"/>
              <w:rPr>
                <w:rFonts w:asciiTheme="minorEastAsia" w:hAnsiTheme="minorEastAsia"/>
                <w:bCs/>
                <w:color w:val="auto"/>
                <w:szCs w:val="21"/>
              </w:rPr>
            </w:pPr>
            <w:r>
              <w:rPr>
                <w:rFonts w:asciiTheme="minorEastAsia" w:hAnsiTheme="minorEastAsia"/>
                <w:bCs/>
                <w:color w:val="auto"/>
                <w:szCs w:val="21"/>
              </w:rPr>
              <w:t>8</w:t>
            </w:r>
          </w:p>
        </w:tc>
        <w:tc>
          <w:tcPr>
            <w:tcW w:w="3685" w:type="dxa"/>
            <w:vAlign w:val="center"/>
          </w:tcPr>
          <w:p>
            <w:pPr>
              <w:spacing w:line="360" w:lineRule="auto"/>
              <w:jc w:val="center"/>
              <w:textAlignment w:val="baseline"/>
              <w:rPr>
                <w:rFonts w:asciiTheme="minorEastAsia" w:hAnsiTheme="minorEastAsia"/>
                <w:color w:val="auto"/>
                <w:szCs w:val="21"/>
              </w:rPr>
            </w:pPr>
            <w:r>
              <w:rPr>
                <w:rFonts w:asciiTheme="minorEastAsia" w:hAnsiTheme="minorEastAsia"/>
                <w:color w:val="auto"/>
                <w:szCs w:val="21"/>
              </w:rPr>
              <w:t>耐臭氧性</w:t>
            </w:r>
          </w:p>
        </w:tc>
        <w:tc>
          <w:tcPr>
            <w:tcW w:w="3969" w:type="dxa"/>
            <w:vMerge w:val="continue"/>
            <w:vAlign w:val="center"/>
          </w:tcPr>
          <w:p>
            <w:pPr>
              <w:spacing w:line="360" w:lineRule="auto"/>
              <w:textAlignment w:val="baseline"/>
              <w:rPr>
                <w:rFonts w:asciiTheme="minorEastAsia" w:hAnsiTheme="minorEastAsia"/>
                <w:bCs/>
                <w:color w:val="auto"/>
                <w:szCs w:val="21"/>
              </w:rPr>
            </w:pPr>
          </w:p>
        </w:tc>
      </w:tr>
    </w:tbl>
    <w:p>
      <w:pPr>
        <w:spacing w:line="360" w:lineRule="auto"/>
        <w:ind w:firstLine="3045" w:firstLineChars="1450"/>
        <w:textAlignment w:val="baseline"/>
        <w:rPr>
          <w:rFonts w:asciiTheme="minorEastAsia" w:hAnsiTheme="minorEastAsia"/>
          <w:b/>
          <w:i/>
          <w:caps/>
          <w:color w:val="auto"/>
          <w:szCs w:val="21"/>
        </w:rPr>
      </w:pPr>
      <w:r>
        <w:rPr>
          <w:rFonts w:asciiTheme="minorEastAsia" w:hAnsiTheme="minorEastAsia"/>
          <w:color w:val="auto"/>
          <w:szCs w:val="21"/>
        </w:rPr>
        <w:t>表4 真空制动软管总成</w:t>
      </w:r>
    </w:p>
    <w:tbl>
      <w:tblPr>
        <w:tblStyle w:val="4"/>
        <w:tblW w:w="50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704"/>
        <w:gridCol w:w="3859"/>
        <w:gridCol w:w="3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42" w:hRule="atLeast"/>
          <w:jc w:val="center"/>
        </w:trPr>
        <w:tc>
          <w:tcPr>
            <w:tcW w:w="415"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序号</w:t>
            </w:r>
          </w:p>
        </w:tc>
        <w:tc>
          <w:tcPr>
            <w:tcW w:w="2274"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检验项目</w:t>
            </w:r>
          </w:p>
        </w:tc>
        <w:tc>
          <w:tcPr>
            <w:tcW w:w="2310"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7" w:hRule="atLeast"/>
          <w:jc w:val="center"/>
        </w:trPr>
        <w:tc>
          <w:tcPr>
            <w:tcW w:w="415"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1</w:t>
            </w:r>
          </w:p>
        </w:tc>
        <w:tc>
          <w:tcPr>
            <w:tcW w:w="2274"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缩颈后的内孔通过量</w:t>
            </w:r>
          </w:p>
        </w:tc>
        <w:tc>
          <w:tcPr>
            <w:tcW w:w="2310" w:type="pct"/>
            <w:vMerge w:val="restar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3" w:hRule="atLeast"/>
          <w:jc w:val="center"/>
        </w:trPr>
        <w:tc>
          <w:tcPr>
            <w:tcW w:w="415"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2</w:t>
            </w:r>
          </w:p>
        </w:tc>
        <w:tc>
          <w:tcPr>
            <w:tcW w:w="2274"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耐负压后外径变化量</w:t>
            </w:r>
          </w:p>
        </w:tc>
        <w:tc>
          <w:tcPr>
            <w:tcW w:w="2310" w:type="pct"/>
            <w:vMerge w:val="continue"/>
            <w:vAlign w:val="center"/>
          </w:tcPr>
          <w:p>
            <w:pPr>
              <w:jc w:val="center"/>
              <w:textAlignment w:val="baseline"/>
              <w:rPr>
                <w:rFonts w:asciiTheme="minorEastAsia" w:hAnsiTheme="minorEastAsia"/>
                <w:b/>
                <w:i/>
                <w:cap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9" w:hRule="atLeast"/>
          <w:jc w:val="center"/>
        </w:trPr>
        <w:tc>
          <w:tcPr>
            <w:tcW w:w="415"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3</w:t>
            </w:r>
          </w:p>
        </w:tc>
        <w:tc>
          <w:tcPr>
            <w:tcW w:w="2274"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爆裂强度</w:t>
            </w:r>
          </w:p>
        </w:tc>
        <w:tc>
          <w:tcPr>
            <w:tcW w:w="2310" w:type="pct"/>
            <w:vMerge w:val="continue"/>
            <w:vAlign w:val="center"/>
          </w:tcPr>
          <w:p>
            <w:pPr>
              <w:jc w:val="center"/>
              <w:textAlignment w:val="baseline"/>
              <w:rPr>
                <w:rFonts w:asciiTheme="minorEastAsia" w:hAnsiTheme="minorEastAsia"/>
                <w:b/>
                <w:i/>
                <w:cap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4" w:hRule="atLeast"/>
          <w:jc w:val="center"/>
        </w:trPr>
        <w:tc>
          <w:tcPr>
            <w:tcW w:w="415"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4</w:t>
            </w:r>
          </w:p>
        </w:tc>
        <w:tc>
          <w:tcPr>
            <w:tcW w:w="2274"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粘合强度</w:t>
            </w:r>
          </w:p>
        </w:tc>
        <w:tc>
          <w:tcPr>
            <w:tcW w:w="2310"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GB/T 14905</w:t>
            </w:r>
            <w:r>
              <w:rPr>
                <w:rFonts w:hint="eastAsia" w:asciiTheme="minorEastAsia" w:hAnsiTheme="minorEastAsia"/>
                <w:color w:val="auto"/>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7" w:hRule="atLeast"/>
          <w:jc w:val="center"/>
        </w:trPr>
        <w:tc>
          <w:tcPr>
            <w:tcW w:w="415"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5</w:t>
            </w:r>
          </w:p>
        </w:tc>
        <w:tc>
          <w:tcPr>
            <w:tcW w:w="2274"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耐寒性</w:t>
            </w:r>
          </w:p>
        </w:tc>
        <w:tc>
          <w:tcPr>
            <w:tcW w:w="2310" w:type="pct"/>
            <w:vMerge w:val="restar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GB 16897-2010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9" w:hRule="atLeast"/>
          <w:jc w:val="center"/>
        </w:trPr>
        <w:tc>
          <w:tcPr>
            <w:tcW w:w="415"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6</w:t>
            </w:r>
          </w:p>
        </w:tc>
        <w:tc>
          <w:tcPr>
            <w:tcW w:w="2274"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耐臭氧性</w:t>
            </w:r>
          </w:p>
        </w:tc>
        <w:tc>
          <w:tcPr>
            <w:tcW w:w="2310" w:type="pct"/>
            <w:vMerge w:val="continue"/>
            <w:vAlign w:val="center"/>
          </w:tcPr>
          <w:p>
            <w:pPr>
              <w:spacing w:line="360" w:lineRule="auto"/>
              <w:jc w:val="center"/>
              <w:textAlignment w:val="baseline"/>
              <w:rPr>
                <w:rFonts w:asciiTheme="minorEastAsia" w:hAnsiTheme="minorEastAsia"/>
                <w:b/>
                <w:i/>
                <w:cap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5" w:hRule="atLeast"/>
          <w:jc w:val="center"/>
        </w:trPr>
        <w:tc>
          <w:tcPr>
            <w:tcW w:w="415"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7</w:t>
            </w:r>
          </w:p>
        </w:tc>
        <w:tc>
          <w:tcPr>
            <w:tcW w:w="2274" w:type="pct"/>
            <w:vAlign w:val="center"/>
          </w:tcPr>
          <w:p>
            <w:pPr>
              <w:spacing w:line="360" w:lineRule="auto"/>
              <w:jc w:val="center"/>
              <w:textAlignment w:val="baseline"/>
              <w:rPr>
                <w:rFonts w:asciiTheme="minorEastAsia" w:hAnsiTheme="minorEastAsia"/>
                <w:b/>
                <w:i/>
                <w:caps/>
                <w:color w:val="auto"/>
                <w:szCs w:val="21"/>
              </w:rPr>
            </w:pPr>
            <w:r>
              <w:rPr>
                <w:rFonts w:asciiTheme="minorEastAsia" w:hAnsiTheme="minorEastAsia"/>
                <w:color w:val="auto"/>
                <w:szCs w:val="21"/>
              </w:rPr>
              <w:t>耐变形性</w:t>
            </w:r>
          </w:p>
        </w:tc>
        <w:tc>
          <w:tcPr>
            <w:tcW w:w="2310" w:type="pct"/>
            <w:vMerge w:val="continue"/>
            <w:vAlign w:val="center"/>
          </w:tcPr>
          <w:p>
            <w:pPr>
              <w:spacing w:line="360" w:lineRule="auto"/>
              <w:jc w:val="center"/>
              <w:textAlignment w:val="baseline"/>
              <w:rPr>
                <w:rFonts w:asciiTheme="minorEastAsia" w:hAnsiTheme="minorEastAsia"/>
                <w:b/>
                <w:i/>
                <w:caps/>
                <w:color w:val="auto"/>
                <w:szCs w:val="21"/>
              </w:rPr>
            </w:pPr>
          </w:p>
        </w:tc>
      </w:tr>
    </w:tbl>
    <w:p>
      <w:pPr>
        <w:spacing w:line="276" w:lineRule="auto"/>
        <w:ind w:firstLine="315" w:firstLineChars="150"/>
        <w:textAlignment w:val="baseline"/>
        <w:rPr>
          <w:rFonts w:asciiTheme="minorEastAsia" w:hAnsiTheme="minorEastAsia"/>
          <w:b/>
          <w:i/>
          <w:caps/>
          <w:color w:val="auto"/>
          <w:szCs w:val="21"/>
        </w:rPr>
      </w:pPr>
      <w:r>
        <w:rPr>
          <w:rFonts w:hint="eastAsia" w:asciiTheme="minorEastAsia" w:hAnsiTheme="minorEastAsia"/>
          <w:color w:val="auto"/>
          <w:szCs w:val="21"/>
        </w:rPr>
        <w:t>执行企业标准、团体标准、地方标准的产品，检验项目参照上述内容执行。</w:t>
      </w:r>
    </w:p>
    <w:p>
      <w:pPr>
        <w:spacing w:line="360" w:lineRule="auto"/>
        <w:ind w:firstLine="315" w:firstLineChars="150"/>
        <w:textAlignment w:val="baseline"/>
        <w:rPr>
          <w:rFonts w:asciiTheme="minorEastAsia" w:hAnsiTheme="minorEastAsia"/>
          <w:b/>
          <w:i/>
          <w:caps/>
          <w:color w:val="auto"/>
          <w:szCs w:val="21"/>
        </w:rPr>
      </w:pPr>
      <w:r>
        <w:rPr>
          <w:rFonts w:asciiTheme="minorEastAsia" w:hAnsiTheme="minorEastAsia"/>
          <w:color w:val="auto"/>
          <w:szCs w:val="21"/>
        </w:rPr>
        <w:t>凡是注日期的文件，其随后所有的修改单（不包括勘误的内容）或修订版不适用于本细则。凡是不注日期的文件，其最新版本适用于本细则。</w:t>
      </w:r>
    </w:p>
    <w:p>
      <w:pPr>
        <w:spacing w:line="360" w:lineRule="auto"/>
        <w:textAlignment w:val="baseline"/>
        <w:rPr>
          <w:b/>
          <w:i/>
          <w:caps/>
          <w:color w:val="auto"/>
          <w:szCs w:val="21"/>
        </w:rPr>
      </w:pPr>
    </w:p>
    <w:p>
      <w:pPr>
        <w:spacing w:line="360" w:lineRule="auto"/>
        <w:textAlignment w:val="baseline"/>
        <w:rPr>
          <w:rFonts w:ascii="黑体" w:eastAsia="黑体"/>
          <w:color w:val="auto"/>
          <w:szCs w:val="21"/>
        </w:rPr>
      </w:pPr>
      <w:r>
        <w:rPr>
          <w:rFonts w:hint="eastAsia" w:ascii="黑体" w:eastAsia="黑体"/>
          <w:color w:val="auto"/>
          <w:szCs w:val="21"/>
        </w:rPr>
        <w:t>3</w:t>
      </w:r>
      <w:r>
        <w:rPr>
          <w:rFonts w:hint="eastAsia" w:ascii="黑体" w:eastAsia="黑体"/>
          <w:color w:val="auto"/>
          <w:szCs w:val="21"/>
          <w:lang w:val="en-US" w:eastAsia="zh-CN"/>
        </w:rPr>
        <w:t xml:space="preserve"> </w:t>
      </w:r>
      <w:r>
        <w:rPr>
          <w:rFonts w:hint="eastAsia" w:ascii="黑体" w:eastAsia="黑体"/>
          <w:color w:val="auto"/>
          <w:szCs w:val="21"/>
        </w:rPr>
        <w:t>判定规则</w:t>
      </w:r>
    </w:p>
    <w:p>
      <w:pPr>
        <w:spacing w:line="360" w:lineRule="auto"/>
        <w:textAlignment w:val="baseline"/>
        <w:rPr>
          <w:rFonts w:asciiTheme="minorEastAsia" w:hAnsiTheme="minorEastAsia"/>
          <w:b/>
          <w:i/>
          <w:caps/>
          <w:color w:val="auto"/>
          <w:szCs w:val="21"/>
        </w:rPr>
      </w:pPr>
      <w:r>
        <w:rPr>
          <w:rFonts w:asciiTheme="minorEastAsia" w:hAnsiTheme="minorEastAsia"/>
          <w:color w:val="auto"/>
          <w:szCs w:val="21"/>
        </w:rPr>
        <w:t>3.1依据标准</w:t>
      </w:r>
    </w:p>
    <w:p>
      <w:pPr>
        <w:spacing w:line="360" w:lineRule="auto"/>
        <w:ind w:firstLine="420" w:firstLineChars="200"/>
        <w:textAlignment w:val="baseline"/>
        <w:rPr>
          <w:rFonts w:asciiTheme="minorEastAsia" w:hAnsiTheme="minorEastAsia"/>
          <w:b/>
          <w:i/>
          <w:caps/>
          <w:color w:val="auto"/>
          <w:szCs w:val="21"/>
        </w:rPr>
      </w:pPr>
      <w:r>
        <w:rPr>
          <w:rFonts w:asciiTheme="minorEastAsia" w:hAnsiTheme="minorEastAsia"/>
          <w:color w:val="auto"/>
          <w:szCs w:val="21"/>
        </w:rPr>
        <w:t>GB 16897-2010 制动软管的结构、性能要求及试验方法</w:t>
      </w:r>
    </w:p>
    <w:p>
      <w:pPr>
        <w:spacing w:line="360" w:lineRule="auto"/>
        <w:ind w:firstLine="420" w:firstLineChars="200"/>
        <w:textAlignment w:val="baseline"/>
        <w:rPr>
          <w:rFonts w:asciiTheme="minorEastAsia" w:hAnsiTheme="minorEastAsia"/>
          <w:b/>
          <w:i/>
          <w:caps/>
          <w:color w:val="auto"/>
          <w:szCs w:val="21"/>
        </w:rPr>
      </w:pPr>
      <w:r>
        <w:rPr>
          <w:rFonts w:asciiTheme="minorEastAsia" w:hAnsiTheme="minorEastAsia"/>
          <w:color w:val="auto"/>
          <w:szCs w:val="21"/>
        </w:rPr>
        <w:t>现行有效的企业标准、团体标准、地方标准及产品明示质量要求</w:t>
      </w:r>
    </w:p>
    <w:p>
      <w:pPr>
        <w:spacing w:line="360" w:lineRule="auto"/>
        <w:textAlignment w:val="baseline"/>
        <w:rPr>
          <w:rFonts w:asciiTheme="minorEastAsia" w:hAnsiTheme="minorEastAsia"/>
          <w:b/>
          <w:i/>
          <w:caps/>
          <w:color w:val="auto"/>
          <w:szCs w:val="21"/>
        </w:rPr>
      </w:pPr>
      <w:r>
        <w:rPr>
          <w:rFonts w:asciiTheme="minorEastAsia" w:hAnsiTheme="minorEastAsia"/>
          <w:color w:val="auto"/>
          <w:szCs w:val="21"/>
        </w:rPr>
        <w:t>3.2判定原则</w:t>
      </w:r>
    </w:p>
    <w:p>
      <w:pPr>
        <w:snapToGrid w:val="0"/>
        <w:spacing w:line="440" w:lineRule="exact"/>
        <w:ind w:firstLine="420" w:firstLineChars="200"/>
        <w:rPr>
          <w:color w:val="auto"/>
          <w:szCs w:val="21"/>
        </w:rPr>
      </w:pPr>
      <w:r>
        <w:rPr>
          <w:rFonts w:hint="eastAsia"/>
          <w:color w:val="auto"/>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auto"/>
          <w:szCs w:val="21"/>
        </w:rPr>
      </w:pPr>
      <w:r>
        <w:rPr>
          <w:rFonts w:hint="eastAsia"/>
          <w:color w:val="auto"/>
          <w:szCs w:val="21"/>
        </w:rPr>
        <w:t>若被检产品明示的质量要求高于本细则中检验项目依据的标准要求时，应按被检产品明示的质量要求判定。</w:t>
      </w:r>
    </w:p>
    <w:p>
      <w:pPr>
        <w:snapToGrid w:val="0"/>
        <w:spacing w:line="440" w:lineRule="exact"/>
        <w:ind w:firstLine="417" w:firstLineChars="199"/>
        <w:rPr>
          <w:color w:val="auto"/>
          <w:szCs w:val="21"/>
        </w:rPr>
      </w:pPr>
      <w:r>
        <w:rPr>
          <w:rFonts w:hint="eastAsia"/>
          <w:color w:val="auto"/>
          <w:szCs w:val="21"/>
        </w:rPr>
        <w:t>若被检产品明示的质量要求低于本细则中检验项目依据的强制性标准要求时，应按照强制性标准要求判定。</w:t>
      </w:r>
    </w:p>
    <w:p>
      <w:pPr>
        <w:snapToGrid w:val="0"/>
        <w:spacing w:line="440" w:lineRule="exact"/>
        <w:ind w:firstLine="417" w:firstLineChars="199"/>
        <w:rPr>
          <w:color w:val="auto"/>
          <w:szCs w:val="21"/>
        </w:rPr>
      </w:pPr>
      <w:r>
        <w:rPr>
          <w:rFonts w:hint="eastAsia"/>
          <w:color w:val="auto"/>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auto"/>
          <w:szCs w:val="21"/>
        </w:rPr>
      </w:pPr>
      <w:r>
        <w:rPr>
          <w:rFonts w:hint="eastAsia"/>
          <w:color w:val="auto"/>
          <w:szCs w:val="21"/>
        </w:rPr>
        <w:t>若被检产品明示的质量要求缺少本细则中检验项目依据的强制性标准要求时，应按照强制性标准要求判定。</w:t>
      </w:r>
    </w:p>
    <w:p>
      <w:pPr>
        <w:snapToGrid w:val="0"/>
        <w:spacing w:line="440" w:lineRule="exact"/>
        <w:ind w:firstLine="417" w:firstLineChars="199"/>
        <w:rPr>
          <w:color w:val="auto"/>
          <w:szCs w:val="21"/>
        </w:rPr>
      </w:pPr>
      <w:r>
        <w:rPr>
          <w:rFonts w:hint="eastAsia"/>
          <w:color w:val="auto"/>
          <w:szCs w:val="21"/>
        </w:rPr>
        <w:t>若被检产品明示的质量要求缺少本细则中检验项目依据的推荐性标准要求时，该项目不参与判定。</w:t>
      </w:r>
    </w:p>
    <w:p>
      <w:pPr>
        <w:spacing w:line="360" w:lineRule="auto"/>
        <w:textAlignment w:val="baseline"/>
        <w:rPr>
          <w:b/>
          <w:i/>
          <w:caps/>
          <w:color w:val="auto"/>
          <w:szCs w:val="21"/>
        </w:rPr>
      </w:pPr>
    </w:p>
    <w:p>
      <w:pPr>
        <w:spacing w:line="360" w:lineRule="auto"/>
        <w:textAlignment w:val="baseline"/>
        <w:rPr>
          <w:rFonts w:ascii="黑体" w:eastAsia="黑体"/>
          <w:color w:val="auto"/>
          <w:szCs w:val="21"/>
        </w:rPr>
      </w:pPr>
      <w:r>
        <w:rPr>
          <w:rFonts w:hint="eastAsia" w:ascii="黑体" w:eastAsia="黑体"/>
          <w:color w:val="auto"/>
          <w:szCs w:val="21"/>
        </w:rPr>
        <w:t>4</w:t>
      </w:r>
      <w:r>
        <w:rPr>
          <w:rFonts w:hint="eastAsia" w:ascii="黑体" w:eastAsia="黑体"/>
          <w:color w:val="auto"/>
          <w:szCs w:val="21"/>
          <w:lang w:val="en-US" w:eastAsia="zh-CN"/>
        </w:rPr>
        <w:t xml:space="preserve"> </w:t>
      </w:r>
      <w:bookmarkStart w:id="0" w:name="_GoBack"/>
      <w:bookmarkEnd w:id="0"/>
      <w:r>
        <w:rPr>
          <w:rFonts w:hint="eastAsia" w:ascii="黑体" w:eastAsia="黑体"/>
          <w:color w:val="auto"/>
          <w:szCs w:val="21"/>
        </w:rPr>
        <w:t>附则</w:t>
      </w:r>
    </w:p>
    <w:p>
      <w:pPr>
        <w:spacing w:line="360" w:lineRule="auto"/>
        <w:ind w:firstLine="420" w:firstLineChars="200"/>
        <w:textAlignment w:val="baseline"/>
        <w:rPr>
          <w:rFonts w:asciiTheme="minorEastAsia" w:hAnsiTheme="minorEastAsia" w:cstheme="minorEastAsia"/>
          <w:b/>
          <w:i/>
          <w:caps/>
          <w:color w:val="auto"/>
          <w:szCs w:val="21"/>
        </w:rPr>
      </w:pPr>
      <w:r>
        <w:rPr>
          <w:rFonts w:hint="eastAsia" w:asciiTheme="minorEastAsia" w:hAnsiTheme="minorEastAsia" w:cstheme="minorEastAsia"/>
          <w:color w:val="auto"/>
          <w:szCs w:val="21"/>
        </w:rPr>
        <w:t>本细则代替《贵州省市场监管局关于发布2022年版贵州省产品质量监督抽查实施细则（第一批）的公告》（黔市监公告〔2022〕46号）中的《贵州省制动软管产品质量监督抽查实施细则（2022年版）》。</w:t>
      </w:r>
    </w:p>
    <w:p>
      <w:pPr>
        <w:spacing w:line="360" w:lineRule="auto"/>
        <w:textAlignment w:val="baseline"/>
        <w:rPr>
          <w:rFonts w:asciiTheme="minorEastAsia" w:hAnsiTheme="minorEastAsia"/>
          <w:b/>
          <w:i/>
          <w:caps/>
          <w:color w:val="auto"/>
          <w:szCs w:val="21"/>
        </w:rPr>
      </w:pPr>
    </w:p>
    <w:p>
      <w:pPr>
        <w:spacing w:line="360" w:lineRule="auto"/>
        <w:textAlignment w:val="baseline"/>
        <w:rPr>
          <w:rFonts w:asciiTheme="minorEastAsia" w:hAnsiTheme="minorEastAsia"/>
          <w:b/>
          <w:i/>
          <w:caps/>
          <w:color w:val="auto"/>
          <w:szCs w:val="21"/>
        </w:rPr>
      </w:pPr>
    </w:p>
    <w:p>
      <w:pPr>
        <w:spacing w:line="360" w:lineRule="auto"/>
        <w:textAlignment w:val="baseline"/>
        <w:rPr>
          <w:b/>
          <w:i/>
          <w:caps/>
          <w:color w:val="auto"/>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735F8"/>
    <w:rsid w:val="00091191"/>
    <w:rsid w:val="000F727D"/>
    <w:rsid w:val="001478C6"/>
    <w:rsid w:val="00160B37"/>
    <w:rsid w:val="00212DA0"/>
    <w:rsid w:val="002A2026"/>
    <w:rsid w:val="003029D8"/>
    <w:rsid w:val="00313CCB"/>
    <w:rsid w:val="00370EE3"/>
    <w:rsid w:val="00451CEB"/>
    <w:rsid w:val="004917C9"/>
    <w:rsid w:val="004E0457"/>
    <w:rsid w:val="005376AE"/>
    <w:rsid w:val="00586564"/>
    <w:rsid w:val="00852B9F"/>
    <w:rsid w:val="008A1695"/>
    <w:rsid w:val="00955635"/>
    <w:rsid w:val="00A96DBB"/>
    <w:rsid w:val="00AD2FD7"/>
    <w:rsid w:val="00B72118"/>
    <w:rsid w:val="00B735F8"/>
    <w:rsid w:val="00BD56E3"/>
    <w:rsid w:val="00C244DC"/>
    <w:rsid w:val="00C712B3"/>
    <w:rsid w:val="00CB2C7F"/>
    <w:rsid w:val="00D118D4"/>
    <w:rsid w:val="00D231B5"/>
    <w:rsid w:val="00DE5683"/>
    <w:rsid w:val="00E45A59"/>
    <w:rsid w:val="08F9073F"/>
    <w:rsid w:val="31C26628"/>
    <w:rsid w:val="37EF8E38"/>
    <w:rsid w:val="3DB77DD6"/>
    <w:rsid w:val="5C903F24"/>
    <w:rsid w:val="65FB6AA6"/>
    <w:rsid w:val="6B5E101F"/>
    <w:rsid w:val="7EFB4B0F"/>
    <w:rsid w:val="827FD64D"/>
    <w:rsid w:val="D1BA5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table" w:customStyle="1" w:styleId="8">
    <w:name w:val="网格型6"/>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192</Words>
  <Characters>1095</Characters>
  <Lines>9</Lines>
  <Paragraphs>2</Paragraphs>
  <TotalTime>1</TotalTime>
  <ScaleCrop>false</ScaleCrop>
  <LinksUpToDate>false</LinksUpToDate>
  <CharactersWithSpaces>1285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2021-09-04T19:15:00Z</dcterms:created>
  <dc:creator>User</dc:creator>
  <cp:lastModifiedBy>ysgz</cp:lastModifiedBy>
  <dcterms:modified xsi:type="dcterms:W3CDTF">2022-07-18T13:03:14Z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