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val="0"/>
        <w:autoSpaceDN w:val="0"/>
        <w:bidi w:val="0"/>
        <w:adjustRightInd/>
        <w:spacing w:before="10" w:line="440" w:lineRule="exact"/>
        <w:ind w:left="0" w:right="727"/>
        <w:textAlignment w:val="auto"/>
        <w:rPr>
          <w:sz w:val="32"/>
          <w:szCs w:val="32"/>
        </w:rPr>
      </w:pPr>
      <w:r>
        <w:rPr>
          <w:rFonts w:hint="eastAsia" w:ascii="方正小标宋_GBK" w:hAnsi="宋体" w:eastAsia="方正小标宋_GBK" w:cs="方正仿宋简体"/>
          <w:color w:val="000000"/>
          <w:sz w:val="32"/>
          <w:szCs w:val="32"/>
          <w:lang w:val="zh-CN" w:eastAsia="zh-CN" w:bidi="zh-CN"/>
        </w:rPr>
        <w:t>贵州省消火栓箱产品质量监督抽查实施细则</w:t>
      </w:r>
    </w:p>
    <w:p>
      <w:pPr>
        <w:pStyle w:val="11"/>
        <w:keepNext w:val="0"/>
        <w:keepLines w:val="0"/>
        <w:pageBreakBefore w:val="0"/>
        <w:widowControl w:val="0"/>
        <w:tabs>
          <w:tab w:val="left" w:pos="455"/>
        </w:tabs>
        <w:kinsoku/>
        <w:wordWrap/>
        <w:overflowPunct/>
        <w:topLinePunct w:val="0"/>
        <w:autoSpaceDE w:val="0"/>
        <w:autoSpaceDN w:val="0"/>
        <w:bidi w:val="0"/>
        <w:adjustRightInd/>
        <w:spacing w:before="137" w:line="440" w:lineRule="exact"/>
        <w:ind w:left="0"/>
        <w:jc w:val="center"/>
        <w:textAlignment w:val="auto"/>
        <w:rPr>
          <w:rFonts w:hint="eastAsia" w:asciiTheme="minorEastAsia" w:hAnsiTheme="minorEastAsia" w:eastAsiaTheme="minorEastAsia"/>
          <w:bCs/>
          <w:spacing w:val="-3"/>
          <w:sz w:val="32"/>
          <w:szCs w:val="32"/>
        </w:rPr>
      </w:pPr>
      <w:r>
        <w:rPr>
          <w:rFonts w:hint="eastAsia" w:ascii="方正小标宋_GBK" w:eastAsia="方正小标宋_GBK" w:cs="方正仿宋简体"/>
          <w:color w:val="000000"/>
          <w:sz w:val="32"/>
          <w:szCs w:val="32"/>
        </w:rPr>
        <w:t>（202</w:t>
      </w:r>
      <w:r>
        <w:rPr>
          <w:rFonts w:hint="eastAsia" w:ascii="方正小标宋_GBK" w:eastAsia="方正小标宋_GBK" w:cs="方正仿宋简体"/>
          <w:color w:val="000000"/>
          <w:sz w:val="32"/>
          <w:szCs w:val="32"/>
          <w:lang w:val="en-US" w:eastAsia="zh-CN"/>
        </w:rPr>
        <w:t>2</w:t>
      </w:r>
      <w:r>
        <w:rPr>
          <w:rFonts w:hint="eastAsia" w:ascii="方正小标宋_GBK" w:eastAsia="方正小标宋_GBK" w:cs="方正仿宋简体"/>
          <w:color w:val="000000"/>
          <w:sz w:val="32"/>
          <w:szCs w:val="32"/>
        </w:rPr>
        <w:t>年版）</w:t>
      </w:r>
    </w:p>
    <w:p>
      <w:pPr>
        <w:pStyle w:val="11"/>
        <w:keepNext w:val="0"/>
        <w:keepLines w:val="0"/>
        <w:pageBreakBefore w:val="0"/>
        <w:widowControl w:val="0"/>
        <w:tabs>
          <w:tab w:val="left" w:pos="455"/>
        </w:tabs>
        <w:kinsoku/>
        <w:wordWrap/>
        <w:overflowPunct/>
        <w:topLinePunct w:val="0"/>
        <w:autoSpaceDE w:val="0"/>
        <w:autoSpaceDN w:val="0"/>
        <w:bidi w:val="0"/>
        <w:adjustRightInd/>
        <w:spacing w:before="137" w:line="440" w:lineRule="exact"/>
        <w:ind w:left="0"/>
        <w:textAlignment w:val="auto"/>
        <w:rPr>
          <w:rFonts w:hint="eastAsia" w:ascii="黑体" w:eastAsia="黑体"/>
          <w:b w:val="0"/>
          <w:bCs w:val="0"/>
          <w:spacing w:val="-3"/>
          <w:sz w:val="21"/>
        </w:rPr>
      </w:pPr>
    </w:p>
    <w:p>
      <w:pPr>
        <w:pStyle w:val="11"/>
        <w:keepNext w:val="0"/>
        <w:keepLines w:val="0"/>
        <w:pageBreakBefore w:val="0"/>
        <w:widowControl w:val="0"/>
        <w:tabs>
          <w:tab w:val="left" w:pos="455"/>
        </w:tabs>
        <w:kinsoku/>
        <w:wordWrap/>
        <w:overflowPunct/>
        <w:topLinePunct w:val="0"/>
        <w:autoSpaceDE w:val="0"/>
        <w:autoSpaceDN w:val="0"/>
        <w:bidi w:val="0"/>
        <w:adjustRightInd/>
        <w:spacing w:before="137" w:line="440" w:lineRule="exact"/>
        <w:ind w:left="0"/>
        <w:textAlignment w:val="auto"/>
        <w:rPr>
          <w:rFonts w:hint="eastAsia" w:ascii="黑体" w:eastAsia="黑体"/>
          <w:b w:val="0"/>
          <w:bCs w:val="0"/>
          <w:spacing w:val="-3"/>
          <w:sz w:val="21"/>
          <w:szCs w:val="21"/>
        </w:rPr>
      </w:pPr>
      <w:r>
        <w:rPr>
          <w:rFonts w:hint="eastAsia" w:ascii="黑体" w:eastAsia="黑体"/>
          <w:b w:val="0"/>
          <w:bCs w:val="0"/>
          <w:spacing w:val="-3"/>
          <w:sz w:val="21"/>
          <w:szCs w:val="21"/>
        </w:rPr>
        <w:t>1 抽样方法</w:t>
      </w:r>
    </w:p>
    <w:p>
      <w:pPr>
        <w:pStyle w:val="11"/>
        <w:keepNext w:val="0"/>
        <w:keepLines w:val="0"/>
        <w:pageBreakBefore w:val="0"/>
        <w:widowControl w:val="0"/>
        <w:tabs>
          <w:tab w:val="left" w:pos="350"/>
        </w:tabs>
        <w:kinsoku/>
        <w:wordWrap/>
        <w:overflowPunct/>
        <w:topLinePunct w:val="0"/>
        <w:autoSpaceDE w:val="0"/>
        <w:autoSpaceDN w:val="0"/>
        <w:bidi w:val="0"/>
        <w:adjustRightInd/>
        <w:spacing w:before="107" w:line="440" w:lineRule="exact"/>
        <w:ind w:left="209" w:leftChars="95" w:firstLine="6" w:firstLineChars="3"/>
        <w:textAlignment w:val="auto"/>
        <w:rPr>
          <w:rFonts w:hint="eastAsia" w:ascii="宋体" w:hAnsi="宋体" w:eastAsia="宋体" w:cs="宋体"/>
          <w:color w:val="000000"/>
          <w:sz w:val="21"/>
          <w:szCs w:val="21"/>
          <w:lang w:val="zh-CN" w:eastAsia="zh-CN" w:bidi="zh-CN"/>
        </w:rPr>
      </w:pPr>
      <w:r>
        <w:rPr>
          <w:rFonts w:hint="eastAsia" w:ascii="宋体" w:hAnsi="宋体" w:eastAsia="宋体" w:cs="宋体"/>
          <w:color w:val="000000"/>
          <w:sz w:val="21"/>
          <w:szCs w:val="21"/>
          <w:lang w:val="zh-CN" w:eastAsia="zh-CN" w:bidi="zh-CN"/>
        </w:rPr>
        <w:t>以随机抽样的方式在被抽样生产者、销售者的待销产品中抽取。</w:t>
      </w:r>
    </w:p>
    <w:p>
      <w:pPr>
        <w:pStyle w:val="11"/>
        <w:keepNext w:val="0"/>
        <w:keepLines w:val="0"/>
        <w:pageBreakBefore w:val="0"/>
        <w:widowControl w:val="0"/>
        <w:tabs>
          <w:tab w:val="left" w:pos="350"/>
        </w:tabs>
        <w:kinsoku/>
        <w:wordWrap/>
        <w:overflowPunct/>
        <w:topLinePunct w:val="0"/>
        <w:autoSpaceDE w:val="0"/>
        <w:autoSpaceDN w:val="0"/>
        <w:bidi w:val="0"/>
        <w:adjustRightInd/>
        <w:spacing w:before="107" w:line="440" w:lineRule="exact"/>
        <w:ind w:left="209" w:leftChars="95" w:firstLine="6" w:firstLineChars="3"/>
        <w:textAlignment w:val="auto"/>
        <w:rPr>
          <w:rFonts w:hint="eastAsia" w:ascii="宋体" w:hAnsi="宋体" w:eastAsia="宋体" w:cs="宋体"/>
          <w:color w:val="000000"/>
          <w:sz w:val="21"/>
          <w:szCs w:val="21"/>
          <w:lang w:val="zh-CN" w:eastAsia="zh-CN" w:bidi="zh-CN"/>
        </w:rPr>
      </w:pPr>
      <w:r>
        <w:rPr>
          <w:rFonts w:hint="eastAsia" w:ascii="宋体" w:hAnsi="宋体" w:eastAsia="宋体" w:cs="宋体"/>
          <w:color w:val="000000"/>
          <w:sz w:val="21"/>
          <w:szCs w:val="21"/>
          <w:lang w:val="zh-CN" w:eastAsia="zh-CN" w:bidi="zh-CN"/>
        </w:rPr>
        <w:t>随机数一般可使用随机数表等方法产生。</w:t>
      </w:r>
    </w:p>
    <w:p>
      <w:pPr>
        <w:pStyle w:val="11"/>
        <w:keepNext w:val="0"/>
        <w:keepLines w:val="0"/>
        <w:pageBreakBefore w:val="0"/>
        <w:widowControl w:val="0"/>
        <w:tabs>
          <w:tab w:val="left" w:pos="350"/>
        </w:tabs>
        <w:kinsoku/>
        <w:wordWrap/>
        <w:overflowPunct/>
        <w:topLinePunct w:val="0"/>
        <w:autoSpaceDE w:val="0"/>
        <w:autoSpaceDN w:val="0"/>
        <w:bidi w:val="0"/>
        <w:adjustRightInd/>
        <w:spacing w:before="107" w:line="440" w:lineRule="exact"/>
        <w:ind w:left="209" w:leftChars="95" w:firstLine="6" w:firstLineChars="3"/>
        <w:textAlignment w:val="auto"/>
        <w:rPr>
          <w:rFonts w:hint="eastAsia" w:ascii="宋体" w:hAnsi="宋体" w:eastAsia="宋体" w:cs="宋体"/>
          <w:color w:val="000000"/>
          <w:sz w:val="21"/>
          <w:szCs w:val="21"/>
          <w:lang w:val="zh-CN" w:eastAsia="zh-CN" w:bidi="zh-CN"/>
        </w:rPr>
      </w:pPr>
      <w:r>
        <w:rPr>
          <w:rFonts w:hint="eastAsia" w:ascii="宋体" w:hAnsi="宋体" w:eastAsia="宋体" w:cs="宋体"/>
          <w:color w:val="000000"/>
          <w:sz w:val="21"/>
          <w:szCs w:val="21"/>
          <w:lang w:val="zh-CN" w:eastAsia="zh-CN" w:bidi="zh-CN"/>
        </w:rPr>
        <w:t>每批次产品抽取样品4台，其中2台作为检验样品，2台作为备用样品。</w:t>
      </w:r>
    </w:p>
    <w:p>
      <w:pPr>
        <w:pStyle w:val="11"/>
        <w:keepNext w:val="0"/>
        <w:keepLines w:val="0"/>
        <w:pageBreakBefore w:val="0"/>
        <w:widowControl w:val="0"/>
        <w:tabs>
          <w:tab w:val="left" w:pos="350"/>
        </w:tabs>
        <w:kinsoku/>
        <w:wordWrap/>
        <w:overflowPunct/>
        <w:topLinePunct w:val="0"/>
        <w:autoSpaceDE w:val="0"/>
        <w:autoSpaceDN w:val="0"/>
        <w:bidi w:val="0"/>
        <w:adjustRightInd/>
        <w:spacing w:before="107" w:line="440" w:lineRule="exact"/>
        <w:ind w:left="0"/>
        <w:textAlignment w:val="auto"/>
        <w:rPr>
          <w:rFonts w:hint="eastAsia" w:ascii="黑体" w:eastAsia="黑体"/>
          <w:b w:val="0"/>
          <w:bCs w:val="0"/>
          <w:spacing w:val="-2"/>
          <w:sz w:val="21"/>
          <w:szCs w:val="21"/>
        </w:rPr>
      </w:pPr>
    </w:p>
    <w:p>
      <w:pPr>
        <w:pStyle w:val="11"/>
        <w:keepNext w:val="0"/>
        <w:keepLines w:val="0"/>
        <w:pageBreakBefore w:val="0"/>
        <w:widowControl w:val="0"/>
        <w:tabs>
          <w:tab w:val="left" w:pos="350"/>
        </w:tabs>
        <w:kinsoku/>
        <w:wordWrap/>
        <w:overflowPunct/>
        <w:topLinePunct w:val="0"/>
        <w:autoSpaceDE w:val="0"/>
        <w:autoSpaceDN w:val="0"/>
        <w:bidi w:val="0"/>
        <w:adjustRightInd/>
        <w:spacing w:before="107" w:line="440" w:lineRule="exact"/>
        <w:ind w:left="0"/>
        <w:textAlignment w:val="auto"/>
        <w:rPr>
          <w:rFonts w:ascii="黑体" w:eastAsia="黑体"/>
          <w:b w:val="0"/>
          <w:bCs w:val="0"/>
          <w:spacing w:val="-2"/>
          <w:sz w:val="21"/>
          <w:szCs w:val="21"/>
        </w:rPr>
      </w:pPr>
      <w:r>
        <w:rPr>
          <w:rFonts w:hint="eastAsia" w:ascii="黑体" w:eastAsia="黑体"/>
          <w:b w:val="0"/>
          <w:bCs w:val="0"/>
          <w:spacing w:val="-2"/>
          <w:sz w:val="21"/>
          <w:szCs w:val="21"/>
        </w:rPr>
        <w:t>2 检验依据</w:t>
      </w:r>
    </w:p>
    <w:p>
      <w:pPr>
        <w:pStyle w:val="11"/>
        <w:keepNext w:val="0"/>
        <w:keepLines w:val="0"/>
        <w:pageBreakBefore w:val="0"/>
        <w:widowControl w:val="0"/>
        <w:tabs>
          <w:tab w:val="left" w:pos="350"/>
        </w:tabs>
        <w:kinsoku/>
        <w:wordWrap/>
        <w:overflowPunct/>
        <w:topLinePunct w:val="0"/>
        <w:autoSpaceDE w:val="0"/>
        <w:autoSpaceDN w:val="0"/>
        <w:bidi w:val="0"/>
        <w:adjustRightInd/>
        <w:spacing w:before="107" w:line="440" w:lineRule="exact"/>
        <w:ind w:left="0"/>
        <w:textAlignment w:val="auto"/>
        <w:rPr>
          <w:rFonts w:ascii="黑体" w:eastAsia="黑体"/>
          <w:b/>
          <w:bCs/>
          <w:spacing w:val="-2"/>
          <w:sz w:val="21"/>
          <w:szCs w:val="21"/>
        </w:rPr>
      </w:pPr>
    </w:p>
    <w:tbl>
      <w:tblPr>
        <w:tblStyle w:val="8"/>
        <w:tblW w:w="8788" w:type="dxa"/>
        <w:tblInd w:w="43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8"/>
        <w:gridCol w:w="1702"/>
        <w:gridCol w:w="2409"/>
        <w:gridCol w:w="39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6" w:hRule="atLeast"/>
        </w:trPr>
        <w:tc>
          <w:tcPr>
            <w:tcW w:w="708" w:type="dxa"/>
            <w:vMerge w:val="restart"/>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r>
              <w:rPr>
                <w:rFonts w:hint="eastAsia"/>
                <w:sz w:val="21"/>
                <w:szCs w:val="21"/>
                <w:highlight w:val="none"/>
                <w:lang w:val="en-US"/>
              </w:rPr>
              <w:t>序号</w:t>
            </w:r>
          </w:p>
        </w:tc>
        <w:tc>
          <w:tcPr>
            <w:tcW w:w="4111" w:type="dxa"/>
            <w:gridSpan w:val="2"/>
            <w:vMerge w:val="restart"/>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r>
              <w:rPr>
                <w:rFonts w:hint="eastAsia"/>
                <w:sz w:val="21"/>
                <w:szCs w:val="21"/>
                <w:highlight w:val="none"/>
                <w:lang w:val="en-US"/>
              </w:rPr>
              <w:t>检验项目</w:t>
            </w:r>
          </w:p>
        </w:tc>
        <w:tc>
          <w:tcPr>
            <w:tcW w:w="3969" w:type="dxa"/>
            <w:vMerge w:val="restart"/>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r>
              <w:rPr>
                <w:rFonts w:hint="eastAsia"/>
                <w:sz w:val="21"/>
                <w:szCs w:val="21"/>
                <w:highlight w:val="none"/>
                <w:lang w:val="en-US"/>
              </w:rPr>
              <w:t>检测方法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708" w:type="dxa"/>
            <w:vMerge w:val="continue"/>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p>
        </w:tc>
        <w:tc>
          <w:tcPr>
            <w:tcW w:w="4111" w:type="dxa"/>
            <w:gridSpan w:val="2"/>
            <w:vMerge w:val="continue"/>
            <w:tcBorders>
              <w:top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p>
        </w:tc>
        <w:tc>
          <w:tcPr>
            <w:tcW w:w="3969" w:type="dxa"/>
            <w:vMerge w:val="continue"/>
            <w:tcBorders>
              <w:top w:val="nil"/>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708" w:type="dxa"/>
            <w:vMerge w:val="restart"/>
            <w:tcBorders>
              <w:right w:val="single" w:color="auto" w:sz="4" w:space="0"/>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r>
              <w:rPr>
                <w:rFonts w:hint="eastAsia"/>
                <w:sz w:val="21"/>
                <w:szCs w:val="21"/>
                <w:highlight w:val="none"/>
                <w:lang w:val="en-US"/>
              </w:rPr>
              <w:t>1</w:t>
            </w:r>
          </w:p>
        </w:tc>
        <w:tc>
          <w:tcPr>
            <w:tcW w:w="1702" w:type="dxa"/>
            <w:vMerge w:val="restart"/>
            <w:tcBorders>
              <w:right w:val="single" w:color="auto" w:sz="4" w:space="0"/>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r>
              <w:rPr>
                <w:rFonts w:hint="eastAsia"/>
                <w:sz w:val="21"/>
                <w:szCs w:val="21"/>
                <w:highlight w:val="none"/>
                <w:lang w:val="en-US"/>
              </w:rPr>
              <w:t>外观质量、</w:t>
            </w:r>
          </w:p>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r>
              <w:rPr>
                <w:rFonts w:hint="eastAsia"/>
                <w:sz w:val="21"/>
                <w:szCs w:val="21"/>
                <w:highlight w:val="none"/>
                <w:lang w:val="en-US"/>
              </w:rPr>
              <w:t>外形尺寸和极限偏差</w:t>
            </w:r>
          </w:p>
        </w:tc>
        <w:tc>
          <w:tcPr>
            <w:tcW w:w="2409" w:type="dxa"/>
            <w:tcBorders>
              <w:left w:val="single" w:color="auto" w:sz="4" w:space="0"/>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r>
              <w:rPr>
                <w:rFonts w:hint="eastAsia"/>
                <w:sz w:val="21"/>
                <w:szCs w:val="21"/>
                <w:highlight w:val="none"/>
                <w:lang w:val="en-US"/>
              </w:rPr>
              <w:t>外观质量</w:t>
            </w:r>
          </w:p>
        </w:tc>
        <w:tc>
          <w:tcPr>
            <w:tcW w:w="3969" w:type="dxa"/>
            <w:vMerge w:val="restart"/>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r>
              <w:rPr>
                <w:rFonts w:hint="eastAsia"/>
                <w:sz w:val="21"/>
                <w:szCs w:val="21"/>
                <w:highlight w:val="none"/>
                <w:lang w:val="en-US"/>
              </w:rPr>
              <w:t>GB/T 14561-2019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708" w:type="dxa"/>
            <w:vMerge w:val="continue"/>
            <w:tcBorders>
              <w:right w:val="single" w:color="auto" w:sz="4" w:space="0"/>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p>
        </w:tc>
        <w:tc>
          <w:tcPr>
            <w:tcW w:w="1702" w:type="dxa"/>
            <w:vMerge w:val="continue"/>
            <w:tcBorders>
              <w:right w:val="single" w:color="auto" w:sz="4" w:space="0"/>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p>
        </w:tc>
        <w:tc>
          <w:tcPr>
            <w:tcW w:w="2409" w:type="dxa"/>
            <w:tcBorders>
              <w:left w:val="single" w:color="auto" w:sz="4" w:space="0"/>
            </w:tcBorders>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r>
              <w:rPr>
                <w:rFonts w:hint="eastAsia"/>
                <w:sz w:val="21"/>
                <w:szCs w:val="21"/>
                <w:highlight w:val="none"/>
                <w:lang w:val="en-US"/>
              </w:rPr>
              <w:t>外形尺寸和极限偏差</w:t>
            </w:r>
          </w:p>
        </w:tc>
        <w:tc>
          <w:tcPr>
            <w:tcW w:w="3969" w:type="dxa"/>
            <w:vMerge w:val="continue"/>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1" w:hRule="atLeast"/>
        </w:trPr>
        <w:tc>
          <w:tcPr>
            <w:tcW w:w="708"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r>
              <w:rPr>
                <w:rFonts w:hint="eastAsia"/>
                <w:sz w:val="21"/>
                <w:szCs w:val="21"/>
                <w:highlight w:val="none"/>
                <w:lang w:val="en-US"/>
              </w:rPr>
              <w:t>2</w:t>
            </w:r>
          </w:p>
        </w:tc>
        <w:tc>
          <w:tcPr>
            <w:tcW w:w="4111"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r>
              <w:rPr>
                <w:rFonts w:hint="eastAsia"/>
                <w:sz w:val="21"/>
                <w:szCs w:val="21"/>
                <w:highlight w:val="none"/>
                <w:lang w:val="en-US"/>
              </w:rPr>
              <w:t>材料</w:t>
            </w:r>
          </w:p>
        </w:tc>
        <w:tc>
          <w:tcPr>
            <w:tcW w:w="3969" w:type="dxa"/>
            <w:vMerge w:val="continue"/>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trPr>
        <w:tc>
          <w:tcPr>
            <w:tcW w:w="708"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r>
              <w:rPr>
                <w:rFonts w:hint="eastAsia"/>
                <w:sz w:val="21"/>
                <w:szCs w:val="21"/>
                <w:highlight w:val="none"/>
                <w:lang w:val="en-US"/>
              </w:rPr>
              <w:t>3</w:t>
            </w:r>
          </w:p>
        </w:tc>
        <w:tc>
          <w:tcPr>
            <w:tcW w:w="4111"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r>
              <w:rPr>
                <w:rFonts w:hint="eastAsia"/>
                <w:sz w:val="21"/>
                <w:szCs w:val="21"/>
                <w:highlight w:val="none"/>
                <w:lang w:val="en-US"/>
              </w:rPr>
              <w:t>箱体刚度</w:t>
            </w:r>
          </w:p>
        </w:tc>
        <w:tc>
          <w:tcPr>
            <w:tcW w:w="3969" w:type="dxa"/>
            <w:vMerge w:val="continue"/>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708"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r>
              <w:rPr>
                <w:rFonts w:hint="eastAsia"/>
                <w:sz w:val="21"/>
                <w:szCs w:val="21"/>
                <w:highlight w:val="none"/>
                <w:lang w:val="en-US"/>
              </w:rPr>
              <w:t>4</w:t>
            </w:r>
          </w:p>
        </w:tc>
        <w:tc>
          <w:tcPr>
            <w:tcW w:w="4111"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r>
              <w:rPr>
                <w:rFonts w:hint="eastAsia"/>
                <w:sz w:val="21"/>
                <w:szCs w:val="21"/>
                <w:highlight w:val="none"/>
                <w:lang w:val="en-US"/>
              </w:rPr>
              <w:t>箱门</w:t>
            </w:r>
          </w:p>
        </w:tc>
        <w:tc>
          <w:tcPr>
            <w:tcW w:w="3969" w:type="dxa"/>
            <w:vMerge w:val="continue"/>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708" w:type="dxa"/>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r>
              <w:rPr>
                <w:rFonts w:hint="eastAsia"/>
                <w:sz w:val="21"/>
                <w:szCs w:val="21"/>
                <w:highlight w:val="none"/>
                <w:lang w:val="en-US"/>
              </w:rPr>
              <w:t>5</w:t>
            </w:r>
          </w:p>
        </w:tc>
        <w:tc>
          <w:tcPr>
            <w:tcW w:w="4111" w:type="dxa"/>
            <w:gridSpan w:val="2"/>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r>
              <w:rPr>
                <w:rFonts w:hint="eastAsia"/>
                <w:sz w:val="21"/>
                <w:szCs w:val="21"/>
                <w:highlight w:val="none"/>
                <w:lang w:val="en-US"/>
              </w:rPr>
              <w:t>标志</w:t>
            </w:r>
          </w:p>
        </w:tc>
        <w:tc>
          <w:tcPr>
            <w:tcW w:w="3969" w:type="dxa"/>
            <w:vMerge w:val="continue"/>
            <w:vAlign w:val="center"/>
          </w:tcPr>
          <w:p>
            <w:pPr>
              <w:pStyle w:val="12"/>
              <w:keepNext w:val="0"/>
              <w:keepLines w:val="0"/>
              <w:pageBreakBefore w:val="0"/>
              <w:widowControl w:val="0"/>
              <w:kinsoku/>
              <w:wordWrap/>
              <w:overflowPunct/>
              <w:topLinePunct w:val="0"/>
              <w:autoSpaceDE w:val="0"/>
              <w:autoSpaceDN w:val="0"/>
              <w:bidi w:val="0"/>
              <w:adjustRightInd/>
              <w:snapToGrid/>
              <w:spacing w:before="165" w:line="240" w:lineRule="auto"/>
              <w:ind w:left="176" w:right="170"/>
              <w:jc w:val="center"/>
              <w:textAlignment w:val="auto"/>
              <w:rPr>
                <w:rFonts w:hint="eastAsia"/>
                <w:sz w:val="21"/>
                <w:szCs w:val="21"/>
                <w:highlight w:val="none"/>
                <w:lang w:val="en-US"/>
              </w:rPr>
            </w:pPr>
          </w:p>
        </w:tc>
      </w:tr>
    </w:tbl>
    <w:p>
      <w:pPr>
        <w:keepNext w:val="0"/>
        <w:keepLines w:val="0"/>
        <w:pageBreakBefore w:val="0"/>
        <w:widowControl w:val="0"/>
        <w:kinsoku/>
        <w:wordWrap/>
        <w:overflowPunct/>
        <w:topLinePunct w:val="0"/>
        <w:autoSpaceDE w:val="0"/>
        <w:autoSpaceDN w:val="0"/>
        <w:bidi w:val="0"/>
        <w:adjustRightInd/>
        <w:snapToGrid w:val="0"/>
        <w:spacing w:line="440" w:lineRule="exact"/>
        <w:ind w:firstLine="420" w:firstLineChars="200"/>
        <w:textAlignment w:val="auto"/>
        <w:rPr>
          <w:color w:val="000000"/>
          <w:sz w:val="21"/>
          <w:szCs w:val="21"/>
        </w:rPr>
      </w:pPr>
      <w:r>
        <w:rPr>
          <w:rFonts w:hint="eastAsia"/>
          <w:color w:val="000000"/>
          <w:sz w:val="21"/>
          <w:szCs w:val="21"/>
        </w:rPr>
        <w:t>执行企业标准、团体标准、地方标准的产品，检验项目参照上述内容执行。</w:t>
      </w:r>
    </w:p>
    <w:p>
      <w:pPr>
        <w:keepNext w:val="0"/>
        <w:keepLines w:val="0"/>
        <w:pageBreakBefore w:val="0"/>
        <w:widowControl w:val="0"/>
        <w:kinsoku/>
        <w:wordWrap/>
        <w:overflowPunct/>
        <w:topLinePunct w:val="0"/>
        <w:autoSpaceDE w:val="0"/>
        <w:autoSpaceDN w:val="0"/>
        <w:bidi w:val="0"/>
        <w:adjustRightInd/>
        <w:spacing w:line="440" w:lineRule="exact"/>
        <w:ind w:firstLine="420" w:firstLineChars="200"/>
        <w:textAlignment w:val="auto"/>
        <w:rPr>
          <w:color w:val="000000"/>
          <w:sz w:val="21"/>
          <w:szCs w:val="21"/>
        </w:rPr>
      </w:pPr>
      <w:r>
        <w:rPr>
          <w:color w:val="000000"/>
          <w:sz w:val="21"/>
          <w:szCs w:val="21"/>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val="0"/>
        <w:autoSpaceDN w:val="0"/>
        <w:bidi w:val="0"/>
        <w:adjustRightInd/>
        <w:spacing w:line="440" w:lineRule="exact"/>
        <w:ind w:firstLine="420" w:firstLineChars="200"/>
        <w:textAlignment w:val="auto"/>
        <w:rPr>
          <w:color w:val="000000"/>
          <w:sz w:val="21"/>
          <w:szCs w:val="21"/>
        </w:rPr>
      </w:pPr>
    </w:p>
    <w:p>
      <w:pPr>
        <w:pStyle w:val="11"/>
        <w:keepNext w:val="0"/>
        <w:keepLines w:val="0"/>
        <w:pageBreakBefore w:val="0"/>
        <w:widowControl w:val="0"/>
        <w:tabs>
          <w:tab w:val="left" w:pos="455"/>
        </w:tabs>
        <w:kinsoku/>
        <w:wordWrap/>
        <w:overflowPunct/>
        <w:topLinePunct w:val="0"/>
        <w:autoSpaceDE w:val="0"/>
        <w:autoSpaceDN w:val="0"/>
        <w:bidi w:val="0"/>
        <w:adjustRightInd/>
        <w:spacing w:line="440" w:lineRule="exact"/>
        <w:ind w:left="0"/>
        <w:textAlignment w:val="auto"/>
        <w:rPr>
          <w:rFonts w:hint="eastAsia" w:ascii="黑体" w:eastAsia="黑体"/>
          <w:b w:val="0"/>
          <w:bCs w:val="0"/>
          <w:spacing w:val="-3"/>
          <w:sz w:val="21"/>
          <w:szCs w:val="21"/>
        </w:rPr>
      </w:pPr>
      <w:r>
        <w:rPr>
          <w:rFonts w:hint="eastAsia" w:ascii="黑体" w:eastAsia="黑体"/>
          <w:b w:val="0"/>
          <w:bCs w:val="0"/>
          <w:spacing w:val="-3"/>
          <w:sz w:val="21"/>
          <w:szCs w:val="21"/>
        </w:rPr>
        <w:t>3 判定规则</w:t>
      </w:r>
    </w:p>
    <w:p>
      <w:pPr>
        <w:pStyle w:val="11"/>
        <w:keepNext w:val="0"/>
        <w:keepLines w:val="0"/>
        <w:pageBreakBefore w:val="0"/>
        <w:widowControl w:val="0"/>
        <w:tabs>
          <w:tab w:val="left" w:pos="455"/>
        </w:tabs>
        <w:kinsoku/>
        <w:wordWrap/>
        <w:overflowPunct/>
        <w:topLinePunct w:val="0"/>
        <w:autoSpaceDE w:val="0"/>
        <w:autoSpaceDN w:val="0"/>
        <w:bidi w:val="0"/>
        <w:adjustRightInd/>
        <w:spacing w:line="440" w:lineRule="exact"/>
        <w:ind w:left="0"/>
        <w:textAlignment w:val="auto"/>
        <w:rPr>
          <w:rFonts w:hint="eastAsia"/>
          <w:spacing w:val="-3"/>
          <w:sz w:val="21"/>
          <w:szCs w:val="21"/>
        </w:rPr>
      </w:pPr>
      <w:r>
        <w:rPr>
          <w:rFonts w:hint="eastAsia"/>
          <w:spacing w:val="-3"/>
          <w:sz w:val="21"/>
          <w:szCs w:val="21"/>
        </w:rPr>
        <w:t>3.1 依据标准</w:t>
      </w:r>
    </w:p>
    <w:p>
      <w:pPr>
        <w:pStyle w:val="11"/>
        <w:keepNext w:val="0"/>
        <w:keepLines w:val="0"/>
        <w:pageBreakBefore w:val="0"/>
        <w:widowControl w:val="0"/>
        <w:tabs>
          <w:tab w:val="left" w:pos="455"/>
        </w:tabs>
        <w:kinsoku/>
        <w:wordWrap/>
        <w:overflowPunct/>
        <w:topLinePunct w:val="0"/>
        <w:autoSpaceDE w:val="0"/>
        <w:autoSpaceDN w:val="0"/>
        <w:bidi w:val="0"/>
        <w:adjustRightInd/>
        <w:spacing w:line="440" w:lineRule="exact"/>
        <w:ind w:left="220" w:leftChars="100" w:firstLine="6" w:firstLineChars="3"/>
        <w:textAlignment w:val="auto"/>
        <w:rPr>
          <w:sz w:val="21"/>
          <w:szCs w:val="21"/>
        </w:rPr>
      </w:pPr>
      <w:r>
        <w:rPr>
          <w:sz w:val="21"/>
          <w:szCs w:val="21"/>
        </w:rPr>
        <w:t>GB 14561-20</w:t>
      </w:r>
      <w:r>
        <w:rPr>
          <w:rFonts w:hint="eastAsia"/>
          <w:sz w:val="21"/>
          <w:szCs w:val="21"/>
        </w:rPr>
        <w:t>19</w:t>
      </w:r>
      <w:r>
        <w:rPr>
          <w:sz w:val="21"/>
          <w:szCs w:val="21"/>
        </w:rPr>
        <w:tab/>
      </w:r>
      <w:r>
        <w:rPr>
          <w:sz w:val="21"/>
          <w:szCs w:val="21"/>
        </w:rPr>
        <w:t>消火</w:t>
      </w:r>
      <w:r>
        <w:rPr>
          <w:spacing w:val="-5"/>
          <w:sz w:val="21"/>
          <w:szCs w:val="21"/>
        </w:rPr>
        <w:t>栓</w:t>
      </w:r>
      <w:r>
        <w:rPr>
          <w:sz w:val="21"/>
          <w:szCs w:val="21"/>
        </w:rPr>
        <w:t>箱</w:t>
      </w:r>
    </w:p>
    <w:p>
      <w:pPr>
        <w:pStyle w:val="11"/>
        <w:keepNext w:val="0"/>
        <w:keepLines w:val="0"/>
        <w:pageBreakBefore w:val="0"/>
        <w:widowControl w:val="0"/>
        <w:tabs>
          <w:tab w:val="left" w:pos="455"/>
        </w:tabs>
        <w:kinsoku/>
        <w:wordWrap/>
        <w:overflowPunct/>
        <w:topLinePunct w:val="0"/>
        <w:autoSpaceDE w:val="0"/>
        <w:autoSpaceDN w:val="0"/>
        <w:bidi w:val="0"/>
        <w:adjustRightInd/>
        <w:spacing w:line="440" w:lineRule="exact"/>
        <w:ind w:left="220" w:leftChars="100" w:firstLine="6" w:firstLineChars="3"/>
        <w:textAlignment w:val="auto"/>
        <w:rPr>
          <w:color w:val="000000"/>
          <w:sz w:val="21"/>
          <w:szCs w:val="21"/>
        </w:rPr>
      </w:pPr>
      <w:r>
        <w:rPr>
          <w:color w:val="000000"/>
          <w:sz w:val="21"/>
          <w:szCs w:val="21"/>
        </w:rPr>
        <w:t>现行有效的企业标准、团体标准、地方标准及产品明示质量要求</w:t>
      </w:r>
    </w:p>
    <w:p>
      <w:pPr>
        <w:pStyle w:val="11"/>
        <w:keepNext w:val="0"/>
        <w:keepLines w:val="0"/>
        <w:pageBreakBefore w:val="0"/>
        <w:widowControl w:val="0"/>
        <w:tabs>
          <w:tab w:val="left" w:pos="508"/>
        </w:tabs>
        <w:kinsoku/>
        <w:wordWrap/>
        <w:overflowPunct/>
        <w:topLinePunct w:val="0"/>
        <w:autoSpaceDE w:val="0"/>
        <w:autoSpaceDN w:val="0"/>
        <w:bidi w:val="0"/>
        <w:adjustRightInd/>
        <w:spacing w:line="440" w:lineRule="exact"/>
        <w:ind w:left="0" w:leftChars="0" w:firstLine="0" w:firstLineChars="0"/>
        <w:textAlignment w:val="auto"/>
        <w:rPr>
          <w:sz w:val="21"/>
          <w:szCs w:val="21"/>
        </w:rPr>
      </w:pPr>
      <w:r>
        <w:rPr>
          <w:rFonts w:hint="eastAsia"/>
          <w:spacing w:val="-3"/>
          <w:sz w:val="21"/>
          <w:szCs w:val="21"/>
        </w:rPr>
        <w:t xml:space="preserve">3.2 </w:t>
      </w:r>
      <w:r>
        <w:rPr>
          <w:spacing w:val="-3"/>
          <w:sz w:val="21"/>
          <w:szCs w:val="21"/>
        </w:rPr>
        <w:t>判定原则</w:t>
      </w:r>
    </w:p>
    <w:p>
      <w:pPr>
        <w:pStyle w:val="5"/>
        <w:keepNext w:val="0"/>
        <w:keepLines w:val="0"/>
        <w:pageBreakBefore w:val="0"/>
        <w:widowControl w:val="0"/>
        <w:kinsoku/>
        <w:wordWrap/>
        <w:overflowPunct/>
        <w:topLinePunct w:val="0"/>
        <w:autoSpaceDE w:val="0"/>
        <w:autoSpaceDN w:val="0"/>
        <w:bidi w:val="0"/>
        <w:adjustRightInd/>
        <w:spacing w:line="440" w:lineRule="exact"/>
        <w:ind w:firstLine="420" w:firstLineChars="200"/>
        <w:textAlignment w:val="auto"/>
        <w:rPr>
          <w:sz w:val="21"/>
          <w:szCs w:val="21"/>
        </w:rPr>
      </w:pPr>
      <w:r>
        <w:rPr>
          <w:rFonts w:ascii="Times New Roman" w:hAnsi="Times New Roman"/>
          <w:color w:val="000000"/>
          <w:szCs w:val="21"/>
        </w:rPr>
        <w:t>经检验，检验项目全部合格，判定为被抽查产品所检项目未发现不合格</w:t>
      </w:r>
      <w:r>
        <w:rPr>
          <w:spacing w:val="-3"/>
          <w:sz w:val="21"/>
          <w:szCs w:val="21"/>
        </w:rPr>
        <w:t>；检验项目中任一项或一项以上不合格，判定为被抽查产品不合格。</w:t>
      </w:r>
      <w:r>
        <w:rPr>
          <w:spacing w:val="-3"/>
          <w:sz w:val="21"/>
          <w:szCs w:val="21"/>
        </w:rPr>
        <w:br w:type="textWrapping"/>
      </w:r>
      <w:r>
        <w:rPr>
          <w:rFonts w:hint="eastAsia"/>
          <w:spacing w:val="-3"/>
          <w:sz w:val="21"/>
          <w:szCs w:val="21"/>
          <w:lang w:val="en-US" w:eastAsia="zh-CN"/>
        </w:rPr>
        <w:t xml:space="preserve">    </w:t>
      </w:r>
      <w:r>
        <w:rPr>
          <w:spacing w:val="-3"/>
          <w:sz w:val="21"/>
          <w:szCs w:val="21"/>
        </w:rPr>
        <w:t>若被检产品明示的质量要求高于本细则中检验项目依据的标准要求且检验方法一致时，应按被检产品明示的质量要求判定。</w:t>
      </w:r>
      <w:r>
        <w:rPr>
          <w:spacing w:val="-3"/>
          <w:sz w:val="21"/>
          <w:szCs w:val="21"/>
        </w:rPr>
        <w:br w:type="textWrapping"/>
      </w:r>
      <w:r>
        <w:rPr>
          <w:rFonts w:hint="eastAsia"/>
          <w:spacing w:val="-3"/>
          <w:sz w:val="21"/>
          <w:szCs w:val="21"/>
        </w:rPr>
        <w:t xml:space="preserve"> </w:t>
      </w:r>
      <w:r>
        <w:rPr>
          <w:rFonts w:hint="eastAsia"/>
          <w:spacing w:val="-3"/>
          <w:sz w:val="21"/>
          <w:szCs w:val="21"/>
          <w:lang w:val="en-US" w:eastAsia="zh-CN"/>
        </w:rPr>
        <w:t xml:space="preserve"> </w:t>
      </w:r>
      <w:r>
        <w:rPr>
          <w:rFonts w:hint="eastAsia"/>
          <w:spacing w:val="-3"/>
          <w:sz w:val="21"/>
          <w:szCs w:val="21"/>
        </w:rPr>
        <w:t xml:space="preserve">  </w:t>
      </w:r>
      <w:r>
        <w:rPr>
          <w:spacing w:val="-3"/>
          <w:sz w:val="21"/>
          <w:szCs w:val="21"/>
        </w:rPr>
        <w:t>若被检产品明示的质量要求低于本细则中检验项目依据的强制性标准要求时，应按强制性标准要求判定；</w:t>
      </w:r>
      <w:r>
        <w:rPr>
          <w:spacing w:val="-3"/>
          <w:sz w:val="21"/>
          <w:szCs w:val="21"/>
        </w:rPr>
        <w:br w:type="textWrapping"/>
      </w:r>
      <w:r>
        <w:rPr>
          <w:rFonts w:hint="eastAsia"/>
          <w:spacing w:val="-3"/>
          <w:sz w:val="21"/>
          <w:szCs w:val="21"/>
        </w:rPr>
        <w:t xml:space="preserve"> </w:t>
      </w:r>
      <w:r>
        <w:rPr>
          <w:rFonts w:hint="eastAsia"/>
          <w:spacing w:val="-3"/>
          <w:sz w:val="21"/>
          <w:szCs w:val="21"/>
          <w:lang w:val="en-US" w:eastAsia="zh-CN"/>
        </w:rPr>
        <w:t xml:space="preserve"> </w:t>
      </w:r>
      <w:r>
        <w:rPr>
          <w:rFonts w:hint="eastAsia"/>
          <w:spacing w:val="-3"/>
          <w:sz w:val="21"/>
          <w:szCs w:val="21"/>
        </w:rPr>
        <w:t xml:space="preserve">  </w:t>
      </w:r>
      <w:r>
        <w:rPr>
          <w:spacing w:val="-3"/>
          <w:sz w:val="21"/>
          <w:szCs w:val="21"/>
        </w:rPr>
        <w:t>若被检产品明示的质量要求低于本细则中检验项目依据的推荐性标准要求时，应按被检产品明示质量要求判定。</w:t>
      </w:r>
      <w:r>
        <w:rPr>
          <w:spacing w:val="-3"/>
          <w:sz w:val="21"/>
          <w:szCs w:val="21"/>
        </w:rPr>
        <w:br w:type="textWrapping"/>
      </w:r>
      <w:r>
        <w:rPr>
          <w:rFonts w:hint="eastAsia"/>
          <w:spacing w:val="-3"/>
          <w:sz w:val="21"/>
          <w:szCs w:val="21"/>
        </w:rPr>
        <w:t xml:space="preserve"> </w:t>
      </w:r>
      <w:r>
        <w:rPr>
          <w:rFonts w:hint="eastAsia"/>
          <w:spacing w:val="-3"/>
          <w:sz w:val="21"/>
          <w:szCs w:val="21"/>
          <w:lang w:val="en-US" w:eastAsia="zh-CN"/>
        </w:rPr>
        <w:t xml:space="preserve"> </w:t>
      </w:r>
      <w:r>
        <w:rPr>
          <w:rFonts w:hint="eastAsia"/>
          <w:spacing w:val="-3"/>
          <w:sz w:val="21"/>
          <w:szCs w:val="21"/>
        </w:rPr>
        <w:t xml:space="preserve">  </w:t>
      </w:r>
      <w:r>
        <w:rPr>
          <w:spacing w:val="-3"/>
          <w:sz w:val="21"/>
          <w:szCs w:val="21"/>
        </w:rPr>
        <w:t>若被检产品明示的质量要求缺少本细则中的检验项目依据的强制性标准要求时，应按强制性标准要求判定；</w:t>
      </w:r>
      <w:r>
        <w:rPr>
          <w:spacing w:val="-3"/>
          <w:sz w:val="21"/>
          <w:szCs w:val="21"/>
        </w:rPr>
        <w:br w:type="textWrapping"/>
      </w:r>
      <w:r>
        <w:rPr>
          <w:rFonts w:hint="eastAsia"/>
          <w:spacing w:val="-3"/>
          <w:sz w:val="21"/>
          <w:szCs w:val="21"/>
        </w:rPr>
        <w:t xml:space="preserve"> </w:t>
      </w:r>
      <w:r>
        <w:rPr>
          <w:rFonts w:hint="eastAsia"/>
          <w:spacing w:val="-3"/>
          <w:sz w:val="21"/>
          <w:szCs w:val="21"/>
          <w:lang w:val="en-US" w:eastAsia="zh-CN"/>
        </w:rPr>
        <w:t xml:space="preserve"> </w:t>
      </w:r>
      <w:r>
        <w:rPr>
          <w:rFonts w:hint="eastAsia"/>
          <w:spacing w:val="-3"/>
          <w:sz w:val="21"/>
          <w:szCs w:val="21"/>
        </w:rPr>
        <w:t xml:space="preserve">  </w:t>
      </w:r>
      <w:r>
        <w:rPr>
          <w:spacing w:val="-3"/>
          <w:sz w:val="21"/>
          <w:szCs w:val="21"/>
        </w:rPr>
        <w:t>若被检产品明示的质量要求缺少本细则中的检验项目依据的推荐性标准要求时，该项目不参与判定，但应在检验报告备注中进行说明。</w:t>
      </w:r>
    </w:p>
    <w:p>
      <w:pPr>
        <w:pStyle w:val="5"/>
        <w:keepNext w:val="0"/>
        <w:keepLines w:val="0"/>
        <w:pageBreakBefore w:val="0"/>
        <w:widowControl w:val="0"/>
        <w:kinsoku/>
        <w:wordWrap/>
        <w:overflowPunct/>
        <w:topLinePunct w:val="0"/>
        <w:autoSpaceDE w:val="0"/>
        <w:autoSpaceDN w:val="0"/>
        <w:bidi w:val="0"/>
        <w:adjustRightInd/>
        <w:spacing w:line="440" w:lineRule="exact"/>
        <w:textAlignment w:val="auto"/>
        <w:rPr>
          <w:sz w:val="21"/>
          <w:szCs w:val="21"/>
        </w:rPr>
      </w:pPr>
    </w:p>
    <w:p>
      <w:pPr>
        <w:keepNext w:val="0"/>
        <w:keepLines w:val="0"/>
        <w:pageBreakBefore w:val="0"/>
        <w:widowControl w:val="0"/>
        <w:kinsoku/>
        <w:wordWrap/>
        <w:overflowPunct/>
        <w:topLinePunct w:val="0"/>
        <w:autoSpaceDE w:val="0"/>
        <w:autoSpaceDN w:val="0"/>
        <w:bidi w:val="0"/>
        <w:adjustRightInd/>
        <w:spacing w:line="440" w:lineRule="exact"/>
        <w:textAlignment w:val="auto"/>
        <w:rPr>
          <w:rFonts w:hint="eastAsia" w:eastAsia="黑体"/>
          <w:color w:val="000000"/>
          <w:sz w:val="21"/>
          <w:szCs w:val="21"/>
        </w:rPr>
      </w:pPr>
      <w:r>
        <w:rPr>
          <w:rFonts w:hint="eastAsia" w:ascii="黑体" w:hAnsi="黑体" w:eastAsia="黑体" w:cs="黑体"/>
          <w:color w:val="000000"/>
          <w:sz w:val="21"/>
          <w:szCs w:val="21"/>
        </w:rPr>
        <w:t>4</w:t>
      </w:r>
      <w:r>
        <w:rPr>
          <w:rFonts w:hint="eastAsia" w:eastAsia="黑体"/>
          <w:color w:val="000000"/>
          <w:sz w:val="21"/>
          <w:szCs w:val="21"/>
        </w:rPr>
        <w:t xml:space="preserve"> 附则</w:t>
      </w:r>
    </w:p>
    <w:p>
      <w:pPr>
        <w:ind w:firstLine="440" w:firstLineChars="200"/>
        <w:rPr>
          <w:sz w:val="21"/>
          <w:szCs w:val="21"/>
        </w:rPr>
      </w:pPr>
      <w:r>
        <w:rPr>
          <w:rFonts w:hint="eastAsia"/>
          <w:color w:val="000000"/>
          <w:szCs w:val="21"/>
        </w:rPr>
        <w:t>本细则代替《</w:t>
      </w:r>
      <w:r>
        <w:rPr>
          <w:rFonts w:hint="eastAsia"/>
          <w:color w:val="000000"/>
          <w:szCs w:val="21"/>
          <w:lang w:eastAsia="zh-CN"/>
        </w:rPr>
        <w:t>贵</w:t>
      </w:r>
      <w:bookmarkStart w:id="0" w:name="_GoBack"/>
      <w:bookmarkEnd w:id="0"/>
      <w:r>
        <w:rPr>
          <w:rFonts w:hint="eastAsia"/>
          <w:color w:val="000000"/>
          <w:szCs w:val="21"/>
          <w:lang w:eastAsia="zh-CN"/>
        </w:rPr>
        <w:t>州</w:t>
      </w:r>
      <w:r>
        <w:rPr>
          <w:rFonts w:hint="eastAsia"/>
          <w:color w:val="000000"/>
          <w:szCs w:val="21"/>
        </w:rPr>
        <w:t>省市场监管局关于发布</w:t>
      </w:r>
      <w:r>
        <w:rPr>
          <w:rFonts w:hint="eastAsia"/>
          <w:color w:val="000000"/>
          <w:szCs w:val="21"/>
          <w:lang w:val="en-US" w:eastAsia="zh-CN"/>
        </w:rPr>
        <w:t>2022年版</w:t>
      </w:r>
      <w:r>
        <w:rPr>
          <w:rFonts w:hint="eastAsia"/>
          <w:color w:val="000000"/>
          <w:szCs w:val="21"/>
        </w:rPr>
        <w:t>贵州省产品质量监督抽查实施细则（第</w:t>
      </w:r>
      <w:r>
        <w:rPr>
          <w:rFonts w:hint="eastAsia"/>
          <w:color w:val="000000"/>
          <w:szCs w:val="21"/>
          <w:lang w:eastAsia="zh-CN"/>
        </w:rPr>
        <w:t>一</w:t>
      </w:r>
      <w:r>
        <w:rPr>
          <w:rFonts w:hint="eastAsia"/>
          <w:color w:val="000000"/>
          <w:szCs w:val="21"/>
        </w:rPr>
        <w:t>批）的公告》（黔市监公告〔202</w:t>
      </w:r>
      <w:r>
        <w:rPr>
          <w:rFonts w:hint="eastAsia"/>
          <w:color w:val="000000"/>
          <w:szCs w:val="21"/>
          <w:lang w:val="en-US" w:eastAsia="zh-CN"/>
        </w:rPr>
        <w:t>2</w:t>
      </w:r>
      <w:r>
        <w:rPr>
          <w:rFonts w:hint="eastAsia"/>
          <w:color w:val="000000"/>
          <w:szCs w:val="21"/>
        </w:rPr>
        <w:t>〕</w:t>
      </w:r>
      <w:r>
        <w:rPr>
          <w:rFonts w:hint="eastAsia"/>
          <w:color w:val="000000"/>
          <w:szCs w:val="21"/>
          <w:lang w:val="en-US" w:eastAsia="zh-CN"/>
        </w:rPr>
        <w:t>46</w:t>
      </w:r>
      <w:r>
        <w:rPr>
          <w:rFonts w:hint="eastAsia"/>
          <w:color w:val="000000"/>
          <w:szCs w:val="21"/>
        </w:rPr>
        <w:t>号）中的</w:t>
      </w:r>
      <w:r>
        <w:rPr>
          <w:rFonts w:hint="eastAsia"/>
          <w:color w:val="000000"/>
          <w:sz w:val="21"/>
          <w:szCs w:val="21"/>
        </w:rPr>
        <w:t>《贵州省消火栓箱产品质量监督抽查实施细则（</w:t>
      </w:r>
      <w:r>
        <w:rPr>
          <w:rFonts w:hint="eastAsia" w:ascii="Times New Roman" w:hAnsi="Times New Roman" w:eastAsia="宋体" w:cs="Times New Roman"/>
          <w:color w:val="000000"/>
          <w:szCs w:val="21"/>
          <w:lang w:val="en-US" w:eastAsia="zh-CN"/>
        </w:rPr>
        <w:t>202</w:t>
      </w:r>
      <w:r>
        <w:rPr>
          <w:rFonts w:hint="eastAsia" w:ascii="Times New Roman" w:hAnsi="Times New Roman" w:cs="Times New Roman"/>
          <w:color w:val="000000"/>
          <w:szCs w:val="21"/>
          <w:lang w:val="en-US" w:eastAsia="zh-CN"/>
        </w:rPr>
        <w:t>2</w:t>
      </w:r>
      <w:r>
        <w:rPr>
          <w:rFonts w:hint="eastAsia" w:ascii="Times New Roman" w:hAnsi="Times New Roman" w:eastAsia="宋体" w:cs="Times New Roman"/>
          <w:color w:val="000000"/>
          <w:szCs w:val="21"/>
          <w:lang w:val="en-US" w:eastAsia="zh-CN"/>
        </w:rPr>
        <w:t>年版</w:t>
      </w:r>
      <w:r>
        <w:rPr>
          <w:rFonts w:hint="eastAsia"/>
          <w:color w:val="000000"/>
          <w:sz w:val="21"/>
          <w:szCs w:val="21"/>
        </w:rPr>
        <w:t>）》。</w:t>
      </w:r>
    </w:p>
    <w:p>
      <w:pPr>
        <w:pStyle w:val="5"/>
        <w:keepNext w:val="0"/>
        <w:keepLines w:val="0"/>
        <w:pageBreakBefore w:val="0"/>
        <w:widowControl w:val="0"/>
        <w:kinsoku/>
        <w:wordWrap/>
        <w:overflowPunct/>
        <w:topLinePunct w:val="0"/>
        <w:autoSpaceDE w:val="0"/>
        <w:autoSpaceDN w:val="0"/>
        <w:bidi w:val="0"/>
        <w:adjustRightInd/>
        <w:spacing w:before="6" w:line="440" w:lineRule="exact"/>
        <w:textAlignment w:val="auto"/>
        <w:rPr>
          <w:sz w:val="21"/>
          <w:szCs w:val="21"/>
        </w:rPr>
      </w:pPr>
    </w:p>
    <w:sectPr>
      <w:headerReference r:id="rId3" w:type="default"/>
      <w:footerReference r:id="rId4" w:type="default"/>
      <w:pgSz w:w="11910" w:h="16840"/>
      <w:pgMar w:top="1480" w:right="1140" w:bottom="1240" w:left="1140" w:header="879" w:footer="1057"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小标宋_GBK">
    <w:panose1 w:val="02000000000000000000"/>
    <w:charset w:val="86"/>
    <w:family w:val="script"/>
    <w:pitch w:val="default"/>
    <w:sig w:usb0="00000001" w:usb1="08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pict>
        <v:shape id="文本框 3" o:spid="_x0000_s4097" o:spt="202" type="#_x0000_t202" style="position:absolute;left:0pt;margin-left:291pt;margin-top:778pt;height:11.85pt;width:8.45pt;mso-position-horizontal-relative:page;mso-position-vertical-relative:page;z-index:-251657216;mso-width-relative:page;mso-height-relative:page;" filled="f" stroked="f" coordsize="21600,21600" o:gfxdata="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mNpdFdsAAAANAQAADwAAAAAA&#10;AAABACAAAAAiAAAAZHJzL2Rvd25yZXYueG1sUEsBAhQAFAAAAAgAh07iQATQumueAQAAIwMAAA4A&#10;AAAAAAAAAQAgAAAAKgEAAGRycy9lMm9Eb2MueG1sUEsFBgAAAAAGAAYAWQEAADoFAAAAAA==&#10;">
          <v:path/>
          <v:fill on="f" focussize="0,0"/>
          <v:stroke on="f" joinstyle="miter"/>
          <v:imagedata o:title=""/>
          <o:lock v:ext="edit"/>
          <v:textbox inset="0mm,0mm,0mm,0mm">
            <w:txbxContent>
              <w:p>
                <w:pPr>
                  <w:spacing w:before="19"/>
                  <w:ind w:left="40"/>
                  <w:rPr>
                    <w:rFonts w:ascii="Times New Roman"/>
                    <w:sz w:val="17"/>
                  </w:rPr>
                </w:pPr>
                <w:r>
                  <w:fldChar w:fldCharType="begin"/>
                </w:r>
                <w:r>
                  <w:rPr>
                    <w:rFonts w:ascii="Times New Roman"/>
                    <w:w w:val="104"/>
                    <w:sz w:val="17"/>
                  </w:rPr>
                  <w:instrText xml:space="preserve"> PAGE </w:instrText>
                </w:r>
                <w:r>
                  <w:fldChar w:fldCharType="separate"/>
                </w:r>
                <w:r>
                  <w:rPr>
                    <w:rFonts w:ascii="Times New Roman"/>
                    <w:w w:val="104"/>
                    <w:sz w:val="17"/>
                  </w:rPr>
                  <w:t>2</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true"/>
  <w:bordersDoNotSurroundFooter w:val="true"/>
  <w:documentProtection w:enforcement="0"/>
  <w:defaultTabStop w:val="720"/>
  <w:drawingGridHorizontalSpacing w:val="110"/>
  <w:displayHorizontalDrawingGridEvery w:val="2"/>
  <w:characterSpacingControl w:val="doNotCompress"/>
  <w:hdrShapeDefaults>
    <o:shapelayout v:ext="edit">
      <o:idmap v:ext="edit" data="3,4"/>
    </o:shapelayout>
  </w:hdrShapeDefaults>
  <w:compat>
    <w:ulTrailSpace/>
    <w:useFELayout/>
    <w:compatSetting w:name="compatibilityMode" w:uri="http://schemas.microsoft.com/office/word" w:val="12"/>
  </w:compat>
  <w:rsids>
    <w:rsidRoot w:val="003919BD"/>
    <w:rsid w:val="00020072"/>
    <w:rsid w:val="00033640"/>
    <w:rsid w:val="001210E4"/>
    <w:rsid w:val="001945A2"/>
    <w:rsid w:val="00220123"/>
    <w:rsid w:val="00304C2E"/>
    <w:rsid w:val="003248C4"/>
    <w:rsid w:val="00333F79"/>
    <w:rsid w:val="00342A45"/>
    <w:rsid w:val="003564C7"/>
    <w:rsid w:val="003919BD"/>
    <w:rsid w:val="00483D2D"/>
    <w:rsid w:val="00504102"/>
    <w:rsid w:val="00517C3B"/>
    <w:rsid w:val="005874FE"/>
    <w:rsid w:val="00607345"/>
    <w:rsid w:val="00655204"/>
    <w:rsid w:val="00697613"/>
    <w:rsid w:val="006F6BB0"/>
    <w:rsid w:val="00702B2B"/>
    <w:rsid w:val="007669EF"/>
    <w:rsid w:val="007C2081"/>
    <w:rsid w:val="007D6BDA"/>
    <w:rsid w:val="007F65AA"/>
    <w:rsid w:val="00812C83"/>
    <w:rsid w:val="00861C6F"/>
    <w:rsid w:val="008B2B8F"/>
    <w:rsid w:val="008D76BB"/>
    <w:rsid w:val="009066EA"/>
    <w:rsid w:val="00921A16"/>
    <w:rsid w:val="00976400"/>
    <w:rsid w:val="00A078D0"/>
    <w:rsid w:val="00A07B90"/>
    <w:rsid w:val="00A31A05"/>
    <w:rsid w:val="00B4412D"/>
    <w:rsid w:val="00B56981"/>
    <w:rsid w:val="00B82898"/>
    <w:rsid w:val="00B96275"/>
    <w:rsid w:val="00BB03CC"/>
    <w:rsid w:val="00C259A4"/>
    <w:rsid w:val="00CF2ABF"/>
    <w:rsid w:val="00D239B3"/>
    <w:rsid w:val="00D87F96"/>
    <w:rsid w:val="00DD07C7"/>
    <w:rsid w:val="00E74AFA"/>
    <w:rsid w:val="00EC0810"/>
    <w:rsid w:val="00EF2F72"/>
    <w:rsid w:val="00EF6387"/>
    <w:rsid w:val="00EF68BE"/>
    <w:rsid w:val="00F430A7"/>
    <w:rsid w:val="00F87E11"/>
    <w:rsid w:val="00FA69BE"/>
    <w:rsid w:val="00FB6555"/>
    <w:rsid w:val="06797F9E"/>
    <w:rsid w:val="13FF8A9D"/>
    <w:rsid w:val="289A32D9"/>
    <w:rsid w:val="3A9879DF"/>
    <w:rsid w:val="401826F9"/>
    <w:rsid w:val="489F44A5"/>
    <w:rsid w:val="5365056B"/>
    <w:rsid w:val="565449B4"/>
    <w:rsid w:val="6B0A727D"/>
    <w:rsid w:val="6DF428B8"/>
    <w:rsid w:val="6E7D15FA"/>
    <w:rsid w:val="6FF39091"/>
    <w:rsid w:val="70F66AF2"/>
    <w:rsid w:val="76ED3FCC"/>
    <w:rsid w:val="E9DB7AE7"/>
    <w:rsid w:val="FA9F6D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ind w:left="673" w:right="671"/>
      <w:jc w:val="center"/>
      <w:outlineLvl w:val="0"/>
    </w:pPr>
    <w:rPr>
      <w:sz w:val="52"/>
      <w:szCs w:val="52"/>
    </w:rPr>
  </w:style>
  <w:style w:type="paragraph" w:styleId="3">
    <w:name w:val="heading 2"/>
    <w:basedOn w:val="1"/>
    <w:next w:val="1"/>
    <w:qFormat/>
    <w:uiPriority w:val="1"/>
    <w:pPr>
      <w:ind w:left="493" w:hanging="212"/>
      <w:outlineLvl w:val="1"/>
    </w:pPr>
    <w:rPr>
      <w:rFonts w:ascii="Microsoft JhengHei" w:hAnsi="Microsoft JhengHei" w:eastAsia="Microsoft JhengHei" w:cs="Microsoft JhengHei"/>
      <w:b/>
      <w:bCs/>
      <w:sz w:val="21"/>
      <w:szCs w:val="21"/>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unhideWhenUsed/>
    <w:qFormat/>
    <w:uiPriority w:val="99"/>
    <w:pPr>
      <w:jc w:val="left"/>
    </w:pPr>
  </w:style>
  <w:style w:type="paragraph" w:styleId="5">
    <w:name w:val="Body Text"/>
    <w:basedOn w:val="1"/>
    <w:link w:val="15"/>
    <w:qFormat/>
    <w:uiPriority w:val="1"/>
    <w:rPr>
      <w:sz w:val="21"/>
      <w:szCs w:val="21"/>
    </w:rPr>
  </w:style>
  <w:style w:type="paragraph" w:styleId="6">
    <w:name w:val="footer"/>
    <w:basedOn w:val="1"/>
    <w:link w:val="14"/>
    <w:qFormat/>
    <w:uiPriority w:val="0"/>
    <w:pPr>
      <w:tabs>
        <w:tab w:val="center" w:pos="4153"/>
        <w:tab w:val="right" w:pos="8306"/>
      </w:tabs>
      <w:snapToGrid w:val="0"/>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table" w:customStyle="1" w:styleId="10">
    <w:name w:val="Table Normal"/>
    <w:semiHidden/>
    <w:unhideWhenUsed/>
    <w:qFormat/>
    <w:uiPriority w:val="2"/>
    <w:tblPr>
      <w:tblCellMar>
        <w:top w:w="0" w:type="dxa"/>
        <w:left w:w="0" w:type="dxa"/>
        <w:bottom w:w="0" w:type="dxa"/>
        <w:right w:w="0" w:type="dxa"/>
      </w:tblCellMar>
    </w:tblPr>
  </w:style>
  <w:style w:type="paragraph" w:styleId="11">
    <w:name w:val="List Paragraph"/>
    <w:basedOn w:val="1"/>
    <w:qFormat/>
    <w:uiPriority w:val="1"/>
    <w:pPr>
      <w:ind w:left="493" w:hanging="212"/>
    </w:pPr>
  </w:style>
  <w:style w:type="paragraph" w:customStyle="1" w:styleId="12">
    <w:name w:val="Table Paragraph"/>
    <w:basedOn w:val="1"/>
    <w:qFormat/>
    <w:uiPriority w:val="1"/>
  </w:style>
  <w:style w:type="character" w:customStyle="1" w:styleId="13">
    <w:name w:val="页眉 Char"/>
    <w:basedOn w:val="9"/>
    <w:link w:val="7"/>
    <w:qFormat/>
    <w:uiPriority w:val="0"/>
    <w:rPr>
      <w:rFonts w:ascii="宋体" w:hAnsi="宋体" w:eastAsia="宋体" w:cs="宋体"/>
      <w:sz w:val="18"/>
      <w:szCs w:val="18"/>
      <w:lang w:val="zh-CN" w:bidi="zh-CN"/>
    </w:rPr>
  </w:style>
  <w:style w:type="character" w:customStyle="1" w:styleId="14">
    <w:name w:val="页脚 Char"/>
    <w:basedOn w:val="9"/>
    <w:link w:val="6"/>
    <w:qFormat/>
    <w:uiPriority w:val="0"/>
    <w:rPr>
      <w:rFonts w:ascii="宋体" w:hAnsi="宋体" w:eastAsia="宋体" w:cs="宋体"/>
      <w:sz w:val="18"/>
      <w:szCs w:val="18"/>
      <w:lang w:val="zh-CN" w:bidi="zh-CN"/>
    </w:rPr>
  </w:style>
  <w:style w:type="character" w:customStyle="1" w:styleId="15">
    <w:name w:val="正文文本 Char"/>
    <w:basedOn w:val="9"/>
    <w:link w:val="5"/>
    <w:qFormat/>
    <w:uiPriority w:val="1"/>
    <w:rPr>
      <w:rFonts w:ascii="宋体" w:hAnsi="宋体" w:eastAsia="宋体" w:cs="宋体"/>
      <w:sz w:val="21"/>
      <w:szCs w:val="21"/>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ylmfeng.com</Company>
  <Pages>2</Pages>
  <Words>108</Words>
  <Characters>617</Characters>
  <Lines>5</Lines>
  <Paragraphs>1</Paragraphs>
  <TotalTime>0</TotalTime>
  <ScaleCrop>false</ScaleCrop>
  <LinksUpToDate>false</LinksUpToDate>
  <CharactersWithSpaces>724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2020-05-23T11:45:00Z</dcterms:created>
  <dc:creator>MC SYSTEM</dc:creator>
  <cp:lastModifiedBy>ysgz</cp:lastModifiedBy>
  <dcterms:modified xsi:type="dcterms:W3CDTF">2022-07-18T17:04:48Z</dcterms:modified>
  <dc:title>产品质量监督抽查实施规范</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2013-05-09T00:00:00Z</vt:filetime>
  </property>
  <property fmtid="{D5CDD505-2E9C-101B-9397-08002B2CF9AE}" pid="3" name="Creator">
    <vt:lpwstr>WPS Office 个人版</vt:lpwstr>
  </property>
  <property fmtid="{D5CDD505-2E9C-101B-9397-08002B2CF9AE}" pid="4" name="LastSaved">
    <vt:filetime>2013-05-09T00:00:00Z</vt:filetime>
  </property>
  <property fmtid="{D5CDD505-2E9C-101B-9397-08002B2CF9AE}" pid="5" name="KSOProductBuildVer">
    <vt:lpwstr>2052-11.8.2.10422</vt:lpwstr>
  </property>
  <property fmtid="{D5CDD505-2E9C-101B-9397-08002B2CF9AE}" pid="6" name="KSOSaveFontToCloudKey">
    <vt:lpwstr>333935165_cloud</vt:lpwstr>
  </property>
  <property fmtid="{D5CDD505-2E9C-101B-9397-08002B2CF9AE}" pid="7" name="ICV">
    <vt:lpwstr>C1ADFABB37384A8EBE736DA1664F7503</vt:lpwstr>
  </property>
</Properties>
</file>