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w:t>
      </w:r>
      <w:r>
        <w:rPr>
          <w:rFonts w:hint="eastAsia" w:eastAsia="方正小标宋简体" w:cs="方正仿宋简体"/>
          <w:color w:val="000000"/>
          <w:sz w:val="32"/>
          <w:szCs w:val="32"/>
        </w:rPr>
        <w:t>陶瓷砖</w:t>
      </w:r>
      <w:r>
        <w:rPr>
          <w:rFonts w:hint="eastAsia" w:ascii="Times New Roman" w:hAnsi="Times New Roman" w:eastAsia="方正小标宋简体" w:cs="方正仿宋简体"/>
          <w:color w:val="000000"/>
          <w:sz w:val="32"/>
          <w:szCs w:val="32"/>
        </w:rPr>
        <w:t>产品质量监督抽查实施细则</w:t>
      </w:r>
    </w:p>
    <w:p>
      <w:pPr>
        <w:snapToGrid w:val="0"/>
        <w:spacing w:line="440" w:lineRule="exact"/>
        <w:jc w:val="center"/>
        <w:rPr>
          <w:rFonts w:eastAsia="黑体"/>
          <w:color w:val="000000"/>
          <w:szCs w:val="21"/>
        </w:rPr>
      </w:pPr>
      <w:r>
        <w:rPr>
          <w:rFonts w:hint="eastAsia" w:eastAsia="方正小标宋简体" w:cs="方正仿宋简体"/>
          <w:color w:val="000000"/>
          <w:sz w:val="32"/>
          <w:szCs w:val="32"/>
        </w:rPr>
        <w:t>（2022年版）</w:t>
      </w:r>
    </w:p>
    <w:p>
      <w:pPr>
        <w:snapToGrid w:val="0"/>
        <w:spacing w:line="440" w:lineRule="exact"/>
        <w:rPr>
          <w:rFonts w:eastAsia="黑体"/>
          <w:color w:val="000000"/>
          <w:szCs w:val="21"/>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jc w:val="center"/>
        <w:rPr>
          <w:rFonts w:ascii="宋体" w:hAnsi="宋体"/>
          <w:color w:val="000000"/>
          <w:szCs w:val="21"/>
        </w:rPr>
      </w:pPr>
      <w:r>
        <w:rPr>
          <w:rFonts w:hint="eastAsia" w:ascii="宋体" w:hAnsi="宋体"/>
          <w:color w:val="000000"/>
          <w:szCs w:val="21"/>
        </w:rPr>
        <w:t>表1</w:t>
      </w:r>
      <w:r>
        <w:rPr>
          <w:rFonts w:ascii="宋体" w:hAnsi="宋体"/>
          <w:color w:val="000000"/>
          <w:szCs w:val="21"/>
        </w:rPr>
        <w:t xml:space="preserve"> </w:t>
      </w:r>
      <w:r>
        <w:rPr>
          <w:rFonts w:hint="eastAsia" w:ascii="宋体" w:hAnsi="宋体"/>
          <w:color w:val="000000"/>
          <w:szCs w:val="21"/>
        </w:rPr>
        <w:t>抽取样品数量</w:t>
      </w:r>
    </w:p>
    <w:tbl>
      <w:tblPr>
        <w:tblStyle w:val="4"/>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917"/>
        <w:gridCol w:w="2223"/>
        <w:gridCol w:w="2239"/>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t>序号</w:t>
            </w:r>
          </w:p>
        </w:tc>
        <w:tc>
          <w:tcPr>
            <w:tcW w:w="1917" w:type="dxa"/>
            <w:tcBorders>
              <w:top w:val="single" w:color="auto" w:sz="4" w:space="0"/>
              <w:left w:val="nil"/>
              <w:bottom w:val="single" w:color="auto" w:sz="4" w:space="0"/>
              <w:right w:val="single" w:color="auto" w:sz="4" w:space="0"/>
            </w:tcBorders>
            <w:vAlign w:val="center"/>
          </w:tcPr>
          <w:p>
            <w:pPr>
              <w:snapToGrid w:val="0"/>
              <w:jc w:val="center"/>
              <w:rPr>
                <w:color w:val="000000"/>
              </w:rPr>
            </w:pPr>
            <w:r>
              <w:t>产品种类</w:t>
            </w:r>
          </w:p>
        </w:tc>
        <w:tc>
          <w:tcPr>
            <w:tcW w:w="2223" w:type="dxa"/>
            <w:tcBorders>
              <w:top w:val="single" w:color="auto" w:sz="4" w:space="0"/>
              <w:left w:val="nil"/>
              <w:bottom w:val="single" w:color="auto" w:sz="4" w:space="0"/>
              <w:right w:val="single" w:color="auto" w:sz="4" w:space="0"/>
            </w:tcBorders>
            <w:vAlign w:val="center"/>
          </w:tcPr>
          <w:p>
            <w:pPr>
              <w:snapToGrid w:val="0"/>
              <w:jc w:val="center"/>
              <w:rPr>
                <w:color w:val="000000"/>
              </w:rPr>
            </w:pPr>
            <w:r>
              <w:rPr>
                <w:color w:val="000000"/>
              </w:rPr>
              <w:t>抽样数量（块）</w:t>
            </w:r>
          </w:p>
        </w:tc>
        <w:tc>
          <w:tcPr>
            <w:tcW w:w="2239" w:type="dxa"/>
            <w:tcBorders>
              <w:top w:val="single" w:color="auto" w:sz="4" w:space="0"/>
              <w:left w:val="nil"/>
              <w:bottom w:val="single" w:color="auto" w:sz="4" w:space="0"/>
              <w:right w:val="single" w:color="auto" w:sz="4" w:space="0"/>
            </w:tcBorders>
            <w:vAlign w:val="center"/>
          </w:tcPr>
          <w:p>
            <w:pPr>
              <w:snapToGrid w:val="0"/>
              <w:jc w:val="center"/>
              <w:rPr>
                <w:color w:val="000000"/>
              </w:rPr>
            </w:pPr>
            <w:r>
              <w:rPr>
                <w:color w:val="000000"/>
              </w:rPr>
              <w:t>检验样品数量（块）</w:t>
            </w:r>
          </w:p>
        </w:tc>
        <w:tc>
          <w:tcPr>
            <w:tcW w:w="1925" w:type="dxa"/>
            <w:tcBorders>
              <w:top w:val="single" w:color="auto" w:sz="4" w:space="0"/>
              <w:left w:val="nil"/>
              <w:bottom w:val="single" w:color="auto" w:sz="4" w:space="0"/>
              <w:right w:val="single" w:color="auto" w:sz="4" w:space="0"/>
            </w:tcBorders>
            <w:vAlign w:val="center"/>
          </w:tcPr>
          <w:p>
            <w:pPr>
              <w:snapToGrid w:val="0"/>
              <w:jc w:val="center"/>
              <w:rPr>
                <w:color w:val="000000"/>
              </w:rPr>
            </w:pPr>
            <w:r>
              <w:rPr>
                <w:color w:val="000000"/>
              </w:rPr>
              <w:t>备用样品数量（块）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napToGrid w:val="0"/>
              <w:jc w:val="center"/>
            </w:pPr>
            <w:r>
              <w:t>1</w:t>
            </w:r>
          </w:p>
        </w:tc>
        <w:tc>
          <w:tcPr>
            <w:tcW w:w="1917"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长边长度＜600mm</w:t>
            </w:r>
          </w:p>
        </w:tc>
        <w:tc>
          <w:tcPr>
            <w:tcW w:w="2223"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30</w:t>
            </w:r>
          </w:p>
        </w:tc>
        <w:tc>
          <w:tcPr>
            <w:tcW w:w="2239"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20</w:t>
            </w:r>
          </w:p>
        </w:tc>
        <w:tc>
          <w:tcPr>
            <w:tcW w:w="192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napToGrid w:val="0"/>
              <w:jc w:val="center"/>
            </w:pPr>
            <w:r>
              <w:t>2</w:t>
            </w:r>
          </w:p>
        </w:tc>
        <w:tc>
          <w:tcPr>
            <w:tcW w:w="1917"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长边长度≥600mm</w:t>
            </w:r>
          </w:p>
        </w:tc>
        <w:tc>
          <w:tcPr>
            <w:tcW w:w="2223"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22</w:t>
            </w:r>
          </w:p>
        </w:tc>
        <w:tc>
          <w:tcPr>
            <w:tcW w:w="2239"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12</w:t>
            </w:r>
          </w:p>
        </w:tc>
        <w:tc>
          <w:tcPr>
            <w:tcW w:w="192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68"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color w:val="000000"/>
              </w:rPr>
            </w:pPr>
            <w:r>
              <w:rPr>
                <w:rFonts w:hint="eastAsia"/>
                <w:color w:val="000000"/>
              </w:rPr>
              <w:t>注：</w:t>
            </w:r>
            <w:r>
              <w:rPr>
                <w:color w:val="000000"/>
                <w:szCs w:val="21"/>
              </w:rPr>
              <w:t>抽取样品数量时应在满足抽取的检验样品和备用样品数量基础上，整箱抽取，不拆原包装。</w:t>
            </w:r>
          </w:p>
        </w:tc>
      </w:tr>
    </w:tbl>
    <w:p>
      <w:pPr>
        <w:snapToGrid w:val="0"/>
        <w:spacing w:line="440" w:lineRule="exact"/>
        <w:ind w:firstLine="420" w:firstLineChars="200"/>
        <w:rPr>
          <w:rFonts w:ascii="宋体" w:hAnsi="宋体"/>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ind w:firstLine="420" w:firstLineChars="200"/>
        <w:jc w:val="center"/>
        <w:rPr>
          <w:rFonts w:ascii="宋体" w:hAnsi="宋体"/>
          <w:color w:val="000000"/>
          <w:szCs w:val="21"/>
        </w:rPr>
      </w:pPr>
      <w:r>
        <w:rPr>
          <w:rFonts w:hint="eastAsia" w:ascii="宋体" w:hAnsi="宋体"/>
          <w:color w:val="000000"/>
          <w:szCs w:val="21"/>
        </w:rPr>
        <w:t>表2</w:t>
      </w:r>
      <w:r>
        <w:rPr>
          <w:rFonts w:ascii="宋体" w:hAnsi="宋体"/>
          <w:color w:val="000000"/>
          <w:szCs w:val="21"/>
        </w:rPr>
        <w:t xml:space="preserve"> </w:t>
      </w:r>
      <w:r>
        <w:rPr>
          <w:rFonts w:hint="eastAsia" w:ascii="宋体" w:hAnsi="宋体"/>
          <w:color w:val="000000"/>
          <w:szCs w:val="21"/>
        </w:rPr>
        <w:t>陶瓷砖</w:t>
      </w:r>
    </w:p>
    <w:tbl>
      <w:tblPr>
        <w:tblStyle w:val="4"/>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4111"/>
        <w:gridCol w:w="4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序号</w:t>
            </w:r>
          </w:p>
        </w:tc>
        <w:tc>
          <w:tcPr>
            <w:tcW w:w="4111"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检验项目</w:t>
            </w:r>
          </w:p>
        </w:tc>
        <w:tc>
          <w:tcPr>
            <w:tcW w:w="4155" w:type="dxa"/>
            <w:tcBorders>
              <w:top w:val="single" w:color="auto" w:sz="4" w:space="0"/>
              <w:left w:val="nil"/>
              <w:bottom w:val="single" w:color="auto" w:sz="4" w:space="0"/>
              <w:right w:val="single" w:color="auto" w:sz="4" w:space="0"/>
            </w:tcBorders>
            <w:vAlign w:val="center"/>
          </w:tcPr>
          <w:p>
            <w:pPr>
              <w:snapToGrid w:val="0"/>
              <w:spacing w:line="440" w:lineRule="exact"/>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1</w:t>
            </w:r>
          </w:p>
        </w:tc>
        <w:tc>
          <w:tcPr>
            <w:tcW w:w="4111" w:type="dxa"/>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尺寸</w:t>
            </w:r>
            <w:r>
              <w:rPr>
                <w:rFonts w:hint="eastAsia"/>
                <w:color w:val="000000"/>
                <w:sz w:val="28"/>
                <w:szCs w:val="28"/>
                <w:vertAlign w:val="superscript"/>
                <w:lang w:val="en-US" w:eastAsia="zh-CN"/>
              </w:rPr>
              <w:t>1</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2</w:t>
            </w:r>
          </w:p>
        </w:tc>
        <w:tc>
          <w:tcPr>
            <w:tcW w:w="4111" w:type="dxa"/>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吸水率</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3</w:t>
            </w:r>
          </w:p>
        </w:tc>
        <w:tc>
          <w:tcPr>
            <w:tcW w:w="4111" w:type="dxa"/>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断裂模数</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4</w:t>
            </w:r>
          </w:p>
        </w:tc>
        <w:tc>
          <w:tcPr>
            <w:tcW w:w="4111" w:type="dxa"/>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破坏强度</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5</w:t>
            </w:r>
          </w:p>
        </w:tc>
        <w:tc>
          <w:tcPr>
            <w:tcW w:w="4111" w:type="dxa"/>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无釉砖耐磨性</w:t>
            </w:r>
            <w:r>
              <w:rPr>
                <w:rFonts w:hint="eastAsia"/>
                <w:color w:val="000000"/>
                <w:sz w:val="28"/>
                <w:szCs w:val="28"/>
                <w:vertAlign w:val="superscript"/>
                <w:lang w:val="en-US" w:eastAsia="zh-CN"/>
              </w:rPr>
              <w:t>2</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6</w:t>
            </w:r>
          </w:p>
        </w:tc>
        <w:tc>
          <w:tcPr>
            <w:tcW w:w="4111" w:type="dxa"/>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抗釉裂性</w:t>
            </w:r>
            <w:r>
              <w:rPr>
                <w:rFonts w:hint="eastAsia"/>
                <w:color w:val="000000"/>
                <w:sz w:val="28"/>
                <w:szCs w:val="28"/>
                <w:vertAlign w:val="superscript"/>
                <w:lang w:val="en-US" w:eastAsia="zh-CN"/>
              </w:rPr>
              <w:t>3</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7</w:t>
            </w:r>
          </w:p>
        </w:tc>
        <w:tc>
          <w:tcPr>
            <w:tcW w:w="4111" w:type="dxa"/>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抗化学腐蚀性</w:t>
            </w:r>
            <w:r>
              <w:rPr>
                <w:rFonts w:hint="eastAsia"/>
                <w:color w:val="000000"/>
                <w:sz w:val="28"/>
                <w:szCs w:val="28"/>
                <w:vertAlign w:val="superscript"/>
                <w:lang w:val="en-US" w:eastAsia="zh-CN"/>
              </w:rPr>
              <w:t>3、4</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3810.13-2016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8</w:t>
            </w:r>
          </w:p>
        </w:tc>
        <w:tc>
          <w:tcPr>
            <w:tcW w:w="4111" w:type="dxa"/>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耐污染性</w:t>
            </w:r>
            <w:r>
              <w:rPr>
                <w:rFonts w:hint="eastAsia"/>
                <w:color w:val="000000"/>
                <w:sz w:val="28"/>
                <w:szCs w:val="28"/>
                <w:vertAlign w:val="superscript"/>
                <w:lang w:val="en-US" w:eastAsia="zh-CN"/>
              </w:rPr>
              <w:t>3</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GB/T 3810.14-2016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9</w:t>
            </w:r>
          </w:p>
        </w:tc>
        <w:tc>
          <w:tcPr>
            <w:tcW w:w="4111" w:type="dxa"/>
            <w:tcBorders>
              <w:top w:val="single" w:color="auto" w:sz="4" w:space="0"/>
              <w:left w:val="nil"/>
              <w:bottom w:val="single" w:color="auto" w:sz="4" w:space="0"/>
              <w:right w:val="single" w:color="auto" w:sz="4" w:space="0"/>
            </w:tcBorders>
            <w:vAlign w:val="center"/>
          </w:tcPr>
          <w:p>
            <w:pPr>
              <w:pStyle w:val="6"/>
              <w:spacing w:after="0" w:line="240" w:lineRule="auto"/>
              <w:ind w:firstLine="0"/>
              <w:jc w:val="center"/>
              <w:rPr>
                <w:rFonts w:asciiTheme="minorEastAsia" w:hAnsiTheme="minorEastAsia" w:eastAsiaTheme="minorEastAsia" w:cstheme="minorEastAsia"/>
                <w:color w:val="000000"/>
                <w:szCs w:val="21"/>
              </w:rPr>
            </w:pPr>
            <w:r>
              <w:rPr>
                <w:color w:val="000000"/>
                <w:sz w:val="21"/>
                <w:szCs w:val="21"/>
              </w:rPr>
              <w:t>放射性核素</w:t>
            </w:r>
          </w:p>
        </w:tc>
        <w:tc>
          <w:tcPr>
            <w:tcW w:w="4155" w:type="dxa"/>
            <w:tcBorders>
              <w:top w:val="single" w:color="auto" w:sz="4" w:space="0"/>
              <w:left w:val="nil"/>
              <w:bottom w:val="single" w:color="auto" w:sz="4" w:space="0"/>
              <w:right w:val="single" w:color="auto" w:sz="4" w:space="0"/>
            </w:tcBorders>
            <w:vAlign w:val="center"/>
          </w:tcPr>
          <w:p>
            <w:pPr>
              <w:snapToGrid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8992" w:type="dxa"/>
            <w:gridSpan w:val="3"/>
            <w:tcBorders>
              <w:top w:val="single" w:color="auto" w:sz="4" w:space="0"/>
              <w:left w:val="single" w:color="auto" w:sz="4" w:space="0"/>
              <w:bottom w:val="single" w:color="auto" w:sz="4" w:space="0"/>
              <w:right w:val="single" w:color="auto" w:sz="4" w:space="0"/>
            </w:tcBorders>
            <w:vAlign w:val="center"/>
          </w:tcPr>
          <w:p>
            <w:pPr>
              <w:pStyle w:val="6"/>
              <w:spacing w:after="80" w:line="240" w:lineRule="auto"/>
              <w:ind w:firstLine="0"/>
              <w:jc w:val="left"/>
              <w:rPr>
                <w:sz w:val="21"/>
                <w:szCs w:val="21"/>
                <w:lang w:eastAsia="zh-CN"/>
              </w:rPr>
            </w:pPr>
            <w:r>
              <w:rPr>
                <w:rFonts w:hint="eastAsia"/>
                <w:color w:val="000000"/>
                <w:sz w:val="21"/>
                <w:szCs w:val="21"/>
              </w:rPr>
              <w:t>注</w:t>
            </w:r>
            <w:r>
              <w:rPr>
                <w:rFonts w:hint="eastAsia"/>
                <w:color w:val="000000"/>
                <w:sz w:val="21"/>
                <w:szCs w:val="21"/>
                <w:lang w:val="en-US" w:eastAsia="zh-CN" w:bidi="en-US"/>
              </w:rPr>
              <w:t>1.</w:t>
            </w:r>
            <w:r>
              <w:rPr>
                <w:rFonts w:hint="eastAsia"/>
                <w:color w:val="000000"/>
                <w:sz w:val="21"/>
                <w:szCs w:val="21"/>
              </w:rPr>
              <w:t>尺寸只测长度、宽度和厚度</w:t>
            </w:r>
            <w:r>
              <w:rPr>
                <w:rFonts w:hint="eastAsia"/>
                <w:color w:val="000000"/>
                <w:sz w:val="21"/>
                <w:szCs w:val="21"/>
                <w:lang w:eastAsia="zh-CN"/>
              </w:rPr>
              <w:t>。</w:t>
            </w:r>
          </w:p>
          <w:p>
            <w:pPr>
              <w:pStyle w:val="6"/>
              <w:spacing w:after="80" w:line="240" w:lineRule="auto"/>
              <w:ind w:firstLine="0"/>
              <w:jc w:val="left"/>
              <w:rPr>
                <w:color w:val="000000"/>
                <w:sz w:val="21"/>
                <w:szCs w:val="21"/>
                <w:lang w:eastAsia="zh-CN"/>
              </w:rPr>
            </w:pPr>
            <w:r>
              <w:rPr>
                <w:rFonts w:hint="eastAsia"/>
                <w:color w:val="000000"/>
                <w:sz w:val="21"/>
                <w:szCs w:val="21"/>
              </w:rPr>
              <w:t>注</w:t>
            </w:r>
            <w:r>
              <w:rPr>
                <w:rFonts w:hint="eastAsia"/>
                <w:color w:val="000000"/>
                <w:sz w:val="21"/>
                <w:szCs w:val="21"/>
                <w:lang w:val="en-US" w:eastAsia="zh-CN" w:bidi="en-US"/>
              </w:rPr>
              <w:t>2.</w:t>
            </w:r>
            <w:r>
              <w:rPr>
                <w:rFonts w:hint="eastAsia"/>
                <w:color w:val="000000"/>
                <w:sz w:val="21"/>
                <w:szCs w:val="21"/>
              </w:rPr>
              <w:t>无釉砖耐磨性仅适用于无釉地砖</w:t>
            </w:r>
            <w:r>
              <w:rPr>
                <w:rFonts w:hint="eastAsia"/>
                <w:color w:val="000000"/>
                <w:sz w:val="21"/>
                <w:szCs w:val="21"/>
                <w:lang w:eastAsia="zh-CN"/>
              </w:rPr>
              <w:t>。</w:t>
            </w:r>
          </w:p>
          <w:p>
            <w:pPr>
              <w:pStyle w:val="6"/>
              <w:spacing w:after="80" w:line="240" w:lineRule="auto"/>
              <w:ind w:firstLine="0"/>
              <w:jc w:val="left"/>
              <w:rPr>
                <w:sz w:val="21"/>
                <w:szCs w:val="21"/>
                <w:lang w:eastAsia="zh-CN"/>
              </w:rPr>
            </w:pPr>
            <w:r>
              <w:rPr>
                <w:rFonts w:hint="eastAsia"/>
                <w:color w:val="000000"/>
                <w:sz w:val="21"/>
                <w:szCs w:val="21"/>
              </w:rPr>
              <w:t>注</w:t>
            </w:r>
            <w:r>
              <w:rPr>
                <w:rFonts w:hint="eastAsia"/>
                <w:color w:val="000000"/>
                <w:sz w:val="21"/>
                <w:szCs w:val="21"/>
                <w:lang w:val="en-US" w:eastAsia="zh-CN" w:bidi="en-US"/>
              </w:rPr>
              <w:t>3.</w:t>
            </w:r>
            <w:r>
              <w:rPr>
                <w:rFonts w:hint="eastAsia"/>
                <w:color w:val="000000"/>
                <w:sz w:val="21"/>
                <w:szCs w:val="21"/>
              </w:rPr>
              <w:t>抗釉裂性、耐污染性、抗化学腐蚀性仅适用于有釉陶瓷砖</w:t>
            </w:r>
            <w:r>
              <w:rPr>
                <w:rFonts w:hint="eastAsia"/>
                <w:color w:val="000000"/>
                <w:sz w:val="21"/>
                <w:szCs w:val="21"/>
                <w:lang w:eastAsia="zh-CN"/>
              </w:rPr>
              <w:t>。</w:t>
            </w:r>
          </w:p>
          <w:p>
            <w:pPr>
              <w:snapToGrid w:val="0"/>
              <w:jc w:val="left"/>
              <w:rPr>
                <w:rFonts w:asciiTheme="minorEastAsia" w:hAnsiTheme="minorEastAsia" w:cstheme="minorEastAsia"/>
                <w:color w:val="000000"/>
                <w:szCs w:val="21"/>
              </w:rPr>
            </w:pPr>
            <w:r>
              <w:rPr>
                <w:rFonts w:hint="eastAsia" w:ascii="宋体" w:hAnsi="宋体" w:eastAsia="宋体" w:cs="宋体"/>
                <w:color w:val="000000"/>
                <w:szCs w:val="21"/>
              </w:rPr>
              <w:t>注</w:t>
            </w:r>
            <w:r>
              <w:rPr>
                <w:rFonts w:hint="eastAsia" w:ascii="宋体" w:hAnsi="宋体" w:eastAsia="宋体" w:cs="宋体"/>
                <w:color w:val="000000"/>
                <w:szCs w:val="21"/>
                <w:lang w:bidi="en-US"/>
              </w:rPr>
              <w:t>4.</w:t>
            </w:r>
            <w:r>
              <w:rPr>
                <w:rFonts w:hint="eastAsia" w:ascii="宋体" w:hAnsi="宋体" w:eastAsia="宋体" w:cs="宋体"/>
                <w:color w:val="000000"/>
                <w:szCs w:val="21"/>
              </w:rPr>
              <w:t>抗化学腐蚀性只测耐家庭化学试剂和游泳池盐类</w:t>
            </w:r>
            <w:r>
              <w:rPr>
                <w:rFonts w:hint="eastAsia" w:cs="宋体"/>
                <w:color w:val="000000"/>
                <w:szCs w:val="21"/>
              </w:rPr>
              <w:t>。</w:t>
            </w:r>
          </w:p>
        </w:tc>
      </w:tr>
    </w:tbl>
    <w:p>
      <w:pPr>
        <w:adjustRightInd w:val="0"/>
        <w:snapToGrid w:val="0"/>
        <w:spacing w:line="440" w:lineRule="exact"/>
        <w:ind w:firstLine="420" w:firstLineChars="200"/>
        <w:rPr>
          <w:rFonts w:ascii="宋体" w:hAnsi="宋体"/>
          <w:color w:val="000000"/>
          <w:szCs w:val="21"/>
        </w:rPr>
      </w:pPr>
      <w:r>
        <w:rPr>
          <w:rFonts w:hint="eastAsia" w:ascii="宋体" w:hAnsi="宋体"/>
          <w:color w:val="000000"/>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440" w:lineRule="exact"/>
        <w:rPr>
          <w:rFonts w:eastAsia="黑体"/>
          <w:color w:val="000000"/>
          <w:szCs w:val="21"/>
        </w:rPr>
      </w:pPr>
    </w:p>
    <w:p>
      <w:pPr>
        <w:spacing w:line="440" w:lineRule="exact"/>
        <w:rPr>
          <w:rFonts w:eastAsia="黑体"/>
          <w:color w:val="000000"/>
          <w:szCs w:val="21"/>
        </w:rPr>
      </w:pPr>
      <w:r>
        <w:rPr>
          <w:rFonts w:eastAsia="黑体"/>
          <w:color w:val="000000"/>
          <w:szCs w:val="21"/>
        </w:rPr>
        <w:t>3 判定规则</w:t>
      </w:r>
    </w:p>
    <w:p>
      <w:pPr>
        <w:snapToGrid w:val="0"/>
        <w:spacing w:line="440" w:lineRule="exact"/>
        <w:rPr>
          <w:rFonts w:asciiTheme="minorEastAsia" w:hAnsiTheme="minorEastAsia" w:cstheme="minorEastAsia"/>
          <w:color w:val="000000"/>
          <w:szCs w:val="21"/>
        </w:rPr>
      </w:pPr>
      <w:r>
        <w:rPr>
          <w:rFonts w:hint="eastAsia" w:asciiTheme="minorEastAsia" w:hAnsiTheme="minorEastAsia" w:cstheme="minorEastAsia"/>
          <w:color w:val="000000"/>
          <w:szCs w:val="21"/>
        </w:rPr>
        <w:t>3.1依据标准</w:t>
      </w:r>
    </w:p>
    <w:p>
      <w:pPr>
        <w:snapToGrid w:val="0"/>
        <w:spacing w:line="440" w:lineRule="exact"/>
        <w:ind w:firstLine="420" w:firstLineChars="200"/>
        <w:rPr>
          <w:rFonts w:asciiTheme="minorEastAsia" w:hAnsiTheme="minorEastAsia" w:cstheme="minorEastAsia"/>
          <w:color w:val="000000"/>
          <w:szCs w:val="21"/>
        </w:rPr>
      </w:pPr>
      <w:r>
        <w:rPr>
          <w:rFonts w:hint="eastAsia" w:asciiTheme="minorEastAsia" w:hAnsiTheme="minorEastAsia" w:cstheme="minorEastAsia"/>
          <w:color w:val="000000"/>
          <w:szCs w:val="21"/>
        </w:rPr>
        <w:t>GB/T 4100-2015 陶瓷砖</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bookmarkStart w:id="0" w:name="_GoBack"/>
      <w:bookmarkEnd w:id="0"/>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pacing w:line="440" w:lineRule="exact"/>
        <w:ind w:firstLine="420"/>
        <w:jc w:val="center"/>
        <w:rPr>
          <w:color w:val="000000"/>
          <w:szCs w:val="21"/>
        </w:rPr>
      </w:pPr>
      <w:r>
        <w:rPr>
          <w:color w:val="000000"/>
          <w:szCs w:val="21"/>
        </w:rPr>
        <w:t>若被检产品明示的质量要求缺少本细则中检验项目依据的推荐性标准要求时，该项目不参与判</w:t>
      </w:r>
    </w:p>
    <w:p>
      <w:pPr>
        <w:spacing w:line="440" w:lineRule="exact"/>
        <w:rPr>
          <w:color w:val="000000"/>
          <w:szCs w:val="21"/>
        </w:rPr>
      </w:pPr>
      <w:r>
        <w:rPr>
          <w:color w:val="000000"/>
          <w:szCs w:val="21"/>
        </w:rPr>
        <w:t>定。</w:t>
      </w:r>
    </w:p>
    <w:p>
      <w:pPr>
        <w:snapToGrid w:val="0"/>
        <w:spacing w:line="440" w:lineRule="exact"/>
        <w:rPr>
          <w:rFonts w:ascii="黑体" w:hAnsi="黑体" w:eastAsia="黑体" w:cs="黑体"/>
          <w:color w:val="000000"/>
          <w:szCs w:val="21"/>
        </w:rPr>
      </w:pPr>
    </w:p>
    <w:p>
      <w:pPr>
        <w:snapToGrid w:val="0"/>
        <w:spacing w:line="440" w:lineRule="exact"/>
        <w:rPr>
          <w:color w:val="000000"/>
          <w:szCs w:val="21"/>
        </w:rPr>
      </w:pPr>
      <w:r>
        <w:rPr>
          <w:rFonts w:hint="eastAsia" w:ascii="黑体" w:hAnsi="黑体" w:eastAsia="黑体" w:cs="黑体"/>
          <w:color w:val="000000"/>
          <w:szCs w:val="21"/>
        </w:rPr>
        <w:t>4 附则</w:t>
      </w:r>
    </w:p>
    <w:p>
      <w:pPr>
        <w:spacing w:line="440" w:lineRule="exact"/>
        <w:ind w:firstLine="420" w:firstLineChars="200"/>
        <w:rPr>
          <w:color w:val="000000"/>
          <w:szCs w:val="21"/>
        </w:rPr>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号）中的《贵州省陶瓷砖产品质量监督抽查实施细则（202</w:t>
      </w:r>
      <w:r>
        <w:rPr>
          <w:rFonts w:hint="eastAsia"/>
          <w:color w:val="000000"/>
          <w:szCs w:val="21"/>
          <w:lang w:val="en-US" w:eastAsia="zh-CN"/>
        </w:rPr>
        <w:t>2</w:t>
      </w:r>
      <w:r>
        <w:rPr>
          <w:rFonts w:hint="eastAsia"/>
          <w:color w:val="000000"/>
          <w:szCs w:val="21"/>
        </w:rPr>
        <w:t>年版）》。</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C53CF2"/>
    <w:rsid w:val="00764F62"/>
    <w:rsid w:val="0082084D"/>
    <w:rsid w:val="00890AD4"/>
    <w:rsid w:val="00AD6E6C"/>
    <w:rsid w:val="00CE1FF2"/>
    <w:rsid w:val="05C53CF2"/>
    <w:rsid w:val="16947646"/>
    <w:rsid w:val="2407094F"/>
    <w:rsid w:val="28B45259"/>
    <w:rsid w:val="46266BF1"/>
    <w:rsid w:val="7BABC0B4"/>
    <w:rsid w:val="7C2B1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Other|1"/>
    <w:basedOn w:val="1"/>
    <w:qFormat/>
    <w:uiPriority w:val="0"/>
    <w:pPr>
      <w:spacing w:after="30" w:line="353" w:lineRule="auto"/>
      <w:ind w:firstLine="400"/>
    </w:pPr>
    <w:rPr>
      <w:rFonts w:ascii="宋体" w:hAnsi="宋体" w:eastAsia="宋体" w:cs="宋体"/>
      <w:sz w:val="19"/>
      <w:szCs w:val="19"/>
      <w:lang w:val="zh-TW" w:eastAsia="zh-TW" w:bidi="zh-TW"/>
    </w:r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170</Words>
  <Characters>973</Characters>
  <Lines>8</Lines>
  <Paragraphs>2</Paragraphs>
  <TotalTime>0</TotalTime>
  <ScaleCrop>false</ScaleCrop>
  <LinksUpToDate>false</LinksUpToDate>
  <CharactersWithSpaces>1141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2020-06-03T00:18:00Z</dcterms:created>
  <dc:creator>青鸟</dc:creator>
  <cp:lastModifiedBy>ysgz</cp:lastModifiedBy>
  <dcterms:modified xsi:type="dcterms:W3CDTF">2022-07-18T16:51:41Z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E638BE64992F47BB93F8C25CE464B3D2</vt:lpwstr>
  </property>
</Properties>
</file>