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_GBK"/>
          <w:color w:val="000000"/>
          <w:sz w:val="32"/>
          <w:szCs w:val="32"/>
        </w:rPr>
      </w:pPr>
      <w:r>
        <w:rPr>
          <w:rFonts w:ascii="Times New Roman" w:hAnsi="Times New Roman" w:eastAsia="方正小标宋_GBK"/>
          <w:color w:val="000000"/>
          <w:sz w:val="32"/>
          <w:szCs w:val="32"/>
        </w:rPr>
        <w:t>贵州省床垫产品质量监督抽查实施细则</w:t>
      </w:r>
    </w:p>
    <w:p>
      <w:pPr>
        <w:adjustRightInd w:val="0"/>
        <w:snapToGrid w:val="0"/>
        <w:spacing w:line="440" w:lineRule="exact"/>
        <w:jc w:val="center"/>
        <w:rPr>
          <w:rFonts w:ascii="Times New Roman" w:hAnsi="Times New Roman" w:eastAsia="方正小标宋简体"/>
          <w:color w:val="000000"/>
          <w:sz w:val="32"/>
          <w:szCs w:val="32"/>
        </w:rPr>
      </w:pPr>
      <w:r>
        <w:rPr>
          <w:rFonts w:ascii="Times New Roman" w:hAnsi="Times New Roman" w:eastAsia="楷体_GB2312"/>
          <w:color w:val="000000"/>
          <w:sz w:val="32"/>
          <w:szCs w:val="32"/>
        </w:rPr>
        <w:t>（202</w:t>
      </w:r>
      <w:r>
        <w:rPr>
          <w:rFonts w:hint="eastAsia" w:ascii="Times New Roman" w:hAnsi="Times New Roman" w:eastAsia="楷体_GB2312"/>
          <w:color w:val="000000"/>
          <w:sz w:val="32"/>
          <w:szCs w:val="32"/>
        </w:rPr>
        <w:t>5</w:t>
      </w:r>
      <w:r>
        <w:rPr>
          <w:rFonts w:ascii="Times New Roman" w:hAnsi="Times New Roman" w:eastAsia="楷体_GB2312"/>
          <w:color w:val="000000"/>
          <w:sz w:val="32"/>
          <w:szCs w:val="32"/>
        </w:rPr>
        <w:t>年版）</w:t>
      </w: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bookmarkStart w:id="0" w:name="_GoBack"/>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每批次产品抽取样品2件，其中1件作为检验样品，1件作为备用样品。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表1 弹簧软床垫</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083"/>
        <w:gridCol w:w="650"/>
        <w:gridCol w:w="2241"/>
        <w:gridCol w:w="3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序号</w:t>
            </w:r>
          </w:p>
        </w:tc>
        <w:tc>
          <w:tcPr>
            <w:tcW w:w="3974" w:type="dxa"/>
            <w:gridSpan w:val="3"/>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检验项目</w:t>
            </w:r>
          </w:p>
        </w:tc>
        <w:tc>
          <w:tcPr>
            <w:tcW w:w="3907"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w:t>
            </w:r>
          </w:p>
        </w:tc>
        <w:tc>
          <w:tcPr>
            <w:tcW w:w="1083"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外观性能</w:t>
            </w: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复合面料</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缝边</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拉链</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w:t>
            </w:r>
          </w:p>
        </w:tc>
        <w:tc>
          <w:tcPr>
            <w:tcW w:w="1083"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安全性能</w:t>
            </w: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霉变</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5</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害虫及其污染物</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6</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废旧制品</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7</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纤维性工业下脚料或用其加工的再生纤维状物质</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8</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杂物</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9</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异味</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10</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甲醛释放量</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11</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苯释放量</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12</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甲苯释放量</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13</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二甲苯（邻、间、对二甲苯之和）释放量</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14</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总挥发性有机化合物(TVOC)释放量</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15</w:t>
            </w:r>
          </w:p>
        </w:tc>
        <w:tc>
          <w:tcPr>
            <w:tcW w:w="1083" w:type="dxa"/>
            <w:vMerge w:val="continue"/>
            <w:vAlign w:val="center"/>
          </w:tcPr>
          <w:p>
            <w:pPr>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弹簧</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16</w:t>
            </w:r>
          </w:p>
        </w:tc>
        <w:tc>
          <w:tcPr>
            <w:tcW w:w="3974" w:type="dxa"/>
            <w:gridSpan w:val="3"/>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阻燃性</w:t>
            </w:r>
          </w:p>
        </w:tc>
        <w:tc>
          <w:tcPr>
            <w:tcW w:w="3907"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GB 17927.1—2011</w:t>
            </w:r>
          </w:p>
          <w:p>
            <w:pPr>
              <w:jc w:val="center"/>
              <w:rPr>
                <w:rFonts w:hint="default" w:ascii="Times New Roman" w:hAnsi="Times New Roman" w:cs="Times New Roman"/>
                <w:color w:val="000000"/>
                <w:szCs w:val="21"/>
              </w:rPr>
            </w:pPr>
            <w:r>
              <w:rPr>
                <w:rFonts w:hint="default" w:ascii="Times New Roman" w:hAnsi="Times New Roman" w:cs="Times New Roman"/>
                <w:szCs w:val="21"/>
              </w:rPr>
              <w:t>GB 17927.2—2011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17</w:t>
            </w:r>
          </w:p>
        </w:tc>
        <w:tc>
          <w:tcPr>
            <w:tcW w:w="1083" w:type="dxa"/>
            <w:vMerge w:val="restart"/>
            <w:vAlign w:val="center"/>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理化性能</w:t>
            </w:r>
          </w:p>
        </w:tc>
        <w:tc>
          <w:tcPr>
            <w:tcW w:w="650"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复合</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面料</w:t>
            </w:r>
          </w:p>
        </w:tc>
        <w:tc>
          <w:tcPr>
            <w:tcW w:w="22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面料</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18</w:t>
            </w:r>
          </w:p>
        </w:tc>
        <w:tc>
          <w:tcPr>
            <w:tcW w:w="1083" w:type="dxa"/>
            <w:vMerge w:val="continue"/>
          </w:tcPr>
          <w:p>
            <w:pPr>
              <w:snapToGrid w:val="0"/>
              <w:spacing w:line="440" w:lineRule="exact"/>
              <w:rPr>
                <w:rFonts w:hint="default" w:ascii="Times New Roman" w:hAnsi="Times New Roman" w:eastAsia="黑体" w:cs="Times New Roman"/>
                <w:color w:val="000000"/>
                <w:szCs w:val="21"/>
              </w:rPr>
            </w:pPr>
          </w:p>
        </w:tc>
        <w:tc>
          <w:tcPr>
            <w:tcW w:w="650"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铺垫料 </w:t>
            </w:r>
          </w:p>
        </w:tc>
        <w:tc>
          <w:tcPr>
            <w:tcW w:w="22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毡垫</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19</w:t>
            </w:r>
          </w:p>
        </w:tc>
        <w:tc>
          <w:tcPr>
            <w:tcW w:w="1083" w:type="dxa"/>
            <w:vMerge w:val="continue"/>
          </w:tcPr>
          <w:p>
            <w:pPr>
              <w:snapToGrid w:val="0"/>
              <w:spacing w:line="440" w:lineRule="exact"/>
              <w:rPr>
                <w:rFonts w:hint="default" w:ascii="Times New Roman" w:hAnsi="Times New Roman" w:eastAsia="黑体" w:cs="Times New Roman"/>
                <w:color w:val="000000"/>
                <w:szCs w:val="21"/>
              </w:rPr>
            </w:pPr>
          </w:p>
        </w:tc>
        <w:tc>
          <w:tcPr>
            <w:tcW w:w="650" w:type="dxa"/>
            <w:vMerge w:val="continue"/>
            <w:vAlign w:val="center"/>
          </w:tcPr>
          <w:p>
            <w:pPr>
              <w:jc w:val="center"/>
              <w:rPr>
                <w:rFonts w:hint="default" w:ascii="Times New Roman" w:hAnsi="Times New Roman" w:cs="Times New Roman"/>
                <w:color w:val="000000"/>
                <w:szCs w:val="21"/>
              </w:rPr>
            </w:pPr>
          </w:p>
        </w:tc>
        <w:tc>
          <w:tcPr>
            <w:tcW w:w="22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软质泡沫塑料垫</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20</w:t>
            </w:r>
          </w:p>
        </w:tc>
        <w:tc>
          <w:tcPr>
            <w:tcW w:w="1083" w:type="dxa"/>
            <w:vMerge w:val="continue"/>
          </w:tcPr>
          <w:p>
            <w:pPr>
              <w:snapToGrid w:val="0"/>
              <w:spacing w:line="440" w:lineRule="exact"/>
              <w:rPr>
                <w:rFonts w:hint="default" w:ascii="Times New Roman" w:hAnsi="Times New Roman" w:eastAsia="黑体" w:cs="Times New Roman"/>
                <w:color w:val="000000"/>
                <w:szCs w:val="21"/>
              </w:rPr>
            </w:pPr>
          </w:p>
        </w:tc>
        <w:tc>
          <w:tcPr>
            <w:tcW w:w="650" w:type="dxa"/>
            <w:vMerge w:val="continue"/>
            <w:vAlign w:val="center"/>
          </w:tcPr>
          <w:p>
            <w:pPr>
              <w:jc w:val="center"/>
              <w:rPr>
                <w:rFonts w:hint="default" w:ascii="Times New Roman" w:hAnsi="Times New Roman" w:cs="Times New Roman"/>
                <w:color w:val="000000"/>
                <w:szCs w:val="21"/>
              </w:rPr>
            </w:pPr>
          </w:p>
        </w:tc>
        <w:tc>
          <w:tcPr>
            <w:tcW w:w="22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乳胶（乳胶棉）垫</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21</w:t>
            </w:r>
          </w:p>
        </w:tc>
        <w:tc>
          <w:tcPr>
            <w:tcW w:w="1083" w:type="dxa"/>
            <w:vMerge w:val="continue"/>
          </w:tcPr>
          <w:p>
            <w:pPr>
              <w:snapToGrid w:val="0"/>
              <w:spacing w:line="440" w:lineRule="exact"/>
              <w:rPr>
                <w:rFonts w:hint="default" w:ascii="Times New Roman" w:hAnsi="Times New Roman" w:eastAsia="黑体"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弹簧芯</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22</w:t>
            </w:r>
          </w:p>
        </w:tc>
        <w:tc>
          <w:tcPr>
            <w:tcW w:w="1083" w:type="dxa"/>
            <w:vMerge w:val="restart"/>
          </w:tcPr>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耐久性</w:t>
            </w: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垫面（睡眠区域中心）</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Pr>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23</w:t>
            </w:r>
          </w:p>
        </w:tc>
        <w:tc>
          <w:tcPr>
            <w:tcW w:w="1083" w:type="dxa"/>
            <w:vMerge w:val="continue"/>
          </w:tcPr>
          <w:p>
            <w:pPr>
              <w:snapToGrid w:val="0"/>
              <w:spacing w:line="440" w:lineRule="exact"/>
              <w:jc w:val="center"/>
              <w:rPr>
                <w:rFonts w:hint="default" w:ascii="Times New Roman" w:hAnsi="Times New Roman" w:cs="Times New Roman"/>
                <w:color w:val="000000"/>
                <w:szCs w:val="21"/>
              </w:rPr>
            </w:pPr>
          </w:p>
        </w:tc>
        <w:tc>
          <w:tcPr>
            <w:tcW w:w="2891"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边部</w:t>
            </w:r>
          </w:p>
        </w:tc>
        <w:tc>
          <w:tcPr>
            <w:tcW w:w="390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szCs w:val="21"/>
              </w:rPr>
              <w:t>—</w:t>
            </w:r>
            <w:r>
              <w:rPr>
                <w:rFonts w:hint="default" w:ascii="Times New Roman" w:hAnsi="Times New Roman" w:cs="Times New Roman"/>
                <w:color w:val="000000"/>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5"/>
            <w:vAlign w:val="center"/>
          </w:tcPr>
          <w:p>
            <w:pPr>
              <w:jc w:val="left"/>
              <w:rPr>
                <w:rFonts w:hint="default" w:ascii="Times New Roman" w:hAnsi="Times New Roman" w:cs="Times New Roman"/>
                <w:color w:val="000000"/>
                <w:szCs w:val="21"/>
              </w:rPr>
            </w:pPr>
            <w:r>
              <w:rPr>
                <w:rFonts w:hint="default" w:ascii="Times New Roman" w:hAnsi="Times New Roman" w:cs="Times New Roman"/>
                <w:color w:val="000000"/>
                <w:szCs w:val="21"/>
              </w:rPr>
              <w:t>注：1. 复合面料的检验项目为QB/T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2023标准中表3序号5、10和12；</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2. 缝边的检验项目为QB/T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2023标准中表3序号19；</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3. 拉链的检验项目为QB/T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2023标准中表3序号22~24；</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4. 毡垫的检验项目为QB/T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2023标准中表3序号49；</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5. 软质泡沫塑料垫的检验项目为QB/T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2023标准中表3序号55、56；</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6. 乳胶（乳胶棉）垫的检验项目为QB/T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2023标准中表3序号58；</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7. 弹簧芯的检验项目为QB/T 1952.2</w:t>
            </w:r>
            <w:r>
              <w:rPr>
                <w:rFonts w:hint="default" w:ascii="Times New Roman" w:hAnsi="Times New Roman" w:cs="Times New Roman"/>
                <w:szCs w:val="21"/>
              </w:rPr>
              <w:t>—</w:t>
            </w:r>
            <w:r>
              <w:rPr>
                <w:rFonts w:hint="default" w:ascii="Times New Roman" w:hAnsi="Times New Roman" w:cs="Times New Roman"/>
                <w:color w:val="000000"/>
                <w:szCs w:val="21"/>
              </w:rPr>
              <w:t>2023标准中表3序号60；</w:t>
            </w:r>
          </w:p>
          <w:p>
            <w:pPr>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8. 阻燃性项目检验时：如果试件两铺面用料、工艺、软硬度不一致且两面均可使用时，应分别在产品的两铺面进行测定。</w:t>
            </w:r>
          </w:p>
        </w:tc>
      </w:tr>
    </w:tbl>
    <w:p>
      <w:pPr>
        <w:snapToGrid w:val="0"/>
        <w:spacing w:line="440" w:lineRule="exact"/>
        <w:jc w:val="center"/>
        <w:rPr>
          <w:rFonts w:hint="default" w:ascii="Times New Roman" w:hAnsi="Times New Roman" w:eastAsia="黑体" w:cs="Times New Roman"/>
          <w:color w:val="000000"/>
          <w:szCs w:val="21"/>
        </w:rPr>
      </w:pP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表2 棕纤维弹性床垫</w:t>
      </w:r>
    </w:p>
    <w:tbl>
      <w:tblPr>
        <w:tblStyle w:val="10"/>
        <w:tblW w:w="47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8"/>
        <w:gridCol w:w="2374"/>
        <w:gridCol w:w="2440"/>
        <w:gridCol w:w="2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4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序号</w:t>
            </w:r>
          </w:p>
        </w:tc>
        <w:tc>
          <w:tcPr>
            <w:tcW w:w="2778" w:type="pct"/>
            <w:gridSpan w:val="2"/>
            <w:vAlign w:val="center"/>
          </w:tcPr>
          <w:p>
            <w:pPr>
              <w:pStyle w:val="5"/>
              <w:spacing w:line="440" w:lineRule="exact"/>
              <w:ind w:firstLine="420"/>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检验项目</w:t>
            </w:r>
          </w:p>
        </w:tc>
        <w:tc>
          <w:tcPr>
            <w:tcW w:w="1380" w:type="pct"/>
            <w:vAlign w:val="center"/>
          </w:tcPr>
          <w:p>
            <w:pPr>
              <w:pStyle w:val="5"/>
              <w:spacing w:line="440" w:lineRule="exact"/>
              <w:ind w:firstLine="420"/>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841" w:type="pct"/>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1</w:t>
            </w:r>
          </w:p>
        </w:tc>
        <w:tc>
          <w:tcPr>
            <w:tcW w:w="2778" w:type="pct"/>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面料及复合面料物理性能（耐摩擦色牢度）</w:t>
            </w:r>
          </w:p>
        </w:tc>
        <w:tc>
          <w:tcPr>
            <w:tcW w:w="1380"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841" w:type="pct"/>
            <w:vMerge w:val="restart"/>
            <w:tcBorders>
              <w:top w:val="single" w:color="auto" w:sz="4" w:space="0"/>
              <w:left w:val="single" w:color="auto" w:sz="4" w:space="0"/>
              <w:right w:val="single" w:color="auto" w:sz="4" w:space="0"/>
            </w:tcBorders>
            <w:vAlign w:val="center"/>
          </w:tcPr>
          <w:p>
            <w:pPr>
              <w:pStyle w:val="5"/>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2</w:t>
            </w:r>
          </w:p>
        </w:tc>
        <w:tc>
          <w:tcPr>
            <w:tcW w:w="1370" w:type="pct"/>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芯料物理性能</w:t>
            </w:r>
          </w:p>
        </w:tc>
        <w:tc>
          <w:tcPr>
            <w:tcW w:w="1408"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含水率</w:t>
            </w:r>
          </w:p>
        </w:tc>
        <w:tc>
          <w:tcPr>
            <w:tcW w:w="1380"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1" w:type="pct"/>
            <w:vMerge w:val="continue"/>
            <w:tcBorders>
              <w:left w:val="single" w:color="auto" w:sz="4" w:space="0"/>
              <w:bottom w:val="single" w:color="auto" w:sz="4" w:space="0"/>
              <w:right w:val="single" w:color="auto" w:sz="4" w:space="0"/>
            </w:tcBorders>
            <w:vAlign w:val="center"/>
          </w:tcPr>
          <w:p>
            <w:pPr>
              <w:pStyle w:val="5"/>
              <w:ind w:firstLine="420"/>
              <w:jc w:val="center"/>
              <w:rPr>
                <w:rFonts w:hint="default" w:ascii="Times New Roman" w:hAnsi="Times New Roman" w:cs="Times New Roman"/>
                <w:kern w:val="2"/>
                <w:sz w:val="21"/>
                <w:szCs w:val="21"/>
              </w:rPr>
            </w:pPr>
          </w:p>
        </w:tc>
        <w:tc>
          <w:tcPr>
            <w:tcW w:w="1370" w:type="pct"/>
            <w:vMerge w:val="continue"/>
            <w:vAlign w:val="center"/>
          </w:tcPr>
          <w:p>
            <w:pPr>
              <w:jc w:val="center"/>
              <w:rPr>
                <w:rFonts w:hint="default" w:ascii="Times New Roman" w:hAnsi="Times New Roman" w:cs="Times New Roman"/>
                <w:szCs w:val="21"/>
              </w:rPr>
            </w:pPr>
          </w:p>
        </w:tc>
        <w:tc>
          <w:tcPr>
            <w:tcW w:w="1408"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压缩永久变形率</w:t>
            </w:r>
          </w:p>
        </w:tc>
        <w:tc>
          <w:tcPr>
            <w:tcW w:w="1380"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841" w:type="pct"/>
            <w:vMerge w:val="restart"/>
            <w:tcBorders>
              <w:top w:val="single" w:color="auto" w:sz="4" w:space="0"/>
              <w:left w:val="single" w:color="auto" w:sz="4" w:space="0"/>
              <w:right w:val="single" w:color="auto" w:sz="4" w:space="0"/>
            </w:tcBorders>
            <w:vAlign w:val="center"/>
          </w:tcPr>
          <w:p>
            <w:pPr>
              <w:pStyle w:val="5"/>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3</w:t>
            </w:r>
          </w:p>
        </w:tc>
        <w:tc>
          <w:tcPr>
            <w:tcW w:w="1370" w:type="pct"/>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安全卫生要求</w:t>
            </w:r>
          </w:p>
        </w:tc>
        <w:tc>
          <w:tcPr>
            <w:tcW w:w="1408"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（表3—序号31、33~37）</w:t>
            </w:r>
          </w:p>
        </w:tc>
        <w:tc>
          <w:tcPr>
            <w:tcW w:w="1380"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841" w:type="pct"/>
            <w:vMerge w:val="continue"/>
            <w:tcBorders>
              <w:left w:val="single" w:color="auto" w:sz="4" w:space="0"/>
              <w:bottom w:val="single" w:color="auto" w:sz="4" w:space="0"/>
              <w:right w:val="single" w:color="auto" w:sz="4" w:space="0"/>
            </w:tcBorders>
            <w:vAlign w:val="center"/>
          </w:tcPr>
          <w:p>
            <w:pPr>
              <w:pStyle w:val="5"/>
              <w:ind w:firstLine="420"/>
              <w:rPr>
                <w:rFonts w:hint="default" w:ascii="Times New Roman" w:hAnsi="Times New Roman" w:cs="Times New Roman"/>
                <w:kern w:val="2"/>
                <w:sz w:val="21"/>
                <w:szCs w:val="21"/>
              </w:rPr>
            </w:pPr>
          </w:p>
        </w:tc>
        <w:tc>
          <w:tcPr>
            <w:tcW w:w="1370" w:type="pct"/>
            <w:vMerge w:val="continue"/>
            <w:vAlign w:val="center"/>
          </w:tcPr>
          <w:p>
            <w:pPr>
              <w:jc w:val="center"/>
              <w:rPr>
                <w:rFonts w:hint="default" w:ascii="Times New Roman" w:hAnsi="Times New Roman" w:cs="Times New Roman"/>
                <w:szCs w:val="21"/>
              </w:rPr>
            </w:pPr>
          </w:p>
        </w:tc>
        <w:tc>
          <w:tcPr>
            <w:tcW w:w="1408"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（表3—序号38）</w:t>
            </w:r>
          </w:p>
        </w:tc>
        <w:tc>
          <w:tcPr>
            <w:tcW w:w="1380"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841" w:type="pct"/>
            <w:tcBorders>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4</w:t>
            </w:r>
          </w:p>
        </w:tc>
        <w:tc>
          <w:tcPr>
            <w:tcW w:w="2778" w:type="pct"/>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耐久性要求</w:t>
            </w:r>
          </w:p>
        </w:tc>
        <w:tc>
          <w:tcPr>
            <w:tcW w:w="1380"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GB/T 26706—2011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41" w:type="pct"/>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5</w:t>
            </w:r>
          </w:p>
        </w:tc>
        <w:tc>
          <w:tcPr>
            <w:tcW w:w="2778" w:type="pct"/>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抗引燃特性</w:t>
            </w:r>
          </w:p>
        </w:tc>
        <w:tc>
          <w:tcPr>
            <w:tcW w:w="1380" w:type="pct"/>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GB 17927.1—2011</w:t>
            </w:r>
          </w:p>
          <w:p>
            <w:pPr>
              <w:jc w:val="center"/>
              <w:textAlignment w:val="center"/>
              <w:rPr>
                <w:rFonts w:hint="default" w:ascii="Times New Roman" w:hAnsi="Times New Roman" w:cs="Times New Roman"/>
                <w:szCs w:val="21"/>
              </w:rPr>
            </w:pPr>
            <w:r>
              <w:rPr>
                <w:rFonts w:hint="default" w:ascii="Times New Roman" w:hAnsi="Times New Roman" w:cs="Times New Roman"/>
                <w:szCs w:val="21"/>
              </w:rPr>
              <w:t>GB 17927.2—2011</w:t>
            </w:r>
          </w:p>
        </w:tc>
      </w:tr>
    </w:tbl>
    <w:p>
      <w:pPr>
        <w:snapToGrid w:val="0"/>
        <w:spacing w:line="440" w:lineRule="exact"/>
        <w:jc w:val="center"/>
        <w:rPr>
          <w:rFonts w:hint="default" w:ascii="Times New Roman" w:hAnsi="Times New Roman" w:eastAsia="黑体" w:cs="Times New Roman"/>
          <w:color w:val="000000"/>
          <w:szCs w:val="21"/>
        </w:rPr>
      </w:pP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26706—2011 软体家具棕纤维弹性床垫</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17927.1—2011 软体家具 床垫和沙发 抗引燃特性的评定 第1部分：阴燃的香烟</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17927.2—2011软体家具 床垫和沙发 抗引燃特性的评定 第2部分：模拟火柴火焰</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QB/T 1952.2—2023软体家具 弹簧软床垫</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本细则代替《贵州省市场监管局关于发布2024年版车用柴油等110种产品贵州省产品质量监督抽查实施细则的公告》中的《贵州省床垫产品质量监督抽查实施细则（2024年版）》。</w:t>
      </w:r>
    </w:p>
    <w:bookmarkEnd w:id="0"/>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E1MmNlNTVmMjNlMDgyMjY2YjViOTk0MTczMDFlYzMifQ=="/>
  </w:docVars>
  <w:rsids>
    <w:rsidRoot w:val="003611BA"/>
    <w:rsid w:val="00001CE7"/>
    <w:rsid w:val="00005AA7"/>
    <w:rsid w:val="00014997"/>
    <w:rsid w:val="000456D6"/>
    <w:rsid w:val="00052D0A"/>
    <w:rsid w:val="0006741A"/>
    <w:rsid w:val="00080190"/>
    <w:rsid w:val="000A0C0F"/>
    <w:rsid w:val="000A1F68"/>
    <w:rsid w:val="000A5883"/>
    <w:rsid w:val="000B7B2B"/>
    <w:rsid w:val="0010045C"/>
    <w:rsid w:val="00110A8E"/>
    <w:rsid w:val="001134E2"/>
    <w:rsid w:val="0013450E"/>
    <w:rsid w:val="00135D58"/>
    <w:rsid w:val="00144A8A"/>
    <w:rsid w:val="0014671B"/>
    <w:rsid w:val="001479E1"/>
    <w:rsid w:val="00175325"/>
    <w:rsid w:val="001960E8"/>
    <w:rsid w:val="00197FAE"/>
    <w:rsid w:val="001B1ECE"/>
    <w:rsid w:val="001B3557"/>
    <w:rsid w:val="001B5B8B"/>
    <w:rsid w:val="001C65CB"/>
    <w:rsid w:val="001D3021"/>
    <w:rsid w:val="001E7E75"/>
    <w:rsid w:val="001F4D89"/>
    <w:rsid w:val="002426E5"/>
    <w:rsid w:val="002642D1"/>
    <w:rsid w:val="00266BED"/>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9351D"/>
    <w:rsid w:val="003B28E3"/>
    <w:rsid w:val="003C4925"/>
    <w:rsid w:val="003D6EDD"/>
    <w:rsid w:val="003E34AA"/>
    <w:rsid w:val="004565AD"/>
    <w:rsid w:val="004A4DFC"/>
    <w:rsid w:val="004B599D"/>
    <w:rsid w:val="004C6EAB"/>
    <w:rsid w:val="004C79DF"/>
    <w:rsid w:val="004D05AF"/>
    <w:rsid w:val="00507AE0"/>
    <w:rsid w:val="0051512A"/>
    <w:rsid w:val="00560FE5"/>
    <w:rsid w:val="005631DF"/>
    <w:rsid w:val="005C3820"/>
    <w:rsid w:val="00624DD6"/>
    <w:rsid w:val="006350F9"/>
    <w:rsid w:val="00652075"/>
    <w:rsid w:val="00652B40"/>
    <w:rsid w:val="0066041C"/>
    <w:rsid w:val="00660FFF"/>
    <w:rsid w:val="0067449B"/>
    <w:rsid w:val="00675807"/>
    <w:rsid w:val="006C75F5"/>
    <w:rsid w:val="006D61B3"/>
    <w:rsid w:val="006F3686"/>
    <w:rsid w:val="006F586E"/>
    <w:rsid w:val="006F6818"/>
    <w:rsid w:val="00700705"/>
    <w:rsid w:val="007032EA"/>
    <w:rsid w:val="00707EBA"/>
    <w:rsid w:val="00712FE6"/>
    <w:rsid w:val="00721DBD"/>
    <w:rsid w:val="00724965"/>
    <w:rsid w:val="00766407"/>
    <w:rsid w:val="00772A62"/>
    <w:rsid w:val="007C5B37"/>
    <w:rsid w:val="007E3FB0"/>
    <w:rsid w:val="007E7B78"/>
    <w:rsid w:val="00801099"/>
    <w:rsid w:val="0081765C"/>
    <w:rsid w:val="008447EF"/>
    <w:rsid w:val="008536DB"/>
    <w:rsid w:val="00863267"/>
    <w:rsid w:val="0086350C"/>
    <w:rsid w:val="00863F48"/>
    <w:rsid w:val="00872CC4"/>
    <w:rsid w:val="008737DB"/>
    <w:rsid w:val="00897986"/>
    <w:rsid w:val="008E4C32"/>
    <w:rsid w:val="008F131B"/>
    <w:rsid w:val="00911043"/>
    <w:rsid w:val="0091349A"/>
    <w:rsid w:val="00933214"/>
    <w:rsid w:val="00963128"/>
    <w:rsid w:val="00971B6B"/>
    <w:rsid w:val="009A6925"/>
    <w:rsid w:val="009B36A3"/>
    <w:rsid w:val="009B3AF3"/>
    <w:rsid w:val="009B48C4"/>
    <w:rsid w:val="009C1C38"/>
    <w:rsid w:val="009D2CD9"/>
    <w:rsid w:val="009D2E2A"/>
    <w:rsid w:val="009E6086"/>
    <w:rsid w:val="009F189F"/>
    <w:rsid w:val="00A034D7"/>
    <w:rsid w:val="00A055B0"/>
    <w:rsid w:val="00A0674B"/>
    <w:rsid w:val="00A5157E"/>
    <w:rsid w:val="00A66A3D"/>
    <w:rsid w:val="00A7543F"/>
    <w:rsid w:val="00A77E8A"/>
    <w:rsid w:val="00A916BA"/>
    <w:rsid w:val="00AB2350"/>
    <w:rsid w:val="00AB462B"/>
    <w:rsid w:val="00AE1821"/>
    <w:rsid w:val="00AE471A"/>
    <w:rsid w:val="00AE5734"/>
    <w:rsid w:val="00AF5572"/>
    <w:rsid w:val="00B26562"/>
    <w:rsid w:val="00B47FEC"/>
    <w:rsid w:val="00B51584"/>
    <w:rsid w:val="00B54E2B"/>
    <w:rsid w:val="00B55224"/>
    <w:rsid w:val="00B80476"/>
    <w:rsid w:val="00B908E9"/>
    <w:rsid w:val="00B94B11"/>
    <w:rsid w:val="00B97F97"/>
    <w:rsid w:val="00BC542A"/>
    <w:rsid w:val="00BD2490"/>
    <w:rsid w:val="00BF0959"/>
    <w:rsid w:val="00C17712"/>
    <w:rsid w:val="00C17F20"/>
    <w:rsid w:val="00C207B1"/>
    <w:rsid w:val="00C21785"/>
    <w:rsid w:val="00C345BB"/>
    <w:rsid w:val="00C46A22"/>
    <w:rsid w:val="00C57739"/>
    <w:rsid w:val="00C83DBF"/>
    <w:rsid w:val="00C87AB5"/>
    <w:rsid w:val="00C9467F"/>
    <w:rsid w:val="00CA6A3B"/>
    <w:rsid w:val="00CB316D"/>
    <w:rsid w:val="00CD1BFD"/>
    <w:rsid w:val="00CD3877"/>
    <w:rsid w:val="00CF5F1B"/>
    <w:rsid w:val="00D1325F"/>
    <w:rsid w:val="00D31DB4"/>
    <w:rsid w:val="00D42ED8"/>
    <w:rsid w:val="00D511A7"/>
    <w:rsid w:val="00D649CA"/>
    <w:rsid w:val="00D6657B"/>
    <w:rsid w:val="00D732ED"/>
    <w:rsid w:val="00D85C2A"/>
    <w:rsid w:val="00D879A0"/>
    <w:rsid w:val="00D9506C"/>
    <w:rsid w:val="00DC0140"/>
    <w:rsid w:val="00DD7E3B"/>
    <w:rsid w:val="00E1076E"/>
    <w:rsid w:val="00E1489E"/>
    <w:rsid w:val="00E24FC8"/>
    <w:rsid w:val="00E44C40"/>
    <w:rsid w:val="00E60214"/>
    <w:rsid w:val="00E648F6"/>
    <w:rsid w:val="00E96130"/>
    <w:rsid w:val="00EA38DE"/>
    <w:rsid w:val="00EA4389"/>
    <w:rsid w:val="00EA6934"/>
    <w:rsid w:val="00ED03C4"/>
    <w:rsid w:val="00EF0AC2"/>
    <w:rsid w:val="00F54BA6"/>
    <w:rsid w:val="00F63EC8"/>
    <w:rsid w:val="00F87966"/>
    <w:rsid w:val="00FA2884"/>
    <w:rsid w:val="00FA45C8"/>
    <w:rsid w:val="00FA59DC"/>
    <w:rsid w:val="00FC0C80"/>
    <w:rsid w:val="00FD5380"/>
    <w:rsid w:val="00FE1549"/>
    <w:rsid w:val="00FF1D7E"/>
    <w:rsid w:val="00FF3048"/>
    <w:rsid w:val="01757279"/>
    <w:rsid w:val="02394E6E"/>
    <w:rsid w:val="071C39DD"/>
    <w:rsid w:val="0C3020D5"/>
    <w:rsid w:val="14707C4A"/>
    <w:rsid w:val="14A748C1"/>
    <w:rsid w:val="1B146325"/>
    <w:rsid w:val="29817179"/>
    <w:rsid w:val="2C062286"/>
    <w:rsid w:val="44783A96"/>
    <w:rsid w:val="4A1D0919"/>
    <w:rsid w:val="55CC633D"/>
    <w:rsid w:val="57BFB788"/>
    <w:rsid w:val="603B144D"/>
    <w:rsid w:val="60D566FD"/>
    <w:rsid w:val="61D054C2"/>
    <w:rsid w:val="61F5033B"/>
    <w:rsid w:val="652F585C"/>
    <w:rsid w:val="6CD32CB6"/>
    <w:rsid w:val="723415EF"/>
    <w:rsid w:val="7BE938BF"/>
    <w:rsid w:val="8EFDF1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320</Words>
  <Characters>1828</Characters>
  <Lines>15</Lines>
  <Paragraphs>4</Paragraphs>
  <TotalTime>210</TotalTime>
  <ScaleCrop>false</ScaleCrop>
  <LinksUpToDate>false</LinksUpToDate>
  <CharactersWithSpaces>2144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2020-06-08T15:12:00Z</dcterms:created>
  <dc:creator>lenovo</dc:creator>
  <cp:lastModifiedBy>ysgz</cp:lastModifiedBy>
  <dcterms:modified xsi:type="dcterms:W3CDTF">2025-04-14T09:33:15Z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KSOSaveFontToCloudKey">
    <vt:lpwstr>333935165_cloud</vt:lpwstr>
  </property>
  <property fmtid="{D5CDD505-2E9C-101B-9397-08002B2CF9AE}" pid="4" name="ICV">
    <vt:lpwstr>87A20EE0565042CE9DA56CE10F349474</vt:lpwstr>
  </property>
</Properties>
</file>