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bookmarkStart w:id="0" w:name="_Hlk102659035"/>
      <w:r>
        <w:rPr>
          <w:rFonts w:hint="eastAsia" w:eastAsia="方正小标宋简体" w:cs="方正仿宋简体"/>
          <w:color w:val="000000"/>
          <w:sz w:val="32"/>
          <w:szCs w:val="32"/>
        </w:rPr>
        <w:t>贵州省塑料一次性餐饮具</w:t>
      </w:r>
      <w:bookmarkEnd w:id="0"/>
      <w:r>
        <w:rPr>
          <w:rFonts w:hint="eastAsia" w:eastAsia="方正小标宋简体" w:cs="方正仿宋简体"/>
          <w:color w:val="000000"/>
          <w:sz w:val="32"/>
          <w:szCs w:val="32"/>
        </w:rPr>
        <w:t>产品质量监督抽查实施细则</w:t>
      </w:r>
    </w:p>
    <w:p>
      <w:pPr>
        <w:spacing w:line="440"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（2025年版）</w:t>
      </w:r>
    </w:p>
    <w:p>
      <w:pPr>
        <w:adjustRightInd w:val="0"/>
        <w:snapToGrid w:val="0"/>
        <w:spacing w:line="440" w:lineRule="exact"/>
        <w:outlineLvl w:val="1"/>
        <w:rPr>
          <w:rFonts w:eastAsia="黑体" w:cs="黑体"/>
          <w:szCs w:val="21"/>
        </w:rPr>
      </w:pPr>
      <w:r>
        <w:rPr>
          <w:rFonts w:hint="eastAsia" w:eastAsia="黑体" w:cs="黑体"/>
          <w:szCs w:val="21"/>
        </w:rPr>
        <w:t>1 抽样方法</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adjustRightInd w:val="0"/>
        <w:snapToGrid w:val="0"/>
        <w:spacing w:line="360" w:lineRule="auto"/>
        <w:ind w:firstLine="420" w:firstLineChars="200"/>
        <w:outlineLvl w:val="1"/>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每批次产品抽取不少于3份最小销售独立包装，每份样品抽样数量不少于40只/个，其中2份作为检验样品，1份作为备用样品。每份样品质量应不少于100g且与食品接触面的最小表面积应不小于10dm</w:t>
      </w:r>
      <w:r>
        <w:rPr>
          <w:rFonts w:hint="default" w:ascii="Times New Roman" w:hAnsi="Times New Roman" w:cs="Times New Roman"/>
          <w:szCs w:val="21"/>
          <w:vertAlign w:val="superscript"/>
        </w:rPr>
        <w:t>2</w:t>
      </w:r>
      <w:r>
        <w:rPr>
          <w:rFonts w:hint="default" w:ascii="Times New Roman" w:hAnsi="Times New Roman" w:cs="Times New Roman"/>
          <w:szCs w:val="21"/>
        </w:rPr>
        <w:t>（若最小销售包装不是40只/个的整数倍，需按采样数折算，保证检样不少于80只/个，备样不少于40只/个，避免损坏原包装）。</w:t>
      </w:r>
      <w:bookmarkStart w:id="2" w:name="_GoBack"/>
      <w:bookmarkEnd w:id="2"/>
    </w:p>
    <w:p>
      <w:pPr>
        <w:snapToGrid w:val="0"/>
        <w:spacing w:line="360" w:lineRule="auto"/>
        <w:ind w:firstLine="420" w:firstLineChars="200"/>
        <w:rPr>
          <w:rFonts w:hint="default" w:ascii="Times New Roman" w:hAnsi="Times New Roman" w:cs="Times New Roman"/>
          <w:szCs w:val="21"/>
        </w:rPr>
      </w:pPr>
    </w:p>
    <w:p>
      <w:pPr>
        <w:adjustRightInd w:val="0"/>
        <w:snapToGrid w:val="0"/>
        <w:spacing w:line="440" w:lineRule="exact"/>
        <w:outlineLvl w:val="1"/>
        <w:rPr>
          <w:rFonts w:hint="default" w:ascii="Times New Roman" w:hAnsi="Times New Roman" w:eastAsia="黑体" w:cs="Times New Roman"/>
          <w:szCs w:val="21"/>
        </w:rPr>
      </w:pPr>
      <w:r>
        <w:rPr>
          <w:rFonts w:hint="default" w:ascii="Times New Roman" w:hAnsi="Times New Roman" w:eastAsia="黑体" w:cs="Times New Roman"/>
          <w:szCs w:val="21"/>
        </w:rPr>
        <w:t>2 检验依据</w:t>
      </w:r>
    </w:p>
    <w:p>
      <w:pPr>
        <w:adjustRightInd w:val="0"/>
        <w:snapToGrid w:val="0"/>
        <w:jc w:val="center"/>
        <w:rPr>
          <w:rFonts w:hint="default" w:ascii="Times New Roman" w:hAnsi="Times New Roman" w:cs="Times New Roman"/>
          <w:szCs w:val="21"/>
        </w:rPr>
      </w:pP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4183"/>
        <w:gridCol w:w="4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9" w:hRule="atLeast"/>
          <w:tblHeader/>
          <w:jc w:val="center"/>
        </w:trPr>
        <w:tc>
          <w:tcPr>
            <w:tcW w:w="411" w:type="pct"/>
            <w:vAlign w:val="center"/>
          </w:tcPr>
          <w:p>
            <w:pPr>
              <w:snapToGrid w:val="0"/>
              <w:spacing w:line="440" w:lineRule="exact"/>
              <w:jc w:val="center"/>
              <w:rPr>
                <w:rFonts w:hint="default" w:ascii="Times New Roman" w:hAnsi="Times New Roman" w:cs="Times New Roman"/>
                <w:color w:val="000000"/>
                <w:szCs w:val="21"/>
              </w:rPr>
            </w:pPr>
            <w:bookmarkStart w:id="1" w:name="_Hlk40347690"/>
            <w:r>
              <w:rPr>
                <w:rFonts w:hint="default" w:ascii="Times New Roman" w:hAnsi="Times New Roman" w:cs="Times New Roman"/>
                <w:color w:val="000000"/>
                <w:szCs w:val="21"/>
              </w:rPr>
              <w:t>序号</w:t>
            </w:r>
          </w:p>
        </w:tc>
        <w:tc>
          <w:tcPr>
            <w:tcW w:w="2280" w:type="pct"/>
            <w:vAlign w:val="center"/>
          </w:tcPr>
          <w:p>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309" w:type="pct"/>
            <w:vAlign w:val="center"/>
          </w:tcPr>
          <w:p>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感官要求</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4806.7—2016</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总迁移量</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高锰酸钾消耗量</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重金属（以Pb计）</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脱色试验</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芳香族伯胺迁移总量</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rPr>
                <w:rFonts w:hint="default" w:ascii="Times New Roman" w:hAnsi="Times New Roman" w:cs="Times New Roman"/>
                <w:szCs w:val="21"/>
              </w:rPr>
            </w:pPr>
            <w:r>
              <w:rPr>
                <w:rFonts w:hint="default" w:ascii="Times New Roman" w:hAnsi="Times New Roman" w:cs="Times New Roman"/>
                <w:szCs w:val="21"/>
              </w:rPr>
              <w:t>特定迁移总量（以己内酰胺计）（限PA材质）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31604.19—2016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氯乙烯特定迁移量（限PVC、PVDC材质）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31604.31—2016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大肠菌群</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沙门氏菌</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霉菌计数</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4789.15—2016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0"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特定迁移总量（以对苯二甲酸计）（限PET、PB(A)T材质）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特定迁移总量（以乙二醇计）（限PET材质）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特定迁移总量（以1,4-丁二醇计）（限PB(A)T材质）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GB 31604.51—2021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1,3-丁二烯特定迁移量（限有丁二烯单体的聚合物）</w:t>
            </w:r>
          </w:p>
          <w:p>
            <w:pPr>
              <w:adjustRightInd w:val="0"/>
              <w:snapToGrid w:val="0"/>
              <w:jc w:val="center"/>
              <w:rPr>
                <w:rFonts w:hint="default" w:ascii="Times New Roman" w:hAnsi="Times New Roman" w:cs="Times New Roman"/>
                <w:szCs w:val="21"/>
              </w:rPr>
            </w:pP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31604.12—2016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5"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苯乙烯和乙苯残留量</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（限PS材质)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31604.16—2016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0"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邻苯类增塑剂特定迁移量</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（限PVC材质）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31604.30—2016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0" w:hRule="exact"/>
          <w:jc w:val="center"/>
        </w:trPr>
        <w:tc>
          <w:tcPr>
            <w:tcW w:w="411" w:type="pct"/>
            <w:vAlign w:val="center"/>
          </w:tcPr>
          <w:p>
            <w:pPr>
              <w:numPr>
                <w:ilvl w:val="0"/>
                <w:numId w:val="1"/>
              </w:numPr>
              <w:adjustRightInd w:val="0"/>
              <w:snapToGrid w:val="0"/>
              <w:jc w:val="center"/>
              <w:rPr>
                <w:rFonts w:hint="default" w:ascii="Times New Roman" w:hAnsi="Times New Roman" w:cs="Times New Roman"/>
                <w:szCs w:val="21"/>
              </w:rPr>
            </w:pPr>
          </w:p>
        </w:tc>
        <w:tc>
          <w:tcPr>
            <w:tcW w:w="2280"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特定迁移量（以锑计）（限PET材质）</w:t>
            </w:r>
          </w:p>
        </w:tc>
        <w:tc>
          <w:tcPr>
            <w:tcW w:w="2309"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31604.41—2016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50" w:hRule="exact"/>
          <w:jc w:val="center"/>
        </w:trPr>
        <w:tc>
          <w:tcPr>
            <w:tcW w:w="5000" w:type="pct"/>
            <w:gridSpan w:val="3"/>
          </w:tcPr>
          <w:p>
            <w:pPr>
              <w:adjustRightInd w:val="0"/>
              <w:snapToGrid w:val="0"/>
              <w:jc w:val="left"/>
              <w:rPr>
                <w:rFonts w:hint="default" w:ascii="Times New Roman" w:hAnsi="Times New Roman" w:cs="Times New Roman"/>
                <w:color w:val="000000"/>
              </w:rPr>
            </w:pPr>
            <w:r>
              <w:rPr>
                <w:rFonts w:hint="default" w:ascii="Times New Roman" w:hAnsi="Times New Roman" w:cs="Times New Roman"/>
                <w:color w:val="000000"/>
              </w:rPr>
              <w:t>注：1.高锰酸钾消耗量不适用于执行标准为GB 4806.7</w:t>
            </w:r>
            <w:r>
              <w:rPr>
                <w:rFonts w:hint="default" w:ascii="Times New Roman" w:hAnsi="Times New Roman" w:cs="Times New Roman"/>
                <w:szCs w:val="21"/>
              </w:rPr>
              <w:t>—</w:t>
            </w:r>
            <w:r>
              <w:rPr>
                <w:rFonts w:hint="default" w:ascii="Times New Roman" w:hAnsi="Times New Roman" w:cs="Times New Roman"/>
                <w:color w:val="000000"/>
              </w:rPr>
              <w:t>2023中的淀粉含量≥40%的淀粉基塑料材料及制品。</w:t>
            </w:r>
          </w:p>
          <w:p>
            <w:pPr>
              <w:adjustRightInd w:val="0"/>
              <w:snapToGrid w:val="0"/>
              <w:jc w:val="left"/>
              <w:rPr>
                <w:rFonts w:hint="default" w:ascii="Times New Roman" w:hAnsi="Times New Roman" w:cs="Times New Roman"/>
                <w:color w:val="000000"/>
              </w:rPr>
            </w:pPr>
            <w:r>
              <w:rPr>
                <w:rFonts w:hint="default" w:ascii="Times New Roman" w:hAnsi="Times New Roman" w:cs="Times New Roman"/>
                <w:color w:val="000000"/>
                <w:szCs w:val="21"/>
              </w:rPr>
              <w:t>2.</w:t>
            </w:r>
            <w:r>
              <w:rPr>
                <w:rFonts w:hint="default" w:ascii="Times New Roman" w:hAnsi="Times New Roman" w:cs="Times New Roman"/>
                <w:color w:val="000000"/>
              </w:rPr>
              <w:t>芳香族伯胺迁移总量适用于执行标准为GB 4806.7</w:t>
            </w:r>
            <w:r>
              <w:rPr>
                <w:rFonts w:hint="default" w:ascii="Times New Roman" w:hAnsi="Times New Roman" w:cs="Times New Roman"/>
                <w:szCs w:val="21"/>
              </w:rPr>
              <w:t>—</w:t>
            </w:r>
            <w:r>
              <w:rPr>
                <w:rFonts w:hint="default" w:ascii="Times New Roman" w:hAnsi="Times New Roman" w:cs="Times New Roman"/>
                <w:color w:val="000000"/>
              </w:rPr>
              <w:t>2023，且含有芳香族异氰酸酯和偶氮类着色剂等可能产生芳香族伯胺类物质的产品。</w:t>
            </w:r>
          </w:p>
          <w:p>
            <w:pPr>
              <w:adjustRightInd w:val="0"/>
              <w:snapToGrid w:val="0"/>
              <w:jc w:val="left"/>
              <w:rPr>
                <w:rFonts w:hint="default" w:ascii="Times New Roman" w:hAnsi="Times New Roman" w:cs="Times New Roman"/>
                <w:color w:val="000000"/>
              </w:rPr>
            </w:pPr>
            <w:r>
              <w:rPr>
                <w:rFonts w:hint="default" w:ascii="Times New Roman" w:hAnsi="Times New Roman" w:cs="Times New Roman"/>
                <w:color w:val="000000"/>
              </w:rPr>
              <w:t>3. 脱色试验仅适用于添加了着色剂的产品。</w:t>
            </w:r>
          </w:p>
          <w:p>
            <w:pPr>
              <w:adjustRightInd w:val="0"/>
              <w:snapToGrid w:val="0"/>
              <w:jc w:val="left"/>
              <w:rPr>
                <w:rFonts w:hint="default" w:ascii="Times New Roman" w:hAnsi="Times New Roman" w:cs="Times New Roman"/>
                <w:color w:val="000000"/>
              </w:rPr>
            </w:pPr>
            <w:r>
              <w:rPr>
                <w:rFonts w:hint="default" w:ascii="Times New Roman" w:hAnsi="Times New Roman" w:cs="Times New Roman"/>
                <w:color w:val="000000"/>
              </w:rPr>
              <w:t>4. 特定迁移量（以锑计）（限PET材质）适用于2024年9月6日前生产的产品。</w:t>
            </w:r>
          </w:p>
          <w:p>
            <w:pPr>
              <w:adjustRightInd w:val="0"/>
              <w:snapToGrid w:val="0"/>
              <w:ind w:firstLine="420" w:firstLineChars="200"/>
              <w:jc w:val="left"/>
              <w:rPr>
                <w:rFonts w:hint="default" w:ascii="Times New Roman" w:hAnsi="Times New Roman" w:cs="Times New Roman"/>
                <w:color w:val="000000"/>
              </w:rPr>
            </w:pP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bookmarkEnd w:id="1"/>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eastAsia="黑体" w:cs="Times New Roman"/>
          <w:szCs w:val="21"/>
        </w:rPr>
      </w:pPr>
    </w:p>
    <w:p>
      <w:pPr>
        <w:adjustRightInd w:val="0"/>
        <w:snapToGrid w:val="0"/>
        <w:spacing w:line="440" w:lineRule="exact"/>
        <w:outlineLvl w:val="1"/>
        <w:rPr>
          <w:rFonts w:hint="default" w:ascii="Times New Roman" w:hAnsi="Times New Roman" w:eastAsia="黑体" w:cs="Times New Roman"/>
          <w:szCs w:val="21"/>
        </w:rPr>
      </w:pPr>
      <w:r>
        <w:rPr>
          <w:rFonts w:hint="default" w:ascii="Times New Roman" w:hAnsi="Times New Roman" w:eastAsia="黑体" w:cs="Times New Roman"/>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4806.6—2016 食品安全国家标准 食品接触用塑料树脂</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4806.7—2016 食品安全国家标准 食品接触用塑料材料及制品</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4806.7—2023 食品安全国家标准 食品接触用塑料材料及制品</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9685—2016 食品安全国家标准 食品接触材料及制品用添加剂使用标准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14934—2016 食品安全国家标准 消毒餐(饮)具</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"http://www.bzsb.info/javascript:void(0);" </w:instrText>
      </w:r>
      <w:r>
        <w:rPr>
          <w:rFonts w:hint="default" w:ascii="Times New Roman" w:hAnsi="Times New Roman" w:cs="Times New Roman"/>
        </w:rPr>
        <w:fldChar w:fldCharType="separate"/>
      </w:r>
      <w:r>
        <w:rPr>
          <w:rFonts w:hint="default" w:ascii="Times New Roman" w:hAnsi="Times New Roman" w:cs="Times New Roman"/>
          <w:szCs w:val="21"/>
        </w:rPr>
        <w:t>GB/T 18006.1—2009</w:t>
      </w:r>
      <w:r>
        <w:rPr>
          <w:rFonts w:hint="default" w:ascii="Times New Roman" w:hAnsi="Times New Roman" w:cs="Times New Roman"/>
          <w:szCs w:val="21"/>
        </w:rPr>
        <w:fldChar w:fldCharType="end"/>
      </w:r>
      <w:r>
        <w:rPr>
          <w:rFonts w:hint="default" w:ascii="Times New Roman" w:hAnsi="Times New Roman" w:cs="Times New Roman"/>
        </w:rPr>
        <w:t xml:space="preserve"> </w:t>
      </w:r>
      <w:r>
        <w:rPr>
          <w:rFonts w:hint="default" w:ascii="Times New Roman" w:hAnsi="Times New Roman" w:cs="Times New Roman"/>
          <w:szCs w:val="21"/>
        </w:rPr>
        <w:t>塑料一次性餐饮具通用技术要求</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依据GB 4789.1—2016 《食品安全国家标准 食品微生物学检验 总则》第7.3条规定“检验结果报告后，剩余样品和同批产品不进行微生物项目的复检”，微生物指标不合格不进行复检。</w:t>
      </w:r>
    </w:p>
    <w:p>
      <w:pPr>
        <w:adjustRightInd w:val="0"/>
        <w:snapToGrid w:val="0"/>
        <w:spacing w:line="440" w:lineRule="exact"/>
        <w:rPr>
          <w:rFonts w:hint="default" w:ascii="Times New Roman" w:hAnsi="Times New Roman" w:cs="Times New Roman"/>
          <w:color w:val="000000"/>
          <w:szCs w:val="21"/>
        </w:rPr>
      </w:pPr>
    </w:p>
    <w:p>
      <w:pPr>
        <w:adjustRightInd w:val="0"/>
        <w:snapToGrid w:val="0"/>
        <w:spacing w:line="440" w:lineRule="exact"/>
        <w:outlineLvl w:val="1"/>
        <w:rPr>
          <w:rFonts w:hint="default" w:ascii="Times New Roman" w:hAnsi="Times New Roman" w:eastAsia="黑体" w:cs="Times New Roman"/>
          <w:szCs w:val="21"/>
        </w:rPr>
      </w:pPr>
      <w:r>
        <w:rPr>
          <w:rFonts w:hint="default" w:ascii="Times New Roman" w:hAnsi="Times New Roman" w:eastAsia="黑体" w:cs="Times New Roman"/>
          <w:szCs w:val="21"/>
        </w:rPr>
        <w:t>4 附则</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本细则代替《贵州省市场监管局关于发布2024年版车用柴油等110种产品贵州省产品质量监督抽查实施细则的公告》中的《贵州省塑料一次性餐饮具产品质量监督抽查实施细则（2024版）》。</w:t>
      </w:r>
    </w:p>
    <w:p>
      <w:pPr>
        <w:adjustRightInd w:val="0"/>
        <w:snapToGrid w:val="0"/>
        <w:spacing w:line="440" w:lineRule="exact"/>
        <w:ind w:firstLine="420" w:firstLineChars="200"/>
        <w:rPr>
          <w:color w:val="000000"/>
          <w:szCs w:val="21"/>
        </w:rPr>
      </w:pPr>
    </w:p>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w:t>
    </w:r>
    <w:r>
      <w:rPr>
        <w:sz w:val="21"/>
        <w:szCs w:val="21"/>
        <w:lang w:val="zh-CN"/>
      </w:rPr>
      <w:fldChar w:fldCharType="end"/>
    </w:r>
  </w:p>
  <w:p>
    <w:pPr>
      <w:pStyle w:val="5"/>
      <w:ind w:right="360"/>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03EADD"/>
    <w:multiLevelType w:val="singleLevel"/>
    <w:tmpl w:val="F303EADD"/>
    <w:lvl w:ilvl="0" w:tentative="0">
      <w:start w:val="1"/>
      <w:numFmt w:val="decimal"/>
      <w:lvlText w:val="%1"/>
      <w:lvlJc w:val="center"/>
      <w:pPr>
        <w:ind w:left="279" w:hanging="13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liODJhNDlmY2NjMmNjNTE4M2VhODIwMTY1NWRkZmIifQ=="/>
  </w:docVars>
  <w:rsids>
    <w:rsidRoot w:val="004E7F45"/>
    <w:rsid w:val="000223BA"/>
    <w:rsid w:val="00025E70"/>
    <w:rsid w:val="00026930"/>
    <w:rsid w:val="000600FC"/>
    <w:rsid w:val="00090BF9"/>
    <w:rsid w:val="000D0B7A"/>
    <w:rsid w:val="000F504B"/>
    <w:rsid w:val="001001F2"/>
    <w:rsid w:val="00111BFA"/>
    <w:rsid w:val="00126B4B"/>
    <w:rsid w:val="0013492D"/>
    <w:rsid w:val="00190058"/>
    <w:rsid w:val="001E7D67"/>
    <w:rsid w:val="001F5300"/>
    <w:rsid w:val="00236FCF"/>
    <w:rsid w:val="00262E0C"/>
    <w:rsid w:val="00263965"/>
    <w:rsid w:val="002917F2"/>
    <w:rsid w:val="002961CD"/>
    <w:rsid w:val="002D072B"/>
    <w:rsid w:val="002D2966"/>
    <w:rsid w:val="002E746B"/>
    <w:rsid w:val="002F1DC7"/>
    <w:rsid w:val="00311B31"/>
    <w:rsid w:val="0033027F"/>
    <w:rsid w:val="00331A97"/>
    <w:rsid w:val="00345C28"/>
    <w:rsid w:val="003D5388"/>
    <w:rsid w:val="003F7705"/>
    <w:rsid w:val="004064D4"/>
    <w:rsid w:val="00421E58"/>
    <w:rsid w:val="0048431A"/>
    <w:rsid w:val="004A6C40"/>
    <w:rsid w:val="004A6CA3"/>
    <w:rsid w:val="004E7F45"/>
    <w:rsid w:val="004F4966"/>
    <w:rsid w:val="0051209D"/>
    <w:rsid w:val="00532F8D"/>
    <w:rsid w:val="0054077C"/>
    <w:rsid w:val="00555E7E"/>
    <w:rsid w:val="00571A64"/>
    <w:rsid w:val="00590F96"/>
    <w:rsid w:val="00593B89"/>
    <w:rsid w:val="00593E67"/>
    <w:rsid w:val="005A736C"/>
    <w:rsid w:val="005E6927"/>
    <w:rsid w:val="0060383C"/>
    <w:rsid w:val="006219F8"/>
    <w:rsid w:val="00646A2D"/>
    <w:rsid w:val="0065579C"/>
    <w:rsid w:val="00677A4D"/>
    <w:rsid w:val="0068760D"/>
    <w:rsid w:val="006B48E8"/>
    <w:rsid w:val="006C56E0"/>
    <w:rsid w:val="007844F1"/>
    <w:rsid w:val="00791A66"/>
    <w:rsid w:val="007978AC"/>
    <w:rsid w:val="007A4F3E"/>
    <w:rsid w:val="007E6AED"/>
    <w:rsid w:val="007F546D"/>
    <w:rsid w:val="0082334C"/>
    <w:rsid w:val="00862859"/>
    <w:rsid w:val="0088588D"/>
    <w:rsid w:val="008A1D26"/>
    <w:rsid w:val="008A34E5"/>
    <w:rsid w:val="008C2AA1"/>
    <w:rsid w:val="008D4A5A"/>
    <w:rsid w:val="00902C4C"/>
    <w:rsid w:val="0091647C"/>
    <w:rsid w:val="009371D2"/>
    <w:rsid w:val="009833AD"/>
    <w:rsid w:val="009A74F5"/>
    <w:rsid w:val="009F1D5A"/>
    <w:rsid w:val="00A04474"/>
    <w:rsid w:val="00A34CC6"/>
    <w:rsid w:val="00A42486"/>
    <w:rsid w:val="00A941B5"/>
    <w:rsid w:val="00A95981"/>
    <w:rsid w:val="00AC1FA9"/>
    <w:rsid w:val="00AD527D"/>
    <w:rsid w:val="00AE0D56"/>
    <w:rsid w:val="00AF34B8"/>
    <w:rsid w:val="00AF3B5B"/>
    <w:rsid w:val="00AF46D5"/>
    <w:rsid w:val="00B24BD0"/>
    <w:rsid w:val="00B4221B"/>
    <w:rsid w:val="00B44E4C"/>
    <w:rsid w:val="00B61C35"/>
    <w:rsid w:val="00B942CB"/>
    <w:rsid w:val="00BA4D5F"/>
    <w:rsid w:val="00BA5623"/>
    <w:rsid w:val="00BB1D93"/>
    <w:rsid w:val="00BC2935"/>
    <w:rsid w:val="00BE1502"/>
    <w:rsid w:val="00C2557D"/>
    <w:rsid w:val="00C25CB5"/>
    <w:rsid w:val="00C25F33"/>
    <w:rsid w:val="00C268BC"/>
    <w:rsid w:val="00C3154A"/>
    <w:rsid w:val="00C37F41"/>
    <w:rsid w:val="00C50932"/>
    <w:rsid w:val="00C87D52"/>
    <w:rsid w:val="00CE4FD7"/>
    <w:rsid w:val="00CE5418"/>
    <w:rsid w:val="00D10BD4"/>
    <w:rsid w:val="00D541C8"/>
    <w:rsid w:val="00D5626E"/>
    <w:rsid w:val="00D74690"/>
    <w:rsid w:val="00D867EF"/>
    <w:rsid w:val="00D92B63"/>
    <w:rsid w:val="00D9409B"/>
    <w:rsid w:val="00DA4552"/>
    <w:rsid w:val="00DA52B0"/>
    <w:rsid w:val="00DE0346"/>
    <w:rsid w:val="00DF15F6"/>
    <w:rsid w:val="00DF4DCE"/>
    <w:rsid w:val="00E26257"/>
    <w:rsid w:val="00E84E16"/>
    <w:rsid w:val="00E864B9"/>
    <w:rsid w:val="00E93AD3"/>
    <w:rsid w:val="00E96ACA"/>
    <w:rsid w:val="00EB3B67"/>
    <w:rsid w:val="00EE0DA2"/>
    <w:rsid w:val="00F07ACA"/>
    <w:rsid w:val="00F14A6A"/>
    <w:rsid w:val="00F15254"/>
    <w:rsid w:val="00F2567C"/>
    <w:rsid w:val="00F76949"/>
    <w:rsid w:val="00F85554"/>
    <w:rsid w:val="00F94DCB"/>
    <w:rsid w:val="00FA38C3"/>
    <w:rsid w:val="00FE325F"/>
    <w:rsid w:val="00FF2630"/>
    <w:rsid w:val="01A131C3"/>
    <w:rsid w:val="01FB18B7"/>
    <w:rsid w:val="024B3ED5"/>
    <w:rsid w:val="032C2CC0"/>
    <w:rsid w:val="050161E5"/>
    <w:rsid w:val="05545442"/>
    <w:rsid w:val="056915AB"/>
    <w:rsid w:val="057B705B"/>
    <w:rsid w:val="07555753"/>
    <w:rsid w:val="09837BF5"/>
    <w:rsid w:val="0CA16AA5"/>
    <w:rsid w:val="0D5E33E4"/>
    <w:rsid w:val="10E96DCA"/>
    <w:rsid w:val="11A97B1A"/>
    <w:rsid w:val="12EE04EB"/>
    <w:rsid w:val="142E2B41"/>
    <w:rsid w:val="146050F4"/>
    <w:rsid w:val="15097FDB"/>
    <w:rsid w:val="150E1C7B"/>
    <w:rsid w:val="15326481"/>
    <w:rsid w:val="15861A43"/>
    <w:rsid w:val="15F1076B"/>
    <w:rsid w:val="188E1215"/>
    <w:rsid w:val="18B11774"/>
    <w:rsid w:val="1A9221AF"/>
    <w:rsid w:val="1BDD60C2"/>
    <w:rsid w:val="1C0559C8"/>
    <w:rsid w:val="1DCA3D55"/>
    <w:rsid w:val="1E1060D3"/>
    <w:rsid w:val="1E3265FA"/>
    <w:rsid w:val="1FE932D4"/>
    <w:rsid w:val="1FF041AE"/>
    <w:rsid w:val="1FFE717E"/>
    <w:rsid w:val="20055C73"/>
    <w:rsid w:val="20076CF3"/>
    <w:rsid w:val="201C0001"/>
    <w:rsid w:val="204E7819"/>
    <w:rsid w:val="20A372F0"/>
    <w:rsid w:val="20CB4BB3"/>
    <w:rsid w:val="213E16CC"/>
    <w:rsid w:val="216F55CD"/>
    <w:rsid w:val="21F07040"/>
    <w:rsid w:val="22902033"/>
    <w:rsid w:val="22F14622"/>
    <w:rsid w:val="23997488"/>
    <w:rsid w:val="24744770"/>
    <w:rsid w:val="249267E9"/>
    <w:rsid w:val="276B0F6B"/>
    <w:rsid w:val="27B619BA"/>
    <w:rsid w:val="29370BA0"/>
    <w:rsid w:val="2A9653EA"/>
    <w:rsid w:val="2AF0519A"/>
    <w:rsid w:val="2B3505C9"/>
    <w:rsid w:val="2B7251A1"/>
    <w:rsid w:val="2BFB407B"/>
    <w:rsid w:val="2D0F3610"/>
    <w:rsid w:val="2DAF6AA4"/>
    <w:rsid w:val="2E447434"/>
    <w:rsid w:val="2EF683CC"/>
    <w:rsid w:val="2F7470F0"/>
    <w:rsid w:val="308630DB"/>
    <w:rsid w:val="310877D6"/>
    <w:rsid w:val="31996818"/>
    <w:rsid w:val="322F25BC"/>
    <w:rsid w:val="3282567F"/>
    <w:rsid w:val="32AF1344"/>
    <w:rsid w:val="337C71E2"/>
    <w:rsid w:val="33ED6206"/>
    <w:rsid w:val="345E6417"/>
    <w:rsid w:val="348A3282"/>
    <w:rsid w:val="35D82F96"/>
    <w:rsid w:val="3601309E"/>
    <w:rsid w:val="373778B4"/>
    <w:rsid w:val="379D2C7F"/>
    <w:rsid w:val="37A458DA"/>
    <w:rsid w:val="37CF580A"/>
    <w:rsid w:val="384E752E"/>
    <w:rsid w:val="39135CA7"/>
    <w:rsid w:val="394C6EB2"/>
    <w:rsid w:val="3A774A34"/>
    <w:rsid w:val="3AE96DA9"/>
    <w:rsid w:val="3BFA02F7"/>
    <w:rsid w:val="3C7D414C"/>
    <w:rsid w:val="3CC309AB"/>
    <w:rsid w:val="3E780D76"/>
    <w:rsid w:val="40F85902"/>
    <w:rsid w:val="42AA28AA"/>
    <w:rsid w:val="43F37E46"/>
    <w:rsid w:val="44123AED"/>
    <w:rsid w:val="44C85855"/>
    <w:rsid w:val="45000F8C"/>
    <w:rsid w:val="45697947"/>
    <w:rsid w:val="47DD19DA"/>
    <w:rsid w:val="48CD242C"/>
    <w:rsid w:val="496B0759"/>
    <w:rsid w:val="4A6B0188"/>
    <w:rsid w:val="4ABB1D38"/>
    <w:rsid w:val="4C1D7892"/>
    <w:rsid w:val="4D5E548A"/>
    <w:rsid w:val="4E3917D8"/>
    <w:rsid w:val="4EB67BBA"/>
    <w:rsid w:val="4EF318AC"/>
    <w:rsid w:val="50225853"/>
    <w:rsid w:val="50D864D3"/>
    <w:rsid w:val="51086967"/>
    <w:rsid w:val="513F2C99"/>
    <w:rsid w:val="516E4782"/>
    <w:rsid w:val="52F952BE"/>
    <w:rsid w:val="53243C8C"/>
    <w:rsid w:val="534A24ED"/>
    <w:rsid w:val="53AF4999"/>
    <w:rsid w:val="55675746"/>
    <w:rsid w:val="556E394C"/>
    <w:rsid w:val="55797C08"/>
    <w:rsid w:val="59F561A9"/>
    <w:rsid w:val="5A6F5206"/>
    <w:rsid w:val="5DAE5A52"/>
    <w:rsid w:val="5E0D0BDF"/>
    <w:rsid w:val="5F253730"/>
    <w:rsid w:val="5F5D78DC"/>
    <w:rsid w:val="601F0EAE"/>
    <w:rsid w:val="602E7188"/>
    <w:rsid w:val="620675AB"/>
    <w:rsid w:val="622B13D1"/>
    <w:rsid w:val="62AC7955"/>
    <w:rsid w:val="63490652"/>
    <w:rsid w:val="64A86918"/>
    <w:rsid w:val="650E0CE2"/>
    <w:rsid w:val="65CD15D6"/>
    <w:rsid w:val="68F93880"/>
    <w:rsid w:val="6951565F"/>
    <w:rsid w:val="69552DD1"/>
    <w:rsid w:val="69CB6804"/>
    <w:rsid w:val="6AFD2D4A"/>
    <w:rsid w:val="6BE256D4"/>
    <w:rsid w:val="6C15171F"/>
    <w:rsid w:val="6E083216"/>
    <w:rsid w:val="6E8A7348"/>
    <w:rsid w:val="6E9256FE"/>
    <w:rsid w:val="6EA70D04"/>
    <w:rsid w:val="6EC5277F"/>
    <w:rsid w:val="6F2B5042"/>
    <w:rsid w:val="711A28E5"/>
    <w:rsid w:val="71482881"/>
    <w:rsid w:val="71D2493E"/>
    <w:rsid w:val="71DB227A"/>
    <w:rsid w:val="723122EE"/>
    <w:rsid w:val="72794FA7"/>
    <w:rsid w:val="730C2F2A"/>
    <w:rsid w:val="739B5F35"/>
    <w:rsid w:val="741A20CB"/>
    <w:rsid w:val="75762924"/>
    <w:rsid w:val="75FC38B9"/>
    <w:rsid w:val="768A5494"/>
    <w:rsid w:val="77854E73"/>
    <w:rsid w:val="797E31CB"/>
    <w:rsid w:val="7A277A18"/>
    <w:rsid w:val="7A9A1A11"/>
    <w:rsid w:val="7B9157EC"/>
    <w:rsid w:val="7BB578CB"/>
    <w:rsid w:val="7C3D28A5"/>
    <w:rsid w:val="7C5B0643"/>
    <w:rsid w:val="7E071097"/>
    <w:rsid w:val="7E463F5C"/>
    <w:rsid w:val="7E611631"/>
    <w:rsid w:val="7E6B05F1"/>
    <w:rsid w:val="7E6B3D8A"/>
    <w:rsid w:val="7F66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99"/>
    <w:pPr>
      <w:jc w:val="left"/>
    </w:pPr>
  </w:style>
  <w:style w:type="paragraph" w:styleId="3">
    <w:name w:val="Body Text Indent"/>
    <w:basedOn w:val="1"/>
    <w:qFormat/>
    <w:uiPriority w:val="0"/>
    <w:pPr>
      <w:ind w:firstLine="600" w:firstLineChars="200"/>
    </w:pPr>
    <w:rPr>
      <w:rFonts w:eastAsia="仿宋_GB2312"/>
      <w:sz w:val="30"/>
      <w:szCs w:val="24"/>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4"/>
    <w:qFormat/>
    <w:uiPriority w:val="0"/>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qFormat/>
    <w:uiPriority w:val="0"/>
    <w:rPr>
      <w:sz w:val="21"/>
      <w:szCs w:val="21"/>
    </w:rPr>
  </w:style>
  <w:style w:type="character" w:customStyle="1" w:styleId="12">
    <w:name w:val="批注文字 字符"/>
    <w:link w:val="2"/>
    <w:qFormat/>
    <w:uiPriority w:val="99"/>
    <w:rPr>
      <w:kern w:val="2"/>
      <w:sz w:val="21"/>
      <w:szCs w:val="22"/>
    </w:rPr>
  </w:style>
  <w:style w:type="character" w:customStyle="1" w:styleId="13">
    <w:name w:val="批注框文本 字符"/>
    <w:link w:val="4"/>
    <w:qFormat/>
    <w:uiPriority w:val="0"/>
    <w:rPr>
      <w:kern w:val="2"/>
      <w:sz w:val="18"/>
      <w:szCs w:val="18"/>
    </w:rPr>
  </w:style>
  <w:style w:type="character" w:customStyle="1" w:styleId="14">
    <w:name w:val="批注主题 字符"/>
    <w:link w:val="7"/>
    <w:qFormat/>
    <w:uiPriority w:val="0"/>
  </w:style>
  <w:style w:type="character" w:customStyle="1" w:styleId="15">
    <w:name w:val="fontstyle01"/>
    <w:qFormat/>
    <w:uiPriority w:val="0"/>
    <w:rPr>
      <w:rFonts w:ascii="黑体" w:hAnsi="宋体" w:eastAsia="黑体" w:cs="黑体"/>
      <w:color w:val="000000"/>
      <w:sz w:val="32"/>
      <w:szCs w:val="32"/>
    </w:rPr>
  </w:style>
  <w:style w:type="paragraph" w:customStyle="1" w:styleId="16">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17">
    <w:name w:val="列出段落1"/>
    <w:basedOn w:val="1"/>
    <w:qFormat/>
    <w:uiPriority w:val="34"/>
    <w:pPr>
      <w:ind w:firstLine="420" w:firstLineChars="200"/>
    </w:pPr>
  </w:style>
  <w:style w:type="paragraph" w:customStyle="1" w:styleId="1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styleId="19">
    <w:name w:val="List Paragraph"/>
    <w:basedOn w:val="1"/>
    <w:qFormat/>
    <w:uiPriority w:val="99"/>
    <w:pPr>
      <w:ind w:firstLine="420" w:firstLineChars="200"/>
    </w:pPr>
  </w:style>
  <w:style w:type="paragraph" w:customStyle="1" w:styleId="20">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1365</Words>
  <Characters>1759</Characters>
  <Lines>14</Lines>
  <Paragraphs>3</Paragraphs>
  <TotalTime>2</TotalTime>
  <ScaleCrop>false</ScaleCrop>
  <LinksUpToDate>false</LinksUpToDate>
  <CharactersWithSpaces>1814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2019-12-27T03:53:00Z</dcterms:created>
  <dc:creator>wee</dc:creator>
  <cp:lastModifiedBy>ysgz</cp:lastModifiedBy>
  <cp:lastPrinted>2024-03-01T14:25:00Z</cp:lastPrinted>
  <dcterms:modified xsi:type="dcterms:W3CDTF">2025-04-14T10:00:57Z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4CBD88FE8F2C44DBAE9F1135C2873110_13</vt:lpwstr>
  </property>
  <property fmtid="{D5CDD505-2E9C-101B-9397-08002B2CF9AE}" pid="4" name="KSOTemplateDocerSaveRecord">
    <vt:lpwstr>eyJoZGlkIjoiNDNiOGM3Y2MyOGFlZjJlMWRhOWY0MTgxYjJkNGQ1NzciLCJ1c2VySWQiOiI0NTA5MTk5NTIifQ==</vt:lpwstr>
  </property>
</Properties>
</file>