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Times New Roman" w:eastAsia="方正小标宋_GBK" w:cs="方正仿宋简体"/>
          <w:sz w:val="32"/>
          <w:szCs w:val="32"/>
        </w:rPr>
      </w:pPr>
      <w:r>
        <w:rPr>
          <w:rFonts w:hint="eastAsia" w:ascii="方正小标宋_GBK" w:hAnsi="Times New Roman" w:eastAsia="方正小标宋_GBK" w:cs="方正仿宋简体"/>
          <w:sz w:val="32"/>
          <w:szCs w:val="32"/>
        </w:rPr>
        <w:t>贵州省建筑用钢筋产品质量监督抽查实施细则</w:t>
      </w:r>
    </w:p>
    <w:p>
      <w:pPr>
        <w:adjustRightInd w:val="0"/>
        <w:snapToGrid w:val="0"/>
        <w:spacing w:line="440" w:lineRule="exact"/>
        <w:jc w:val="center"/>
        <w:rPr>
          <w:rFonts w:eastAsia="黑体"/>
          <w:szCs w:val="21"/>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年版）</w:t>
      </w:r>
    </w:p>
    <w:p>
      <w:pPr>
        <w:adjustRightInd w:val="0"/>
        <w:snapToGrid w:val="0"/>
        <w:spacing w:line="440" w:lineRule="exact"/>
        <w:rPr>
          <w:rFonts w:ascii="Times New Roman" w:hAnsi="Times New Roman" w:eastAsia="黑体" w:cs="Times New Roman"/>
          <w:szCs w:val="21"/>
        </w:rPr>
      </w:pPr>
      <w:r>
        <w:rPr>
          <w:rFonts w:hint="eastAsia" w:ascii="Times New Roman" w:hAnsi="Times New Roman" w:eastAsia="黑体" w:cs="Times New Roman"/>
          <w:szCs w:val="21"/>
        </w:rPr>
        <w:t>1 抽样方法</w:t>
      </w:r>
    </w:p>
    <w:p>
      <w:pPr>
        <w:adjustRightInd w:val="0"/>
        <w:snapToGrid w:val="0"/>
        <w:spacing w:line="440" w:lineRule="exact"/>
        <w:ind w:firstLine="420" w:firstLineChars="200"/>
        <w:rPr>
          <w:szCs w:val="21"/>
        </w:rPr>
      </w:pPr>
      <w:r>
        <w:rPr>
          <w:rFonts w:hint="eastAsia"/>
          <w:szCs w:val="21"/>
        </w:rPr>
        <w:t>以随机抽样的方式在被抽样生产者、销售者的待销产品中抽取。</w:t>
      </w:r>
    </w:p>
    <w:p>
      <w:pPr>
        <w:snapToGrid w:val="0"/>
        <w:spacing w:line="440" w:lineRule="exact"/>
        <w:ind w:firstLine="420" w:firstLineChars="200"/>
        <w:rPr>
          <w:szCs w:val="21"/>
        </w:rPr>
      </w:pPr>
      <w:r>
        <w:rPr>
          <w:rFonts w:hint="eastAsia"/>
          <w:szCs w:val="21"/>
        </w:rPr>
        <w:t>随机数一般可使用随机数表等方法产生。</w:t>
      </w:r>
    </w:p>
    <w:p>
      <w:pPr>
        <w:snapToGrid w:val="0"/>
        <w:spacing w:line="440" w:lineRule="exact"/>
        <w:ind w:firstLine="420" w:firstLineChars="200"/>
        <w:rPr>
          <w:rFonts w:hint="default" w:ascii="Times New Roman" w:hAnsi="Times New Roman" w:cs="Times New Roman"/>
          <w:szCs w:val="21"/>
        </w:rPr>
      </w:pPr>
      <w:r>
        <w:rPr>
          <w:rFonts w:hint="eastAsia" w:ascii="宋体" w:hAnsi="宋体"/>
          <w:szCs w:val="21"/>
        </w:rPr>
        <w:t>对直条钢筋取样时</w:t>
      </w:r>
      <w:r>
        <w:rPr>
          <w:rFonts w:hint="default" w:ascii="Times New Roman" w:hAnsi="Times New Roman" w:cs="Times New Roman"/>
          <w:szCs w:val="21"/>
        </w:rPr>
        <w:t>，在同一批次（同一牌号、同一规格）的产品中抽取1捆，在该捆中抽取5根钢筋，每根钢筋截取的长度为2400mm（d≥28mm的钢筋取样长度为3400mm），逐根顺序编号为1～5，再把每根钢筋分成2支长度为1200mm的样品（d≥28mm的每根钢筋分成2支长度为1700mm的样品），2支样品逐支编号标记，并一一对应（如1-a，1-b），每支样品要保证有完整的表面标志，标记a的5支样品为检验样品，标记b的5支样品为备用样品。</w:t>
      </w:r>
    </w:p>
    <w:p>
      <w:pPr>
        <w:snapToGrid w:val="0"/>
        <w:spacing w:line="440" w:lineRule="exact"/>
        <w:ind w:firstLine="420" w:firstLineChars="200"/>
        <w:rPr>
          <w:rFonts w:ascii="宋体" w:hAnsi="宋体"/>
          <w:szCs w:val="21"/>
        </w:rPr>
      </w:pPr>
      <w:r>
        <w:rPr>
          <w:rFonts w:hint="default" w:ascii="Times New Roman" w:hAnsi="Times New Roman" w:cs="Times New Roman"/>
          <w:szCs w:val="21"/>
        </w:rPr>
        <w:t>对盘卷钢筋取样时，在同一批次（同一牌号、同一规格）的产品中抽取5盘产品，在每盘钢筋上距头或尾至少2000mm处，随机截取1根长度为2400mm的钢筋，逐根顺序编号为1～5，再把每根钢筋分成2支长度为1200mm的样品，2支样品逐支编号标记，并一一对应（如1-a，1-b），每支样品要保证有完整的表面标志。标记a的5支样品为检验样品，标记b的5支样品为备</w:t>
      </w:r>
      <w:r>
        <w:rPr>
          <w:rFonts w:hint="eastAsia" w:ascii="宋体" w:hAnsi="宋体"/>
          <w:szCs w:val="21"/>
        </w:rPr>
        <w:t>用样品。</w:t>
      </w:r>
    </w:p>
    <w:p>
      <w:pPr>
        <w:snapToGrid w:val="0"/>
        <w:spacing w:line="440" w:lineRule="exact"/>
        <w:ind w:firstLine="420" w:firstLineChars="200"/>
        <w:rPr>
          <w:rFonts w:ascii="宋体" w:hAnsi="宋体"/>
          <w:szCs w:val="21"/>
        </w:rPr>
      </w:pPr>
    </w:p>
    <w:p>
      <w:pPr>
        <w:snapToGrid w:val="0"/>
        <w:spacing w:line="440" w:lineRule="exact"/>
        <w:rPr>
          <w:rFonts w:eastAsia="黑体"/>
          <w:szCs w:val="21"/>
        </w:rPr>
      </w:pPr>
      <w:r>
        <w:rPr>
          <w:rFonts w:eastAsia="黑体"/>
          <w:szCs w:val="21"/>
        </w:rPr>
        <w:t>2 检验依据</w:t>
      </w:r>
    </w:p>
    <w:p>
      <w:pPr>
        <w:snapToGrid w:val="0"/>
        <w:spacing w:line="440" w:lineRule="exact"/>
        <w:jc w:val="center"/>
        <w:rPr>
          <w:rFonts w:hint="eastAsia" w:eastAsiaTheme="minorEastAsia"/>
          <w:lang w:eastAsia="zh-CN"/>
        </w:rPr>
      </w:pPr>
      <w:r>
        <w:rPr>
          <w:rFonts w:hint="eastAsia" w:ascii="宋体" w:hAnsi="宋体"/>
          <w:szCs w:val="21"/>
        </w:rPr>
        <w:t xml:space="preserve">表1 </w:t>
      </w:r>
      <w:r>
        <w:t>冷轧</w:t>
      </w:r>
      <w:r>
        <w:rPr>
          <w:spacing w:val="-5"/>
        </w:rPr>
        <w:t>带</w:t>
      </w:r>
      <w:r>
        <w:t>肋钢筋</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2449"/>
        <w:gridCol w:w="2802"/>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Align w:val="center"/>
          </w:tcPr>
          <w:p>
            <w:pPr>
              <w:adjustRightInd w:val="0"/>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5251" w:type="dxa"/>
            <w:gridSpan w:val="2"/>
            <w:vAlign w:val="center"/>
          </w:tcPr>
          <w:p>
            <w:pPr>
              <w:adjustRightInd w:val="0"/>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检验项目</w:t>
            </w:r>
          </w:p>
        </w:tc>
        <w:tc>
          <w:tcPr>
            <w:tcW w:w="2796" w:type="dxa"/>
            <w:vAlign w:val="center"/>
          </w:tcPr>
          <w:p>
            <w:pPr>
              <w:adjustRightInd w:val="0"/>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1</w:t>
            </w:r>
          </w:p>
        </w:tc>
        <w:tc>
          <w:tcPr>
            <w:tcW w:w="2449"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力学性能</w:t>
            </w:r>
          </w:p>
        </w:tc>
        <w:tc>
          <w:tcPr>
            <w:tcW w:w="2802"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规定塑性延伸强度</w:t>
            </w:r>
          </w:p>
        </w:tc>
        <w:tc>
          <w:tcPr>
            <w:tcW w:w="2796"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449"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802"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抗拉强度</w:t>
            </w:r>
          </w:p>
        </w:tc>
        <w:tc>
          <w:tcPr>
            <w:tcW w:w="279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449"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802"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R</w:t>
            </w:r>
            <w:r>
              <w:rPr>
                <w:rFonts w:hint="eastAsia" w:ascii="Times New Roman" w:hAnsi="Times New Roman" w:eastAsia="宋体" w:cs="宋体"/>
                <w:bCs/>
                <w:kern w:val="2"/>
                <w:sz w:val="21"/>
                <w:szCs w:val="21"/>
                <w:vertAlign w:val="subscript"/>
              </w:rPr>
              <w:t>m</w:t>
            </w:r>
            <w:r>
              <w:rPr>
                <w:rFonts w:hint="eastAsia" w:ascii="Times New Roman" w:hAnsi="Times New Roman" w:eastAsia="宋体" w:cs="宋体"/>
                <w:bCs/>
                <w:kern w:val="2"/>
                <w:sz w:val="21"/>
                <w:szCs w:val="21"/>
              </w:rPr>
              <w:t>/R</w:t>
            </w:r>
            <w:r>
              <w:rPr>
                <w:rFonts w:hint="eastAsia" w:ascii="Times New Roman" w:hAnsi="Times New Roman" w:eastAsia="宋体" w:cs="宋体"/>
                <w:bCs/>
                <w:kern w:val="2"/>
                <w:sz w:val="21"/>
                <w:szCs w:val="21"/>
                <w:vertAlign w:val="subscript"/>
              </w:rPr>
              <w:t>p0.2</w:t>
            </w:r>
          </w:p>
        </w:tc>
        <w:tc>
          <w:tcPr>
            <w:tcW w:w="279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449"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802"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断后伸长率</w:t>
            </w:r>
          </w:p>
        </w:tc>
        <w:tc>
          <w:tcPr>
            <w:tcW w:w="279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449"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802"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最大力总延伸率</w:t>
            </w:r>
          </w:p>
        </w:tc>
        <w:tc>
          <w:tcPr>
            <w:tcW w:w="279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2</w:t>
            </w:r>
          </w:p>
        </w:tc>
        <w:tc>
          <w:tcPr>
            <w:tcW w:w="2449"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工艺性能</w:t>
            </w:r>
          </w:p>
        </w:tc>
        <w:tc>
          <w:tcPr>
            <w:tcW w:w="2802"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弯曲试验</w:t>
            </w:r>
          </w:p>
        </w:tc>
        <w:tc>
          <w:tcPr>
            <w:tcW w:w="279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3</w:t>
            </w:r>
          </w:p>
        </w:tc>
        <w:tc>
          <w:tcPr>
            <w:tcW w:w="2449"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尺寸</w:t>
            </w:r>
          </w:p>
        </w:tc>
        <w:tc>
          <w:tcPr>
            <w:tcW w:w="2802"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横肋中点高</w:t>
            </w:r>
          </w:p>
        </w:tc>
        <w:tc>
          <w:tcPr>
            <w:tcW w:w="2796" w:type="dxa"/>
            <w:vMerge w:val="restart"/>
            <w:vAlign w:val="center"/>
          </w:tcPr>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GB/T 13788-2017</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ascii="Times New Roman" w:hAnsi="Times New Roman" w:eastAsia="宋体" w:cs="宋体"/>
                <w:bCs/>
                <w:kern w:val="2"/>
                <w:sz w:val="21"/>
                <w:szCs w:val="21"/>
              </w:rPr>
              <w:fldChar w:fldCharType="begin"/>
            </w:r>
            <w:r>
              <w:rPr>
                <w:rFonts w:ascii="Times New Roman" w:hAnsi="Times New Roman" w:eastAsia="宋体" w:cs="宋体"/>
                <w:bCs/>
                <w:kern w:val="2"/>
                <w:sz w:val="21"/>
                <w:szCs w:val="21"/>
              </w:rPr>
              <w:instrText xml:space="preserve"> HYPERLINK "javascript:showsubpage('eyJmaWxlbmFtZSI6IkdCIDEzNzg4LTIwMjQg5Ya36L2n5bim6IKL6ZKi562LLnBkZiIsImZpbGVzcmMiOiIvZmlsZXMvU3RhbmRGaWxlcy9TaG91S29uZ0ZpbGUvNkMzMUYyNTMtQTcyOC00RTk2LUEzMzYtNkE4NUM3MkEwQzcyLzIwMjQwODIyMTQzOTI2ODE0MDczNS5wZGYifQ==')" </w:instrText>
            </w:r>
            <w:r>
              <w:rPr>
                <w:rFonts w:ascii="Times New Roman" w:hAnsi="Times New Roman" w:eastAsia="宋体" w:cs="宋体"/>
                <w:bCs/>
                <w:kern w:val="2"/>
                <w:sz w:val="21"/>
                <w:szCs w:val="21"/>
              </w:rPr>
              <w:fldChar w:fldCharType="separate"/>
            </w:r>
            <w:r>
              <w:rPr>
                <w:rFonts w:ascii="Times New Roman" w:hAnsi="Times New Roman" w:eastAsia="宋体" w:cs="宋体"/>
                <w:bCs/>
                <w:kern w:val="2"/>
                <w:sz w:val="21"/>
                <w:szCs w:val="21"/>
              </w:rPr>
              <w:t>GB 13788-2024</w:t>
            </w:r>
            <w:r>
              <w:rPr>
                <w:rFonts w:ascii="Times New Roman" w:hAnsi="Times New Roman" w:eastAsia="宋体" w:cs="宋体"/>
                <w:bCs/>
                <w:kern w:val="2"/>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449"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802"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肋间距</w:t>
            </w:r>
          </w:p>
        </w:tc>
        <w:tc>
          <w:tcPr>
            <w:tcW w:w="279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4</w:t>
            </w:r>
          </w:p>
        </w:tc>
        <w:tc>
          <w:tcPr>
            <w:tcW w:w="5251" w:type="dxa"/>
            <w:gridSpan w:val="2"/>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重量偏差</w:t>
            </w:r>
          </w:p>
        </w:tc>
        <w:tc>
          <w:tcPr>
            <w:tcW w:w="279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5</w:t>
            </w:r>
          </w:p>
        </w:tc>
        <w:tc>
          <w:tcPr>
            <w:tcW w:w="5251" w:type="dxa"/>
            <w:gridSpan w:val="2"/>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表面标志</w:t>
            </w:r>
          </w:p>
        </w:tc>
        <w:tc>
          <w:tcPr>
            <w:tcW w:w="279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bl>
    <w:p>
      <w:pPr>
        <w:snapToGrid w:val="0"/>
        <w:spacing w:line="44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表</w:t>
      </w:r>
      <w:r>
        <w:rPr>
          <w:rFonts w:hint="default" w:asciiTheme="minorEastAsia" w:hAnsiTheme="minorEastAsia" w:cstheme="minorEastAsia"/>
          <w:szCs w:val="21"/>
          <w:lang w:val="en-US"/>
        </w:rPr>
        <w:t>2</w:t>
      </w:r>
      <w:r>
        <w:rPr>
          <w:rFonts w:hint="eastAsia" w:asciiTheme="minorEastAsia" w:hAnsiTheme="minorEastAsia" w:cstheme="minorEastAsia"/>
          <w:szCs w:val="21"/>
        </w:rPr>
        <w:t xml:space="preserve"> 热轧光圆钢筋</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2536"/>
        <w:gridCol w:w="2684"/>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6" w:type="dxa"/>
            <w:vAlign w:val="center"/>
          </w:tcPr>
          <w:p>
            <w:pPr>
              <w:adjustRightInd w:val="0"/>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5220" w:type="dxa"/>
            <w:gridSpan w:val="2"/>
            <w:vAlign w:val="center"/>
          </w:tcPr>
          <w:p>
            <w:pPr>
              <w:adjustRightInd w:val="0"/>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检验项目</w:t>
            </w:r>
          </w:p>
        </w:tc>
        <w:tc>
          <w:tcPr>
            <w:tcW w:w="2872" w:type="dxa"/>
            <w:vAlign w:val="center"/>
          </w:tcPr>
          <w:p>
            <w:pPr>
              <w:adjustRightInd w:val="0"/>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1</w:t>
            </w:r>
          </w:p>
        </w:tc>
        <w:tc>
          <w:tcPr>
            <w:tcW w:w="2536"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力学性能</w:t>
            </w: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下屈服强度</w:t>
            </w:r>
          </w:p>
        </w:tc>
        <w:tc>
          <w:tcPr>
            <w:tcW w:w="2872"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抗拉强度</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074"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断后伸长率</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最大力总延伸率</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2</w:t>
            </w:r>
          </w:p>
        </w:tc>
        <w:tc>
          <w:tcPr>
            <w:tcW w:w="2536"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工艺性能</w:t>
            </w: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sz w:val="21"/>
                <w:szCs w:val="21"/>
              </w:rPr>
              <w:t>弯曲</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3</w:t>
            </w:r>
          </w:p>
        </w:tc>
        <w:tc>
          <w:tcPr>
            <w:tcW w:w="2536"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化学成分</w:t>
            </w: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C</w:t>
            </w:r>
          </w:p>
        </w:tc>
        <w:tc>
          <w:tcPr>
            <w:tcW w:w="2872"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GB/T 4336-2016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074"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Si</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Mn</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P</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S</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074"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4</w:t>
            </w:r>
          </w:p>
        </w:tc>
        <w:tc>
          <w:tcPr>
            <w:tcW w:w="2536"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尺寸</w:t>
            </w: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sz w:val="21"/>
                <w:szCs w:val="21"/>
              </w:rPr>
              <w:t>每米弯曲度</w:t>
            </w:r>
          </w:p>
        </w:tc>
        <w:tc>
          <w:tcPr>
            <w:tcW w:w="2872" w:type="dxa"/>
            <w:vMerge w:val="restart"/>
            <w:vAlign w:val="center"/>
          </w:tcPr>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GB/T</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1499.1-2017</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w:t>
            </w:r>
            <w:r>
              <w:rPr>
                <w:rFonts w:hint="eastAsia" w:ascii="Times New Roman" w:hAnsi="Times New Roman" w:eastAsia="宋体" w:cs="宋体"/>
                <w:bCs/>
                <w:kern w:val="2"/>
                <w:sz w:val="21"/>
                <w:szCs w:val="21"/>
                <w:lang w:val="en-US" w:eastAsia="zh-CN"/>
              </w:rPr>
              <w:t>.1</w:t>
            </w:r>
            <w:r>
              <w:rPr>
                <w:rFonts w:hint="eastAsia" w:ascii="Times New Roman" w:hAnsi="Times New Roman" w:eastAsia="宋体" w:cs="宋体"/>
                <w:bCs/>
                <w:kern w:val="2"/>
                <w:sz w:val="21"/>
                <w:szCs w:val="21"/>
              </w:rPr>
              <w:t>-20</w:t>
            </w:r>
            <w:r>
              <w:rPr>
                <w:rFonts w:hint="eastAsia" w:ascii="Times New Roman" w:hAnsi="Times New Roman" w:eastAsia="宋体" w:cs="宋体"/>
                <w:bCs/>
                <w:kern w:val="2"/>
                <w:sz w:val="21"/>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8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不圆度</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5</w:t>
            </w:r>
          </w:p>
        </w:tc>
        <w:tc>
          <w:tcPr>
            <w:tcW w:w="5220" w:type="dxa"/>
            <w:gridSpan w:val="2"/>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重量偏差</w:t>
            </w:r>
          </w:p>
        </w:tc>
        <w:tc>
          <w:tcPr>
            <w:tcW w:w="2872"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bl>
    <w:p>
      <w:pPr>
        <w:snapToGrid w:val="0"/>
        <w:spacing w:line="440" w:lineRule="exact"/>
        <w:jc w:val="center"/>
        <w:rPr>
          <w:rFonts w:hint="eastAsia" w:ascii="宋体" w:hAnsi="宋体" w:eastAsia="宋体" w:cs="宋体"/>
          <w:szCs w:val="21"/>
          <w:lang w:eastAsia="zh-CN"/>
        </w:rPr>
      </w:pPr>
      <w:r>
        <w:rPr>
          <w:rFonts w:hint="eastAsia" w:ascii="宋体" w:hAnsi="宋体" w:eastAsia="宋体" w:cs="宋体"/>
          <w:szCs w:val="21"/>
        </w:rPr>
        <w:t>表</w:t>
      </w:r>
      <w:r>
        <w:rPr>
          <w:rFonts w:hint="default" w:ascii="宋体" w:hAnsi="宋体" w:eastAsia="宋体" w:cs="宋体"/>
          <w:szCs w:val="21"/>
          <w:lang w:val="en-US"/>
        </w:rPr>
        <w:t>3</w:t>
      </w:r>
      <w:r>
        <w:rPr>
          <w:rFonts w:hint="eastAsia" w:ascii="宋体" w:hAnsi="宋体" w:eastAsia="宋体" w:cs="宋体"/>
          <w:szCs w:val="21"/>
        </w:rPr>
        <w:t xml:space="preserve"> 热轧带肋钢筋</w:t>
      </w: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2537"/>
        <w:gridCol w:w="2693"/>
        <w:gridCol w:w="2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Align w:val="center"/>
          </w:tcPr>
          <w:p>
            <w:pPr>
              <w:adjustRightInd w:val="0"/>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5232" w:type="dxa"/>
            <w:gridSpan w:val="2"/>
            <w:vAlign w:val="center"/>
          </w:tcPr>
          <w:p>
            <w:pPr>
              <w:adjustRightInd w:val="0"/>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检验项目</w:t>
            </w:r>
          </w:p>
        </w:tc>
        <w:tc>
          <w:tcPr>
            <w:tcW w:w="2867" w:type="dxa"/>
            <w:vAlign w:val="center"/>
          </w:tcPr>
          <w:p>
            <w:pPr>
              <w:adjustRightInd w:val="0"/>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1</w:t>
            </w:r>
          </w:p>
        </w:tc>
        <w:tc>
          <w:tcPr>
            <w:tcW w:w="2538"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力学性能</w:t>
            </w: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下屈服强度</w:t>
            </w:r>
          </w:p>
        </w:tc>
        <w:tc>
          <w:tcPr>
            <w:tcW w:w="2867"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GB/T 28900-2022</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GB/T</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1499.2-2018</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w:t>
            </w:r>
            <w:r>
              <w:rPr>
                <w:rFonts w:hint="eastAsia" w:ascii="Times New Roman" w:hAnsi="Times New Roman" w:eastAsia="宋体" w:cs="宋体"/>
                <w:bCs/>
                <w:kern w:val="2"/>
                <w:sz w:val="21"/>
                <w:szCs w:val="21"/>
                <w:lang w:val="en-US" w:eastAsia="zh-CN"/>
              </w:rPr>
              <w:t>.2</w:t>
            </w:r>
            <w:r>
              <w:rPr>
                <w:rFonts w:hint="eastAsia" w:ascii="Times New Roman" w:hAnsi="Times New Roman" w:eastAsia="宋体" w:cs="宋体"/>
                <w:bCs/>
                <w:kern w:val="2"/>
                <w:sz w:val="21"/>
                <w:szCs w:val="21"/>
              </w:rPr>
              <w:t>-20</w:t>
            </w:r>
            <w:r>
              <w:rPr>
                <w:rFonts w:hint="eastAsia" w:ascii="Times New Roman" w:hAnsi="Times New Roman" w:eastAsia="宋体" w:cs="宋体"/>
                <w:bCs/>
                <w:kern w:val="2"/>
                <w:sz w:val="21"/>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抗拉强度</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断后伸长率</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最大力总延伸率*</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实测抗拉强度与实测屈服强度之比*</w:t>
            </w:r>
          </w:p>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R</w:t>
            </w:r>
            <w:r>
              <w:rPr>
                <w:rFonts w:hint="eastAsia" w:ascii="Times New Roman" w:hAnsi="Times New Roman" w:eastAsia="宋体" w:cs="宋体"/>
                <w:bCs/>
                <w:kern w:val="2"/>
                <w:sz w:val="21"/>
                <w:szCs w:val="21"/>
                <w:vertAlign w:val="superscript"/>
              </w:rPr>
              <w:t>0</w:t>
            </w:r>
            <w:r>
              <w:rPr>
                <w:rFonts w:hint="eastAsia" w:ascii="Times New Roman" w:hAnsi="Times New Roman" w:eastAsia="宋体" w:cs="宋体"/>
                <w:bCs/>
                <w:kern w:val="2"/>
                <w:sz w:val="21"/>
                <w:szCs w:val="21"/>
                <w:vertAlign w:val="subscript"/>
              </w:rPr>
              <w:t>m</w:t>
            </w:r>
            <w:r>
              <w:rPr>
                <w:rFonts w:hint="eastAsia" w:ascii="Times New Roman" w:hAnsi="Times New Roman" w:eastAsia="宋体" w:cs="宋体"/>
                <w:bCs/>
                <w:kern w:val="2"/>
                <w:sz w:val="21"/>
                <w:szCs w:val="21"/>
              </w:rPr>
              <w:t>/R</w:t>
            </w:r>
            <w:r>
              <w:rPr>
                <w:rFonts w:hint="eastAsia" w:ascii="Times New Roman" w:hAnsi="Times New Roman" w:eastAsia="宋体" w:cs="宋体"/>
                <w:bCs/>
                <w:kern w:val="2"/>
                <w:sz w:val="21"/>
                <w:szCs w:val="21"/>
                <w:vertAlign w:val="superscript"/>
              </w:rPr>
              <w:t>0</w:t>
            </w:r>
            <w:r>
              <w:rPr>
                <w:rFonts w:hint="eastAsia" w:ascii="Times New Roman" w:hAnsi="Times New Roman" w:eastAsia="宋体" w:cs="宋体"/>
                <w:bCs/>
                <w:kern w:val="2"/>
                <w:sz w:val="21"/>
                <w:szCs w:val="21"/>
                <w:vertAlign w:val="subscript"/>
              </w:rPr>
              <w:t>eL</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实测屈服强度与屈服强度特征值之比*</w:t>
            </w:r>
          </w:p>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R</w:t>
            </w:r>
            <w:r>
              <w:rPr>
                <w:rFonts w:hint="eastAsia" w:ascii="Times New Roman" w:hAnsi="Times New Roman" w:eastAsia="宋体" w:cs="宋体"/>
                <w:bCs/>
                <w:kern w:val="2"/>
                <w:sz w:val="21"/>
                <w:szCs w:val="21"/>
                <w:vertAlign w:val="superscript"/>
              </w:rPr>
              <w:t>0</w:t>
            </w:r>
            <w:r>
              <w:rPr>
                <w:rFonts w:hint="eastAsia" w:ascii="Times New Roman" w:hAnsi="Times New Roman" w:eastAsia="宋体" w:cs="宋体"/>
                <w:bCs/>
                <w:kern w:val="2"/>
                <w:sz w:val="21"/>
                <w:szCs w:val="21"/>
                <w:vertAlign w:val="subscript"/>
              </w:rPr>
              <w:t>eL</w:t>
            </w:r>
            <w:r>
              <w:rPr>
                <w:rFonts w:hint="eastAsia" w:ascii="Times New Roman" w:hAnsi="Times New Roman" w:eastAsia="宋体" w:cs="宋体"/>
                <w:bCs/>
                <w:kern w:val="2"/>
                <w:sz w:val="21"/>
                <w:szCs w:val="21"/>
              </w:rPr>
              <w:t>/R</w:t>
            </w:r>
            <w:r>
              <w:rPr>
                <w:rFonts w:hint="eastAsia" w:ascii="Times New Roman" w:hAnsi="Times New Roman" w:eastAsia="宋体" w:cs="宋体"/>
                <w:bCs/>
                <w:kern w:val="2"/>
                <w:sz w:val="21"/>
                <w:szCs w:val="21"/>
                <w:vertAlign w:val="subscript"/>
              </w:rPr>
              <w:t>eL</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2</w:t>
            </w:r>
          </w:p>
        </w:tc>
        <w:tc>
          <w:tcPr>
            <w:tcW w:w="2538"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工艺性能</w:t>
            </w: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弯曲性能</w:t>
            </w:r>
          </w:p>
        </w:tc>
        <w:tc>
          <w:tcPr>
            <w:tcW w:w="2867"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GB/T 28900-2022</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GB/T</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1499.2-2018</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w:t>
            </w:r>
            <w:r>
              <w:rPr>
                <w:rFonts w:hint="eastAsia" w:ascii="Times New Roman" w:hAnsi="Times New Roman" w:eastAsia="宋体" w:cs="宋体"/>
                <w:bCs/>
                <w:kern w:val="2"/>
                <w:sz w:val="21"/>
                <w:szCs w:val="21"/>
                <w:lang w:val="en-US" w:eastAsia="zh-CN"/>
              </w:rPr>
              <w:t>.2</w:t>
            </w:r>
            <w:r>
              <w:rPr>
                <w:rFonts w:hint="eastAsia" w:ascii="Times New Roman" w:hAnsi="Times New Roman" w:eastAsia="宋体" w:cs="宋体"/>
                <w:bCs/>
                <w:kern w:val="2"/>
                <w:sz w:val="21"/>
                <w:szCs w:val="21"/>
              </w:rPr>
              <w:t>-20</w:t>
            </w:r>
            <w:r>
              <w:rPr>
                <w:rFonts w:hint="eastAsia" w:ascii="Times New Roman" w:hAnsi="Times New Roman" w:eastAsia="宋体" w:cs="宋体"/>
                <w:bCs/>
                <w:kern w:val="2"/>
                <w:sz w:val="21"/>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反向弯曲性能*</w:t>
            </w:r>
          </w:p>
        </w:tc>
        <w:tc>
          <w:tcPr>
            <w:tcW w:w="2867"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GB/T 28900-2022</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GB/T</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1499.2-2018</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w:t>
            </w:r>
            <w:r>
              <w:rPr>
                <w:rFonts w:hint="eastAsia" w:ascii="Times New Roman" w:hAnsi="Times New Roman" w:eastAsia="宋体" w:cs="宋体"/>
                <w:bCs/>
                <w:kern w:val="2"/>
                <w:sz w:val="21"/>
                <w:szCs w:val="21"/>
                <w:lang w:val="en-US" w:eastAsia="zh-CN"/>
              </w:rPr>
              <w:t>.2</w:t>
            </w:r>
            <w:r>
              <w:rPr>
                <w:rFonts w:hint="eastAsia" w:ascii="Times New Roman" w:hAnsi="Times New Roman" w:eastAsia="宋体" w:cs="宋体"/>
                <w:bCs/>
                <w:kern w:val="2"/>
                <w:sz w:val="21"/>
                <w:szCs w:val="21"/>
              </w:rPr>
              <w:t>-20</w:t>
            </w:r>
            <w:r>
              <w:rPr>
                <w:rFonts w:hint="eastAsia" w:ascii="Times New Roman" w:hAnsi="Times New Roman" w:eastAsia="宋体" w:cs="宋体"/>
                <w:bCs/>
                <w:kern w:val="2"/>
                <w:sz w:val="21"/>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3</w:t>
            </w:r>
          </w:p>
        </w:tc>
        <w:tc>
          <w:tcPr>
            <w:tcW w:w="2538" w:type="dxa"/>
            <w:vMerge w:val="restart"/>
            <w:vAlign w:val="center"/>
          </w:tcPr>
          <w:p>
            <w:pPr>
              <w:pStyle w:val="3"/>
              <w:adjustRightInd w:val="0"/>
              <w:snapToGrid w:val="0"/>
              <w:spacing w:line="440" w:lineRule="exact"/>
              <w:ind w:firstLine="840" w:firstLineChars="400"/>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化学成分</w:t>
            </w: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C</w:t>
            </w:r>
          </w:p>
        </w:tc>
        <w:tc>
          <w:tcPr>
            <w:tcW w:w="2867"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GB/T 4336-2016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Si</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Mn</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P</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8"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S</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70"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Ceq</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4</w:t>
            </w:r>
          </w:p>
        </w:tc>
        <w:tc>
          <w:tcPr>
            <w:tcW w:w="2536" w:type="dxa"/>
            <w:vMerge w:val="restart"/>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尺寸</w:t>
            </w: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横肋高</w:t>
            </w:r>
          </w:p>
        </w:tc>
        <w:tc>
          <w:tcPr>
            <w:tcW w:w="2867" w:type="dxa"/>
            <w:vMerge w:val="restart"/>
            <w:vAlign w:val="center"/>
          </w:tcPr>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GB/T 1499.2-2018</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w:t>
            </w:r>
            <w:r>
              <w:rPr>
                <w:rFonts w:hint="eastAsia" w:ascii="Times New Roman" w:hAnsi="Times New Roman" w:eastAsia="宋体" w:cs="宋体"/>
                <w:bCs/>
                <w:kern w:val="2"/>
                <w:sz w:val="21"/>
                <w:szCs w:val="21"/>
                <w:lang w:val="en-US" w:eastAsia="zh-CN"/>
              </w:rPr>
              <w:t>.2</w:t>
            </w:r>
            <w:r>
              <w:rPr>
                <w:rFonts w:hint="eastAsia" w:ascii="Times New Roman" w:hAnsi="Times New Roman" w:eastAsia="宋体" w:cs="宋体"/>
                <w:bCs/>
                <w:kern w:val="2"/>
                <w:sz w:val="21"/>
                <w:szCs w:val="21"/>
              </w:rPr>
              <w:t>-20</w:t>
            </w:r>
            <w:r>
              <w:rPr>
                <w:rFonts w:hint="eastAsia" w:ascii="Times New Roman" w:hAnsi="Times New Roman" w:eastAsia="宋体" w:cs="宋体"/>
                <w:bCs/>
                <w:kern w:val="2"/>
                <w:sz w:val="21"/>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间距</w:t>
            </w:r>
          </w:p>
        </w:tc>
        <w:tc>
          <w:tcPr>
            <w:tcW w:w="2867"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spacing w:line="440" w:lineRule="exact"/>
              <w:jc w:val="center"/>
              <w:rPr>
                <w:rFonts w:ascii="Times New Roman" w:hAnsi="Times New Roman" w:eastAsia="宋体" w:cs="宋体"/>
                <w:bCs/>
                <w:szCs w:val="21"/>
              </w:rPr>
            </w:pPr>
            <w:r>
              <w:rPr>
                <w:szCs w:val="21"/>
              </w:rPr>
              <w:t>横肋末端间隙</w:t>
            </w:r>
          </w:p>
        </w:tc>
        <w:tc>
          <w:tcPr>
            <w:tcW w:w="2867" w:type="dxa"/>
            <w:vMerge w:val="continue"/>
            <w:vAlign w:val="center"/>
          </w:tcPr>
          <w:p>
            <w:pPr>
              <w:spacing w:line="440" w:lineRule="exact"/>
              <w:jc w:val="center"/>
              <w:rPr>
                <w:rFonts w:ascii="Times New Roman" w:hAnsi="Times New Roman"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536" w:type="dxa"/>
            <w:vMerge w:val="continue"/>
            <w:vAlign w:val="center"/>
          </w:tcPr>
          <w:p>
            <w:pPr>
              <w:pStyle w:val="3"/>
              <w:adjustRightInd w:val="0"/>
              <w:snapToGrid w:val="0"/>
              <w:spacing w:line="440" w:lineRule="exact"/>
              <w:jc w:val="center"/>
              <w:rPr>
                <w:rFonts w:ascii="Times New Roman" w:hAnsi="Times New Roman" w:eastAsia="宋体" w:cs="宋体"/>
                <w:bCs/>
                <w:kern w:val="2"/>
                <w:sz w:val="21"/>
                <w:szCs w:val="21"/>
              </w:rPr>
            </w:pPr>
          </w:p>
        </w:tc>
        <w:tc>
          <w:tcPr>
            <w:tcW w:w="2694" w:type="dxa"/>
            <w:vAlign w:val="center"/>
          </w:tcPr>
          <w:p>
            <w:pPr>
              <w:spacing w:line="440" w:lineRule="exact"/>
              <w:jc w:val="center"/>
              <w:rPr>
                <w:rFonts w:ascii="Times New Roman" w:hAnsi="Times New Roman" w:eastAsia="宋体" w:cs="宋体"/>
                <w:bCs/>
                <w:szCs w:val="21"/>
              </w:rPr>
            </w:pPr>
            <w:r>
              <w:rPr>
                <w:szCs w:val="21"/>
              </w:rPr>
              <w:t>每米弯曲度</w:t>
            </w:r>
          </w:p>
        </w:tc>
        <w:tc>
          <w:tcPr>
            <w:tcW w:w="2867" w:type="dxa"/>
            <w:vMerge w:val="continue"/>
            <w:vAlign w:val="center"/>
          </w:tcPr>
          <w:p>
            <w:pPr>
              <w:spacing w:line="440" w:lineRule="exact"/>
              <w:jc w:val="center"/>
              <w:rPr>
                <w:rFonts w:ascii="Times New Roman" w:hAnsi="Times New Roman"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5</w:t>
            </w:r>
          </w:p>
        </w:tc>
        <w:tc>
          <w:tcPr>
            <w:tcW w:w="5230" w:type="dxa"/>
            <w:gridSpan w:val="2"/>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重量偏差</w:t>
            </w:r>
          </w:p>
        </w:tc>
        <w:tc>
          <w:tcPr>
            <w:tcW w:w="2867" w:type="dxa"/>
            <w:vAlign w:val="center"/>
          </w:tcPr>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GB/T 1499.2-2018</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w:t>
            </w:r>
            <w:r>
              <w:rPr>
                <w:rFonts w:hint="eastAsia" w:ascii="Times New Roman" w:hAnsi="Times New Roman" w:eastAsia="宋体" w:cs="宋体"/>
                <w:bCs/>
                <w:kern w:val="2"/>
                <w:sz w:val="21"/>
                <w:szCs w:val="21"/>
                <w:lang w:val="en-US" w:eastAsia="zh-CN"/>
              </w:rPr>
              <w:t>.2</w:t>
            </w:r>
            <w:r>
              <w:rPr>
                <w:rFonts w:hint="eastAsia" w:ascii="Times New Roman" w:hAnsi="Times New Roman" w:eastAsia="宋体" w:cs="宋体"/>
                <w:bCs/>
                <w:kern w:val="2"/>
                <w:sz w:val="21"/>
                <w:szCs w:val="21"/>
              </w:rPr>
              <w:t>-20</w:t>
            </w:r>
            <w:r>
              <w:rPr>
                <w:rFonts w:hint="eastAsia" w:ascii="Times New Roman" w:hAnsi="Times New Roman" w:eastAsia="宋体" w:cs="宋体"/>
                <w:bCs/>
                <w:kern w:val="2"/>
                <w:sz w:val="21"/>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70"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6</w:t>
            </w:r>
          </w:p>
        </w:tc>
        <w:tc>
          <w:tcPr>
            <w:tcW w:w="5230" w:type="dxa"/>
            <w:gridSpan w:val="2"/>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金相组织</w:t>
            </w:r>
          </w:p>
        </w:tc>
        <w:tc>
          <w:tcPr>
            <w:tcW w:w="2867" w:type="dxa"/>
            <w:vAlign w:val="center"/>
          </w:tcPr>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GB/T 1499.2-2018</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w:t>
            </w:r>
            <w:r>
              <w:rPr>
                <w:rFonts w:hint="eastAsia" w:ascii="Times New Roman" w:hAnsi="Times New Roman" w:eastAsia="宋体" w:cs="宋体"/>
                <w:bCs/>
                <w:kern w:val="2"/>
                <w:sz w:val="21"/>
                <w:szCs w:val="21"/>
                <w:lang w:val="en-US" w:eastAsia="zh-CN"/>
              </w:rPr>
              <w:t>.2</w:t>
            </w:r>
            <w:r>
              <w:rPr>
                <w:rFonts w:hint="eastAsia" w:ascii="Times New Roman" w:hAnsi="Times New Roman" w:eastAsia="宋体" w:cs="宋体"/>
                <w:bCs/>
                <w:kern w:val="2"/>
                <w:sz w:val="21"/>
                <w:szCs w:val="21"/>
              </w:rPr>
              <w:t>-20</w:t>
            </w:r>
            <w:r>
              <w:rPr>
                <w:rFonts w:hint="eastAsia" w:ascii="Times New Roman" w:hAnsi="Times New Roman" w:eastAsia="宋体" w:cs="宋体"/>
                <w:bCs/>
                <w:kern w:val="2"/>
                <w:sz w:val="21"/>
                <w:szCs w:val="21"/>
                <w:lang w:val="en-US" w:eastAsia="zh-CN"/>
              </w:rPr>
              <w:t>24</w:t>
            </w:r>
          </w:p>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GB/T 13298-2015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070" w:type="dxa"/>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7</w:t>
            </w:r>
          </w:p>
        </w:tc>
        <w:tc>
          <w:tcPr>
            <w:tcW w:w="5230" w:type="dxa"/>
            <w:gridSpan w:val="2"/>
            <w:vAlign w:val="center"/>
          </w:tcPr>
          <w:p>
            <w:pPr>
              <w:pStyle w:val="3"/>
              <w:adjustRightInd w:val="0"/>
              <w:snapToGrid w:val="0"/>
              <w:spacing w:line="440" w:lineRule="exact"/>
              <w:jc w:val="center"/>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表面标志</w:t>
            </w:r>
          </w:p>
        </w:tc>
        <w:tc>
          <w:tcPr>
            <w:tcW w:w="2867" w:type="dxa"/>
            <w:vAlign w:val="center"/>
          </w:tcPr>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GB/T 1499.2-2018</w:t>
            </w:r>
          </w:p>
          <w:p>
            <w:pPr>
              <w:pStyle w:val="3"/>
              <w:adjustRightInd w:val="0"/>
              <w:snapToGrid w:val="0"/>
              <w:spacing w:line="440" w:lineRule="exact"/>
              <w:jc w:val="center"/>
              <w:rPr>
                <w:rFonts w:hint="eastAsia" w:ascii="Times New Roman" w:hAnsi="Times New Roman" w:eastAsia="宋体" w:cs="宋体"/>
                <w:bCs/>
                <w:kern w:val="2"/>
                <w:sz w:val="21"/>
                <w:szCs w:val="21"/>
              </w:rPr>
            </w:pPr>
            <w:r>
              <w:rPr>
                <w:rFonts w:hint="eastAsia" w:ascii="Times New Roman" w:hAnsi="Times New Roman" w:eastAsia="宋体" w:cs="宋体"/>
                <w:bCs/>
                <w:kern w:val="2"/>
                <w:sz w:val="21"/>
                <w:szCs w:val="21"/>
              </w:rPr>
              <w:t>GB</w:t>
            </w:r>
            <w:r>
              <w:rPr>
                <w:rFonts w:hint="eastAsia" w:ascii="Times New Roman" w:hAnsi="Times New Roman" w:eastAsia="宋体" w:cs="宋体"/>
                <w:bCs/>
                <w:kern w:val="2"/>
                <w:sz w:val="21"/>
                <w:szCs w:val="21"/>
                <w:lang w:val="en-US" w:eastAsia="zh-CN"/>
              </w:rPr>
              <w:t xml:space="preserve"> </w:t>
            </w:r>
            <w:r>
              <w:rPr>
                <w:rFonts w:hint="eastAsia" w:ascii="Times New Roman" w:hAnsi="Times New Roman" w:eastAsia="宋体" w:cs="宋体"/>
                <w:bCs/>
                <w:kern w:val="2"/>
                <w:sz w:val="21"/>
                <w:szCs w:val="21"/>
              </w:rPr>
              <w:t>1499</w:t>
            </w:r>
            <w:r>
              <w:rPr>
                <w:rFonts w:hint="eastAsia" w:ascii="Times New Roman" w:hAnsi="Times New Roman" w:eastAsia="宋体" w:cs="宋体"/>
                <w:bCs/>
                <w:kern w:val="2"/>
                <w:sz w:val="21"/>
                <w:szCs w:val="21"/>
                <w:lang w:val="en-US" w:eastAsia="zh-CN"/>
              </w:rPr>
              <w:t>.2</w:t>
            </w:r>
            <w:r>
              <w:rPr>
                <w:rFonts w:hint="eastAsia" w:ascii="Times New Roman" w:hAnsi="Times New Roman" w:eastAsia="宋体" w:cs="宋体"/>
                <w:bCs/>
                <w:kern w:val="2"/>
                <w:sz w:val="21"/>
                <w:szCs w:val="21"/>
              </w:rPr>
              <w:t>-20</w:t>
            </w:r>
            <w:r>
              <w:rPr>
                <w:rFonts w:hint="eastAsia" w:ascii="Times New Roman" w:hAnsi="Times New Roman" w:eastAsia="宋体" w:cs="宋体"/>
                <w:bCs/>
                <w:kern w:val="2"/>
                <w:sz w:val="21"/>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9167" w:type="dxa"/>
            <w:gridSpan w:val="4"/>
            <w:vAlign w:val="center"/>
          </w:tcPr>
          <w:p>
            <w:pPr>
              <w:pStyle w:val="3"/>
              <w:adjustRightInd w:val="0"/>
              <w:snapToGrid w:val="0"/>
              <w:spacing w:line="440" w:lineRule="exact"/>
              <w:ind w:left="420" w:hanging="420" w:hangingChars="200"/>
              <w:jc w:val="left"/>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*：最大力总延伸率、实测抗拉强度与实测屈服强度之比、实测屈服强度与屈服强度特征值之比、</w:t>
            </w:r>
          </w:p>
          <w:p>
            <w:pPr>
              <w:pStyle w:val="3"/>
              <w:adjustRightInd w:val="0"/>
              <w:snapToGrid w:val="0"/>
              <w:spacing w:line="440" w:lineRule="exact"/>
              <w:ind w:left="420" w:leftChars="200"/>
              <w:jc w:val="left"/>
              <w:rPr>
                <w:rFonts w:ascii="Times New Roman" w:hAnsi="Times New Roman" w:eastAsia="宋体" w:cs="宋体"/>
                <w:bCs/>
                <w:kern w:val="2"/>
                <w:sz w:val="21"/>
                <w:szCs w:val="21"/>
              </w:rPr>
            </w:pPr>
            <w:r>
              <w:rPr>
                <w:rFonts w:hint="eastAsia" w:ascii="Times New Roman" w:hAnsi="Times New Roman" w:eastAsia="宋体" w:cs="宋体"/>
                <w:bCs/>
                <w:kern w:val="2"/>
                <w:sz w:val="21"/>
                <w:szCs w:val="21"/>
              </w:rPr>
              <w:t>反向弯曲性能检验适用于抗震钢筋，抗震钢筋不检断后伸长率、弯曲性能。</w:t>
            </w:r>
          </w:p>
        </w:tc>
      </w:tr>
    </w:tbl>
    <w:p>
      <w:pPr>
        <w:snapToGrid w:val="0"/>
        <w:spacing w:line="440" w:lineRule="exact"/>
        <w:jc w:val="center"/>
        <w:rPr>
          <w:rFonts w:hint="eastAsia" w:ascii="宋体" w:hAnsi="宋体" w:eastAsia="宋体" w:cs="宋体"/>
          <w:szCs w:val="21"/>
        </w:rPr>
      </w:pPr>
      <w:bookmarkStart w:id="0" w:name="_Hlk28257335"/>
      <w:r>
        <w:rPr>
          <w:rFonts w:hint="eastAsia" w:ascii="宋体" w:hAnsi="宋体" w:eastAsia="宋体" w:cs="宋体"/>
          <w:szCs w:val="21"/>
        </w:rPr>
        <w:br w:type="page"/>
      </w:r>
    </w:p>
    <w:p>
      <w:pPr>
        <w:adjustRightInd w:val="0"/>
        <w:snapToGrid w:val="0"/>
        <w:spacing w:line="440" w:lineRule="exact"/>
        <w:ind w:firstLine="420" w:firstLineChars="200"/>
        <w:rPr>
          <w:szCs w:val="21"/>
        </w:rPr>
      </w:pPr>
      <w:r>
        <w:rPr>
          <w:rFonts w:hint="eastAsia"/>
          <w:szCs w:val="21"/>
        </w:rPr>
        <w:t>执行企业标准、团体标准、地方标准的产品，检验项目参照上述内容执行。</w:t>
      </w:r>
    </w:p>
    <w:p>
      <w:pPr>
        <w:adjustRightInd w:val="0"/>
        <w:snapToGrid w:val="0"/>
        <w:spacing w:line="440" w:lineRule="exact"/>
        <w:ind w:firstLine="420" w:firstLineChars="200"/>
        <w:rPr>
          <w:szCs w:val="21"/>
        </w:rPr>
      </w:pPr>
      <w:r>
        <w:rPr>
          <w:rFonts w:hint="eastAsia"/>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szCs w:val="21"/>
        </w:rPr>
      </w:pPr>
    </w:p>
    <w:p>
      <w:pPr>
        <w:adjustRightInd w:val="0"/>
        <w:snapToGrid w:val="0"/>
        <w:spacing w:line="440" w:lineRule="exact"/>
        <w:rPr>
          <w:rFonts w:ascii="Times New Roman" w:hAnsi="Times New Roman" w:eastAsia="黑体" w:cs="Times New Roman"/>
          <w:szCs w:val="21"/>
        </w:rPr>
      </w:pPr>
      <w:r>
        <w:rPr>
          <w:rFonts w:hint="eastAsia" w:ascii="Times New Roman" w:hAnsi="Times New Roman" w:eastAsia="黑体" w:cs="Times New Roman"/>
          <w:szCs w:val="21"/>
        </w:rPr>
        <w:t>3 判定规则</w:t>
      </w:r>
    </w:p>
    <w:p>
      <w:pPr>
        <w:adjustRightInd w:val="0"/>
        <w:snapToGrid w:val="0"/>
        <w:spacing w:line="440" w:lineRule="exact"/>
        <w:rPr>
          <w:rFonts w:ascii="Times New Roman" w:hAnsi="Times New Roman" w:eastAsia="宋体" w:cs="Times New Roman"/>
          <w:szCs w:val="21"/>
        </w:rPr>
      </w:pPr>
      <w:r>
        <w:rPr>
          <w:rFonts w:hint="eastAsia" w:ascii="Times New Roman" w:hAnsi="Times New Roman" w:eastAsia="宋体" w:cs="Times New Roman"/>
          <w:szCs w:val="21"/>
        </w:rPr>
        <w:t>3.1依据标准</w:t>
      </w:r>
    </w:p>
    <w:p>
      <w:pPr>
        <w:adjustRightInd w:val="0"/>
        <w:snapToGrid w:val="0"/>
        <w:spacing w:line="440" w:lineRule="exact"/>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GB/T 13788-2017  冷轧带肋钢筋</w:t>
      </w:r>
    </w:p>
    <w:p>
      <w:pPr>
        <w:adjustRightInd w:val="0"/>
        <w:snapToGrid w:val="0"/>
        <w:spacing w:line="440" w:lineRule="exact"/>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GB 13788-20</w:t>
      </w:r>
      <w:r>
        <w:rPr>
          <w:rFonts w:hint="eastAsia" w:ascii="Times New Roman" w:hAnsi="Times New Roman" w:eastAsia="宋体" w:cs="Times New Roman"/>
          <w:szCs w:val="21"/>
          <w:lang w:val="en-US" w:eastAsia="zh-CN"/>
        </w:rPr>
        <w:t>24</w:t>
      </w:r>
      <w:r>
        <w:rPr>
          <w:rFonts w:hint="eastAsia" w:ascii="Times New Roman" w:hAnsi="Times New Roman" w:eastAsia="宋体" w:cs="Times New Roman"/>
          <w:szCs w:val="21"/>
        </w:rPr>
        <w:t xml:space="preserve">  冷轧带肋钢筋</w:t>
      </w:r>
    </w:p>
    <w:p>
      <w:pPr>
        <w:adjustRightInd w:val="0"/>
        <w:snapToGrid w:val="0"/>
        <w:spacing w:line="440" w:lineRule="exact"/>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GB/T 1499.1-2017  钢筋混凝土用钢 第1部分：热轧光圆钢筋</w:t>
      </w:r>
    </w:p>
    <w:p>
      <w:pPr>
        <w:adjustRightInd w:val="0"/>
        <w:snapToGrid w:val="0"/>
        <w:spacing w:line="440" w:lineRule="exact"/>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GB 1499.1-20</w:t>
      </w:r>
      <w:r>
        <w:rPr>
          <w:rFonts w:hint="eastAsia" w:ascii="Times New Roman" w:hAnsi="Times New Roman" w:eastAsia="宋体" w:cs="Times New Roman"/>
          <w:szCs w:val="21"/>
          <w:lang w:val="en-US" w:eastAsia="zh-CN"/>
        </w:rPr>
        <w:t>24</w:t>
      </w:r>
      <w:r>
        <w:rPr>
          <w:rFonts w:hint="eastAsia" w:ascii="Times New Roman" w:hAnsi="Times New Roman" w:eastAsia="宋体" w:cs="Times New Roman"/>
          <w:szCs w:val="21"/>
        </w:rPr>
        <w:t xml:space="preserve">  钢筋混凝土用钢 第1部分：热轧光圆钢筋</w:t>
      </w:r>
    </w:p>
    <w:p>
      <w:pPr>
        <w:adjustRightInd w:val="0"/>
        <w:snapToGrid w:val="0"/>
        <w:spacing w:line="440" w:lineRule="exact"/>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GB/T 1499.2-2018  钢筋混凝土用钢 第2部分：热轧带肋钢筋</w:t>
      </w:r>
    </w:p>
    <w:p>
      <w:pPr>
        <w:adjustRightInd w:val="0"/>
        <w:snapToGrid w:val="0"/>
        <w:spacing w:line="440" w:lineRule="exact"/>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GB 1499.2-20</w:t>
      </w:r>
      <w:r>
        <w:rPr>
          <w:rFonts w:hint="eastAsia" w:ascii="Times New Roman" w:hAnsi="Times New Roman" w:eastAsia="宋体" w:cs="Times New Roman"/>
          <w:szCs w:val="21"/>
          <w:lang w:val="en-US" w:eastAsia="zh-CN"/>
        </w:rPr>
        <w:t>24</w:t>
      </w:r>
      <w:r>
        <w:rPr>
          <w:rFonts w:hint="eastAsia" w:ascii="Times New Roman" w:hAnsi="Times New Roman" w:eastAsia="宋体" w:cs="Times New Roman"/>
          <w:szCs w:val="21"/>
        </w:rPr>
        <w:t xml:space="preserve">  钢筋混凝土用钢 第2部分：热轧带肋钢筋</w:t>
      </w:r>
    </w:p>
    <w:p>
      <w:pPr>
        <w:adjustRightInd w:val="0"/>
        <w:snapToGrid w:val="0"/>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现行有效的企业标准、团体标准、地方标准及产品明示质量要求</w:t>
      </w:r>
    </w:p>
    <w:p>
      <w:pPr>
        <w:adjustRightInd w:val="0"/>
        <w:snapToGrid w:val="0"/>
        <w:spacing w:line="440" w:lineRule="exact"/>
        <w:rPr>
          <w:rFonts w:ascii="Times New Roman" w:hAnsi="Times New Roman" w:eastAsia="宋体" w:cs="Times New Roman"/>
          <w:szCs w:val="21"/>
        </w:rPr>
      </w:pPr>
      <w:r>
        <w:rPr>
          <w:rFonts w:hint="eastAsia" w:ascii="Times New Roman" w:hAnsi="Times New Roman" w:eastAsia="宋体" w:cs="Times New Roman"/>
          <w:szCs w:val="21"/>
        </w:rPr>
        <w:t>3.2判定原则</w:t>
      </w:r>
    </w:p>
    <w:p>
      <w:pPr>
        <w:adjustRightInd w:val="0"/>
        <w:snapToGrid w:val="0"/>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经检验，检验项目全部合格，</w:t>
      </w:r>
      <w:r>
        <w:rPr>
          <w:rFonts w:hint="eastAsia"/>
          <w:szCs w:val="21"/>
        </w:rPr>
        <w:t>判定为被抽查产品所检项目未发现不合格</w:t>
      </w:r>
      <w:r>
        <w:rPr>
          <w:rFonts w:hint="eastAsia" w:ascii="Times New Roman" w:hAnsi="Times New Roman" w:eastAsia="宋体" w:cs="Times New Roman"/>
          <w:szCs w:val="21"/>
        </w:rPr>
        <w:t>；检验项目中任一项或一项以上不合格，判定为被抽查产品不合格。</w:t>
      </w:r>
    </w:p>
    <w:p>
      <w:pPr>
        <w:adjustRightInd w:val="0"/>
        <w:snapToGrid w:val="0"/>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若被检产品明示的质量要求缺少本细则中检验项目依据的推荐性标准要求时，该项目不参与判定。</w:t>
      </w:r>
    </w:p>
    <w:p>
      <w:pPr>
        <w:spacing w:line="440" w:lineRule="exact"/>
      </w:pPr>
    </w:p>
    <w:p>
      <w:pPr>
        <w:snapToGrid w:val="0"/>
        <w:spacing w:line="440" w:lineRule="exact"/>
        <w:rPr>
          <w:szCs w:val="21"/>
        </w:rPr>
      </w:pPr>
      <w:r>
        <w:rPr>
          <w:rFonts w:hint="eastAsia" w:ascii="黑体" w:hAnsi="黑体" w:eastAsia="黑体" w:cs="黑体"/>
          <w:szCs w:val="21"/>
        </w:rPr>
        <w:t>4 附则</w:t>
      </w:r>
    </w:p>
    <w:p>
      <w:pPr>
        <w:spacing w:line="440" w:lineRule="exact"/>
        <w:ind w:firstLine="420" w:firstLineChars="200"/>
        <w:rPr>
          <w:rFonts w:hint="default" w:ascii="Times New Roman" w:hAnsi="Times New Roman" w:eastAsia="宋体" w:cs="Times New Roman"/>
          <w:szCs w:val="21"/>
        </w:rPr>
      </w:pPr>
      <w:r>
        <w:rPr>
          <w:rFonts w:hint="eastAsia"/>
          <w:szCs w:val="21"/>
        </w:rPr>
        <w:t>本细则代替</w:t>
      </w:r>
      <w:r>
        <w:rPr>
          <w:rFonts w:hint="eastAsia"/>
          <w:color w:val="000000"/>
          <w:szCs w:val="21"/>
        </w:rPr>
        <w:t>《贵州省市场监</w:t>
      </w:r>
      <w:bookmarkStart w:id="1" w:name="_GoBack"/>
      <w:r>
        <w:rPr>
          <w:rFonts w:hint="default" w:ascii="Times New Roman" w:hAnsi="Times New Roman" w:cs="Times New Roman"/>
          <w:color w:val="000000"/>
          <w:szCs w:val="21"/>
        </w:rPr>
        <w:t>管局关于发布2024年版防爆灯具等142种产品贵州省产品质量监督抽查实施细则的公告</w:t>
      </w:r>
      <w:r>
        <w:rPr>
          <w:rFonts w:hint="default" w:ascii="Times New Roman" w:hAnsi="Times New Roman" w:cs="Times New Roman"/>
          <w:color w:val="000000"/>
          <w:szCs w:val="21"/>
        </w:rPr>
        <w:t>》</w:t>
      </w:r>
      <w:r>
        <w:rPr>
          <w:rFonts w:hint="default" w:ascii="Times New Roman" w:hAnsi="Times New Roman" w:cs="Times New Roman"/>
          <w:color w:val="000000"/>
        </w:rPr>
        <w:t>中的</w:t>
      </w:r>
      <w:r>
        <w:rPr>
          <w:rFonts w:hint="default" w:ascii="Times New Roman" w:hAnsi="Times New Roman" w:eastAsia="宋体" w:cs="Times New Roman"/>
          <w:szCs w:val="21"/>
        </w:rPr>
        <w:t>《贵州省建筑用钢筋产品质量监督抽查实施细则（202</w:t>
      </w:r>
      <w:r>
        <w:rPr>
          <w:rFonts w:hint="default" w:ascii="Times New Roman" w:hAnsi="Times New Roman" w:eastAsia="宋体" w:cs="Times New Roman"/>
          <w:szCs w:val="21"/>
          <w:lang w:val="en-US" w:eastAsia="zh-CN"/>
        </w:rPr>
        <w:t>4</w:t>
      </w:r>
      <w:r>
        <w:rPr>
          <w:rFonts w:hint="default" w:ascii="Times New Roman" w:hAnsi="Times New Roman" w:eastAsia="宋体" w:cs="Times New Roman"/>
          <w:szCs w:val="21"/>
        </w:rPr>
        <w:t>年版</w:t>
      </w:r>
      <w:bookmarkEnd w:id="1"/>
      <w:r>
        <w:rPr>
          <w:rFonts w:hint="default" w:ascii="Times New Roman" w:hAnsi="Times New Roman" w:eastAsia="宋体" w:cs="Times New Roman"/>
          <w:szCs w:val="21"/>
        </w:rPr>
        <w:t>）》。</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382C359E"/>
    <w:rsid w:val="00653AB6"/>
    <w:rsid w:val="00AE2080"/>
    <w:rsid w:val="02836494"/>
    <w:rsid w:val="0D9452DD"/>
    <w:rsid w:val="0E1277B4"/>
    <w:rsid w:val="0EAE6EA0"/>
    <w:rsid w:val="12CB530A"/>
    <w:rsid w:val="18D005F3"/>
    <w:rsid w:val="1AD31DC2"/>
    <w:rsid w:val="1C1067D3"/>
    <w:rsid w:val="20380C83"/>
    <w:rsid w:val="254906EB"/>
    <w:rsid w:val="36F4746E"/>
    <w:rsid w:val="382C359E"/>
    <w:rsid w:val="383A4302"/>
    <w:rsid w:val="389B5972"/>
    <w:rsid w:val="38DC29FE"/>
    <w:rsid w:val="39A16D33"/>
    <w:rsid w:val="3A19145C"/>
    <w:rsid w:val="402227A9"/>
    <w:rsid w:val="545F45C6"/>
    <w:rsid w:val="56843502"/>
    <w:rsid w:val="5FFF1403"/>
    <w:rsid w:val="628501BF"/>
    <w:rsid w:val="6CA36463"/>
    <w:rsid w:val="6D610462"/>
    <w:rsid w:val="6FD52EF2"/>
    <w:rsid w:val="73157A0C"/>
    <w:rsid w:val="771FE9A2"/>
    <w:rsid w:val="77964288"/>
    <w:rsid w:val="7CBB5F57"/>
    <w:rsid w:val="B76CFE93"/>
    <w:rsid w:val="DD596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99"/>
    <w:rPr>
      <w:rFonts w:ascii="宋体" w:hAnsi="Courier New"/>
      <w:kern w:val="0"/>
      <w:sz w:val="20"/>
      <w:szCs w:val="20"/>
    </w:rPr>
  </w:style>
  <w:style w:type="character" w:styleId="6">
    <w:name w:val="Hyperlink"/>
    <w:basedOn w:val="5"/>
    <w:qFormat/>
    <w:uiPriority w:val="0"/>
    <w:rPr>
      <w:color w:val="0000FF"/>
      <w:u w:val="single"/>
    </w:rPr>
  </w:style>
  <w:style w:type="paragraph" w:customStyle="1" w:styleId="7">
    <w:name w:val="Table Paragraph"/>
    <w:basedOn w:val="1"/>
    <w:qFormat/>
    <w:uiPriority w:val="1"/>
    <w:rPr>
      <w:rFonts w:ascii="宋体" w:hAnsi="宋体" w:eastAsia="宋体" w:cs="宋体"/>
      <w:lang w:val="zh-CN" w:bidi="zh-CN"/>
    </w:rPr>
  </w:style>
  <w:style w:type="paragraph" w:customStyle="1" w:styleId="8">
    <w:name w:val="Body text|2"/>
    <w:basedOn w:val="1"/>
    <w:qFormat/>
    <w:uiPriority w:val="0"/>
    <w:pPr>
      <w:spacing w:line="355" w:lineRule="auto"/>
      <w:ind w:firstLine="400"/>
    </w:pPr>
    <w:rPr>
      <w:sz w:val="19"/>
      <w:szCs w:val="19"/>
    </w:rPr>
  </w:style>
  <w:style w:type="paragraph" w:customStyle="1" w:styleId="9">
    <w:name w:val="Body text|1"/>
    <w:basedOn w:val="1"/>
    <w:qFormat/>
    <w:uiPriority w:val="0"/>
    <w:pPr>
      <w:spacing w:line="360" w:lineRule="auto"/>
      <w:ind w:firstLine="200"/>
    </w:pPr>
    <w:rPr>
      <w:rFonts w:ascii="宋体" w:hAnsi="宋体" w:eastAsia="宋体" w:cs="宋体"/>
      <w:sz w:val="19"/>
      <w:szCs w:val="19"/>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GTTC</Company>
  <Pages>4</Pages>
  <Words>1477</Words>
  <Characters>1954</Characters>
  <Lines>14</Lines>
  <Paragraphs>4</Paragraphs>
  <TotalTime>4</TotalTime>
  <ScaleCrop>false</ScaleCrop>
  <LinksUpToDate>false</LinksUpToDate>
  <CharactersWithSpaces>2009</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2020-06-04T07:40:00Z</dcterms:created>
  <dc:creator>青鸟</dc:creator>
  <cp:lastModifiedBy>ysgz</cp:lastModifiedBy>
  <dcterms:modified xsi:type="dcterms:W3CDTF">2025-04-11T17:53:13Z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3703896086EB41749F32A994AF95C8B3_13</vt:lpwstr>
  </property>
  <property fmtid="{D5CDD505-2E9C-101B-9397-08002B2CF9AE}" pid="4" name="KSOSaveFontToCloudKey">
    <vt:lpwstr>425104523_cloud</vt:lpwstr>
  </property>
  <property fmtid="{D5CDD505-2E9C-101B-9397-08002B2CF9AE}" pid="5" name="KSOTemplateDocerSaveRecord">
    <vt:lpwstr>eyJoZGlkIjoiYmFhNGU0ZTc4M2RlYmEzMjhkYTljYTFhNDE0M2FkZmIiLCJ1c2VySWQiOiI0MjUxMDQ1MjMifQ==</vt:lpwstr>
  </property>
</Properties>
</file>