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ascii="方正小标宋_GBK" w:hAnsi="方正小标宋_GBK" w:eastAsia="方正小标宋_GBK" w:cs="方正小标宋_GBK"/>
          <w:color w:val="000000"/>
          <w:sz w:val="32"/>
          <w:szCs w:val="32"/>
        </w:rPr>
        <w:t>贵州省饮水机产品质量监督抽查实施细则</w:t>
      </w:r>
    </w:p>
    <w:p>
      <w:pPr>
        <w:adjustRightInd w:val="0"/>
        <w:snapToGrid w:val="0"/>
        <w:spacing w:line="594" w:lineRule="exact"/>
        <w:jc w:val="center"/>
        <w:rPr>
          <w:rFonts w:eastAsia="方正小标宋简体" w:cs="方正仿宋简体"/>
          <w:color w:val="000000"/>
          <w:sz w:val="32"/>
          <w:szCs w:val="32"/>
        </w:rPr>
      </w:pPr>
      <w:r>
        <w:rPr>
          <w:rFonts w:hint="eastAsia" w:ascii="楷体_GB2312" w:hAnsi="楷体_GB2312" w:eastAsia="楷体_GB2312" w:cs="楷体_GB2312"/>
          <w:color w:val="000000"/>
          <w:sz w:val="32"/>
          <w:szCs w:val="32"/>
        </w:rPr>
        <w:t>（2025年版）</w:t>
      </w:r>
      <w:bookmarkStart w:id="0" w:name="_GoBack"/>
      <w:bookmarkEnd w:id="0"/>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szCs w:val="21"/>
        </w:rPr>
      </w:pPr>
      <w:r>
        <w:rPr>
          <w:color w:val="000000"/>
          <w:szCs w:val="21"/>
        </w:rPr>
        <w:t>每批次产品抽取样品</w:t>
      </w:r>
      <w:r>
        <w:rPr>
          <w:rFonts w:hint="eastAsia"/>
          <w:bCs/>
          <w:szCs w:val="28"/>
        </w:rPr>
        <w:t>2</w:t>
      </w:r>
      <w:r>
        <w:rPr>
          <w:bCs/>
          <w:szCs w:val="28"/>
        </w:rPr>
        <w:t>台</w:t>
      </w:r>
      <w:r>
        <w:rPr>
          <w:color w:val="000000"/>
          <w:szCs w:val="21"/>
        </w:rPr>
        <w:t>，其中</w:t>
      </w:r>
      <w:r>
        <w:rPr>
          <w:rFonts w:hint="eastAsia"/>
          <w:bCs/>
          <w:szCs w:val="28"/>
        </w:rPr>
        <w:t>1</w:t>
      </w:r>
      <w:r>
        <w:rPr>
          <w:color w:val="000000"/>
          <w:szCs w:val="21"/>
        </w:rPr>
        <w:t>台作为检验样品，</w:t>
      </w:r>
      <w:r>
        <w:rPr>
          <w:rFonts w:hint="eastAsia"/>
          <w:bCs/>
          <w:szCs w:val="28"/>
        </w:rPr>
        <w:t>1</w:t>
      </w:r>
      <w:r>
        <w:rPr>
          <w:color w:val="000000"/>
          <w:szCs w:val="21"/>
        </w:rPr>
        <w:t>台作为备用样品。</w:t>
      </w:r>
      <w:r>
        <w:rPr>
          <w:rFonts w:hint="eastAsia"/>
          <w:szCs w:val="21"/>
        </w:rPr>
        <w:t>（如相关产品规范性标准有特殊抽样数量要求按照规范性标准执行）。</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rFonts w:eastAsia="黑体"/>
          <w:color w:val="000000"/>
          <w:szCs w:val="21"/>
        </w:rPr>
      </w:pPr>
      <w:r>
        <w:rPr>
          <w:rFonts w:hint="eastAsia" w:eastAsia="黑体"/>
          <w:color w:val="000000"/>
          <w:szCs w:val="21"/>
        </w:rPr>
        <w:t>表1 饮水机</w:t>
      </w:r>
    </w:p>
    <w:tbl>
      <w:tblPr>
        <w:tblStyle w:val="7"/>
        <w:tblW w:w="8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3828"/>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restart"/>
            <w:noWrap/>
            <w:vAlign w:val="center"/>
          </w:tcPr>
          <w:p>
            <w:pPr>
              <w:spacing w:line="360" w:lineRule="exact"/>
              <w:jc w:val="center"/>
              <w:rPr>
                <w:szCs w:val="18"/>
              </w:rPr>
            </w:pPr>
            <w:r>
              <w:rPr>
                <w:szCs w:val="18"/>
              </w:rPr>
              <w:t>序号</w:t>
            </w:r>
          </w:p>
        </w:tc>
        <w:tc>
          <w:tcPr>
            <w:tcW w:w="3828" w:type="dxa"/>
            <w:vMerge w:val="restart"/>
            <w:tcBorders>
              <w:left w:val="nil"/>
            </w:tcBorders>
            <w:noWrap/>
            <w:vAlign w:val="center"/>
          </w:tcPr>
          <w:p>
            <w:pPr>
              <w:spacing w:line="360" w:lineRule="exact"/>
              <w:jc w:val="center"/>
              <w:rPr>
                <w:szCs w:val="18"/>
              </w:rPr>
            </w:pPr>
            <w:r>
              <w:rPr>
                <w:szCs w:val="18"/>
              </w:rPr>
              <w:t>检验项目</w:t>
            </w:r>
          </w:p>
        </w:tc>
        <w:tc>
          <w:tcPr>
            <w:tcW w:w="3942" w:type="dxa"/>
            <w:vMerge w:val="restart"/>
            <w:tcBorders>
              <w:left w:val="nil"/>
            </w:tcBorders>
            <w:noWrap/>
            <w:vAlign w:val="center"/>
          </w:tcPr>
          <w:p>
            <w:pPr>
              <w:spacing w:line="360" w:lineRule="exact"/>
              <w:jc w:val="center"/>
              <w:rPr>
                <w:szCs w:val="18"/>
              </w:rPr>
            </w:pPr>
            <w:r>
              <w:rPr>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continue"/>
            <w:noWrap/>
            <w:vAlign w:val="center"/>
          </w:tcPr>
          <w:p>
            <w:pPr>
              <w:spacing w:line="360" w:lineRule="exact"/>
              <w:rPr>
                <w:szCs w:val="21"/>
              </w:rPr>
            </w:pPr>
          </w:p>
        </w:tc>
        <w:tc>
          <w:tcPr>
            <w:tcW w:w="3828" w:type="dxa"/>
            <w:vMerge w:val="continue"/>
            <w:tcBorders>
              <w:left w:val="nil"/>
            </w:tcBorders>
            <w:noWrap/>
            <w:vAlign w:val="center"/>
          </w:tcPr>
          <w:p>
            <w:pPr>
              <w:spacing w:line="360" w:lineRule="exact"/>
              <w:rPr>
                <w:szCs w:val="21"/>
              </w:rPr>
            </w:pPr>
          </w:p>
        </w:tc>
        <w:tc>
          <w:tcPr>
            <w:tcW w:w="3942" w:type="dxa"/>
            <w:vMerge w:val="continue"/>
            <w:tcBorders>
              <w:left w:val="nil"/>
            </w:tcBorders>
            <w:noWrap/>
            <w:vAlign w:val="center"/>
          </w:tcPr>
          <w:p>
            <w:pPr>
              <w:spacing w:line="36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jc w:val="center"/>
              <w:rPr>
                <w:color w:val="000000"/>
                <w:szCs w:val="18"/>
              </w:rPr>
            </w:pPr>
            <w:r>
              <w:rPr>
                <w:color w:val="000000"/>
                <w:szCs w:val="18"/>
              </w:rPr>
              <w:t>1</w:t>
            </w:r>
          </w:p>
        </w:tc>
        <w:tc>
          <w:tcPr>
            <w:tcW w:w="3828" w:type="dxa"/>
            <w:tcBorders>
              <w:left w:val="nil"/>
            </w:tcBorders>
            <w:noWrap/>
            <w:vAlign w:val="center"/>
          </w:tcPr>
          <w:p>
            <w:pPr>
              <w:jc w:val="center"/>
              <w:rPr>
                <w:color w:val="000000"/>
                <w:szCs w:val="18"/>
              </w:rPr>
            </w:pPr>
            <w:r>
              <w:rPr>
                <w:rFonts w:hint="eastAsia"/>
                <w:color w:val="000000"/>
                <w:szCs w:val="18"/>
              </w:rPr>
              <w:t>对触及带电部件的保护</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jc w:val="center"/>
              <w:rPr>
                <w:color w:val="000000"/>
                <w:szCs w:val="18"/>
              </w:rPr>
            </w:pPr>
            <w:r>
              <w:rPr>
                <w:color w:val="000000"/>
                <w:szCs w:val="18"/>
              </w:rPr>
              <w:t>2</w:t>
            </w:r>
          </w:p>
        </w:tc>
        <w:tc>
          <w:tcPr>
            <w:tcW w:w="3828" w:type="dxa"/>
            <w:tcBorders>
              <w:left w:val="nil"/>
            </w:tcBorders>
            <w:noWrap/>
            <w:vAlign w:val="center"/>
          </w:tcPr>
          <w:p>
            <w:pPr>
              <w:jc w:val="center"/>
              <w:rPr>
                <w:color w:val="000000"/>
                <w:szCs w:val="18"/>
              </w:rPr>
            </w:pPr>
            <w:r>
              <w:rPr>
                <w:rFonts w:hint="eastAsia"/>
                <w:color w:val="000000"/>
                <w:szCs w:val="18"/>
              </w:rPr>
              <w:t>输入功率和电流</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jc w:val="center"/>
              <w:rPr>
                <w:szCs w:val="18"/>
              </w:rPr>
            </w:pPr>
            <w:r>
              <w:rPr>
                <w:szCs w:val="18"/>
              </w:rPr>
              <w:t>3</w:t>
            </w:r>
          </w:p>
        </w:tc>
        <w:tc>
          <w:tcPr>
            <w:tcW w:w="3828" w:type="dxa"/>
            <w:tcBorders>
              <w:left w:val="nil"/>
            </w:tcBorders>
            <w:noWrap/>
            <w:vAlign w:val="center"/>
          </w:tcPr>
          <w:p>
            <w:pPr>
              <w:jc w:val="center"/>
              <w:rPr>
                <w:szCs w:val="18"/>
              </w:rPr>
            </w:pPr>
            <w:r>
              <w:rPr>
                <w:rFonts w:hint="eastAsia"/>
                <w:color w:val="000000"/>
                <w:szCs w:val="18"/>
              </w:rPr>
              <w:t>发热</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szCs w:val="18"/>
              </w:rPr>
              <w:t>4</w:t>
            </w:r>
          </w:p>
        </w:tc>
        <w:tc>
          <w:tcPr>
            <w:tcW w:w="3828" w:type="dxa"/>
            <w:tcBorders>
              <w:left w:val="nil"/>
            </w:tcBorders>
            <w:noWrap/>
            <w:vAlign w:val="center"/>
          </w:tcPr>
          <w:p>
            <w:pPr>
              <w:snapToGrid w:val="0"/>
              <w:spacing w:line="360" w:lineRule="exact"/>
              <w:jc w:val="center"/>
              <w:rPr>
                <w:bCs/>
                <w:szCs w:val="18"/>
              </w:rPr>
            </w:pPr>
            <w:r>
              <w:rPr>
                <w:rFonts w:hint="eastAsia"/>
                <w:color w:val="000000"/>
                <w:szCs w:val="18"/>
              </w:rPr>
              <w:t>工作温度下泄漏电流和电气强度</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szCs w:val="18"/>
              </w:rPr>
              <w:t>5</w:t>
            </w:r>
          </w:p>
        </w:tc>
        <w:tc>
          <w:tcPr>
            <w:tcW w:w="3828" w:type="dxa"/>
            <w:tcBorders>
              <w:left w:val="nil"/>
            </w:tcBorders>
            <w:noWrap/>
            <w:vAlign w:val="center"/>
          </w:tcPr>
          <w:p>
            <w:pPr>
              <w:spacing w:line="360" w:lineRule="exact"/>
              <w:jc w:val="center"/>
              <w:rPr>
                <w:szCs w:val="18"/>
              </w:rPr>
            </w:pPr>
            <w:r>
              <w:rPr>
                <w:rFonts w:hint="eastAsia"/>
                <w:color w:val="000000"/>
                <w:szCs w:val="18"/>
              </w:rPr>
              <w:t>耐潮湿</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938" w:type="dxa"/>
            <w:noWrap/>
            <w:vAlign w:val="center"/>
          </w:tcPr>
          <w:p>
            <w:pPr>
              <w:spacing w:line="360" w:lineRule="exact"/>
              <w:jc w:val="center"/>
              <w:rPr>
                <w:szCs w:val="18"/>
              </w:rPr>
            </w:pPr>
            <w:r>
              <w:rPr>
                <w:szCs w:val="18"/>
              </w:rPr>
              <w:t>6</w:t>
            </w:r>
          </w:p>
        </w:tc>
        <w:tc>
          <w:tcPr>
            <w:tcW w:w="3828" w:type="dxa"/>
            <w:tcBorders>
              <w:left w:val="nil"/>
            </w:tcBorders>
            <w:noWrap/>
            <w:vAlign w:val="center"/>
          </w:tcPr>
          <w:p>
            <w:pPr>
              <w:spacing w:line="360" w:lineRule="exact"/>
              <w:jc w:val="center"/>
              <w:rPr>
                <w:szCs w:val="18"/>
              </w:rPr>
            </w:pPr>
            <w:r>
              <w:rPr>
                <w:rFonts w:hint="eastAsia"/>
                <w:color w:val="000000"/>
                <w:szCs w:val="18"/>
              </w:rPr>
              <w:t>泄漏电流和电气强度</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938" w:type="dxa"/>
            <w:noWrap/>
            <w:vAlign w:val="center"/>
          </w:tcPr>
          <w:p>
            <w:pPr>
              <w:spacing w:line="360" w:lineRule="exact"/>
              <w:jc w:val="center"/>
              <w:rPr>
                <w:szCs w:val="18"/>
              </w:rPr>
            </w:pPr>
            <w:r>
              <w:rPr>
                <w:szCs w:val="18"/>
              </w:rPr>
              <w:t>7</w:t>
            </w:r>
          </w:p>
        </w:tc>
        <w:tc>
          <w:tcPr>
            <w:tcW w:w="3828" w:type="dxa"/>
            <w:tcBorders>
              <w:left w:val="nil"/>
            </w:tcBorders>
            <w:noWrap/>
            <w:vAlign w:val="center"/>
          </w:tcPr>
          <w:p>
            <w:pPr>
              <w:spacing w:line="360" w:lineRule="exact"/>
              <w:jc w:val="center"/>
              <w:rPr>
                <w:szCs w:val="18"/>
              </w:rPr>
            </w:pPr>
            <w:r>
              <w:rPr>
                <w:rFonts w:hint="eastAsia"/>
                <w:color w:val="000000"/>
                <w:szCs w:val="18"/>
              </w:rPr>
              <w:t>非正常工作（不包括第19.11.4条试验）</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color w:val="000000"/>
                <w:szCs w:val="18"/>
              </w:rPr>
            </w:pPr>
            <w:r>
              <w:rPr>
                <w:color w:val="000000"/>
                <w:szCs w:val="18"/>
              </w:rPr>
              <w:t>8</w:t>
            </w:r>
          </w:p>
        </w:tc>
        <w:tc>
          <w:tcPr>
            <w:tcW w:w="3828" w:type="dxa"/>
            <w:tcBorders>
              <w:left w:val="nil"/>
            </w:tcBorders>
            <w:noWrap/>
            <w:vAlign w:val="center"/>
          </w:tcPr>
          <w:p>
            <w:pPr>
              <w:spacing w:line="360" w:lineRule="exact"/>
              <w:jc w:val="center"/>
              <w:rPr>
                <w:color w:val="000000"/>
                <w:szCs w:val="18"/>
              </w:rPr>
            </w:pPr>
            <w:r>
              <w:rPr>
                <w:color w:val="000000"/>
                <w:szCs w:val="18"/>
              </w:rPr>
              <w:t>稳定性和机械危险</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szCs w:val="18"/>
              </w:rPr>
              <w:t>9</w:t>
            </w:r>
          </w:p>
        </w:tc>
        <w:tc>
          <w:tcPr>
            <w:tcW w:w="3828" w:type="dxa"/>
            <w:tcBorders>
              <w:left w:val="nil"/>
            </w:tcBorders>
            <w:noWrap/>
            <w:vAlign w:val="center"/>
          </w:tcPr>
          <w:p>
            <w:pPr>
              <w:spacing w:line="360" w:lineRule="exact"/>
              <w:jc w:val="center"/>
              <w:rPr>
                <w:szCs w:val="18"/>
              </w:rPr>
            </w:pPr>
            <w:r>
              <w:rPr>
                <w:rFonts w:hint="eastAsia"/>
                <w:color w:val="000000"/>
                <w:szCs w:val="18"/>
              </w:rPr>
              <w:t>机械强度</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szCs w:val="18"/>
              </w:rPr>
              <w:t>10</w:t>
            </w:r>
          </w:p>
        </w:tc>
        <w:tc>
          <w:tcPr>
            <w:tcW w:w="3828" w:type="dxa"/>
            <w:tcBorders>
              <w:left w:val="nil"/>
            </w:tcBorders>
            <w:noWrap/>
            <w:vAlign w:val="center"/>
          </w:tcPr>
          <w:p>
            <w:pPr>
              <w:jc w:val="center"/>
              <w:rPr>
                <w:szCs w:val="18"/>
              </w:rPr>
            </w:pPr>
            <w:r>
              <w:rPr>
                <w:rFonts w:hint="eastAsia"/>
                <w:color w:val="000000"/>
                <w:szCs w:val="18"/>
              </w:rPr>
              <w:t>结构</w:t>
            </w:r>
            <w:r>
              <w:rPr>
                <w:color w:val="000000"/>
                <w:szCs w:val="21"/>
              </w:rPr>
              <w:t>（不包括第22.46条试验）</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38" w:type="dxa"/>
            <w:noWrap/>
            <w:vAlign w:val="center"/>
          </w:tcPr>
          <w:p>
            <w:pPr>
              <w:spacing w:line="360" w:lineRule="exact"/>
              <w:jc w:val="center"/>
              <w:rPr>
                <w:szCs w:val="18"/>
              </w:rPr>
            </w:pPr>
            <w:r>
              <w:rPr>
                <w:szCs w:val="18"/>
              </w:rPr>
              <w:t>11</w:t>
            </w:r>
          </w:p>
        </w:tc>
        <w:tc>
          <w:tcPr>
            <w:tcW w:w="3828" w:type="dxa"/>
            <w:tcBorders>
              <w:left w:val="nil"/>
            </w:tcBorders>
            <w:noWrap/>
            <w:vAlign w:val="center"/>
          </w:tcPr>
          <w:p>
            <w:pPr>
              <w:jc w:val="center"/>
              <w:rPr>
                <w:szCs w:val="18"/>
              </w:rPr>
            </w:pPr>
            <w:r>
              <w:rPr>
                <w:rFonts w:hint="eastAsia"/>
                <w:color w:val="000000"/>
                <w:szCs w:val="18"/>
              </w:rPr>
              <w:t>内部布线</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rFonts w:hint="eastAsia"/>
                <w:szCs w:val="18"/>
              </w:rPr>
              <w:t>1</w:t>
            </w:r>
            <w:r>
              <w:rPr>
                <w:szCs w:val="18"/>
              </w:rPr>
              <w:t>2</w:t>
            </w:r>
          </w:p>
        </w:tc>
        <w:tc>
          <w:tcPr>
            <w:tcW w:w="3828" w:type="dxa"/>
            <w:tcBorders>
              <w:left w:val="nil"/>
            </w:tcBorders>
            <w:noWrap/>
            <w:vAlign w:val="center"/>
          </w:tcPr>
          <w:p>
            <w:pPr>
              <w:jc w:val="center"/>
              <w:rPr>
                <w:szCs w:val="18"/>
              </w:rPr>
            </w:pPr>
            <w:r>
              <w:rPr>
                <w:rFonts w:hint="eastAsia"/>
                <w:color w:val="000000"/>
                <w:szCs w:val="18"/>
              </w:rPr>
              <w:t>电源连接和外部软线</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bCs/>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rFonts w:hint="eastAsia"/>
                <w:szCs w:val="18"/>
              </w:rPr>
              <w:t>1</w:t>
            </w:r>
            <w:r>
              <w:rPr>
                <w:szCs w:val="18"/>
              </w:rPr>
              <w:t>3</w:t>
            </w:r>
          </w:p>
        </w:tc>
        <w:tc>
          <w:tcPr>
            <w:tcW w:w="3828" w:type="dxa"/>
            <w:tcBorders>
              <w:left w:val="nil"/>
            </w:tcBorders>
            <w:noWrap/>
            <w:vAlign w:val="center"/>
          </w:tcPr>
          <w:p>
            <w:pPr>
              <w:jc w:val="center"/>
              <w:rPr>
                <w:bCs/>
                <w:szCs w:val="18"/>
              </w:rPr>
            </w:pPr>
            <w:r>
              <w:rPr>
                <w:rFonts w:hint="eastAsia"/>
                <w:color w:val="000000"/>
                <w:szCs w:val="18"/>
              </w:rPr>
              <w:t>外部导线用接线端子</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bCs/>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rFonts w:hint="eastAsia"/>
                <w:szCs w:val="18"/>
              </w:rPr>
              <w:t>1</w:t>
            </w:r>
            <w:r>
              <w:rPr>
                <w:szCs w:val="18"/>
              </w:rPr>
              <w:t>4</w:t>
            </w:r>
          </w:p>
        </w:tc>
        <w:tc>
          <w:tcPr>
            <w:tcW w:w="3828" w:type="dxa"/>
            <w:tcBorders>
              <w:left w:val="nil"/>
            </w:tcBorders>
            <w:noWrap/>
            <w:vAlign w:val="center"/>
          </w:tcPr>
          <w:p>
            <w:pPr>
              <w:jc w:val="center"/>
              <w:rPr>
                <w:bCs/>
                <w:szCs w:val="18"/>
              </w:rPr>
            </w:pPr>
            <w:r>
              <w:rPr>
                <w:rFonts w:hint="eastAsia"/>
                <w:color w:val="000000"/>
                <w:szCs w:val="18"/>
              </w:rPr>
              <w:t>接地措施</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bCs/>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rFonts w:hint="eastAsia"/>
                <w:szCs w:val="18"/>
              </w:rPr>
              <w:t>1</w:t>
            </w:r>
            <w:r>
              <w:rPr>
                <w:szCs w:val="18"/>
              </w:rPr>
              <w:t>5</w:t>
            </w:r>
          </w:p>
        </w:tc>
        <w:tc>
          <w:tcPr>
            <w:tcW w:w="3828" w:type="dxa"/>
            <w:tcBorders>
              <w:left w:val="nil"/>
            </w:tcBorders>
            <w:noWrap/>
            <w:vAlign w:val="center"/>
          </w:tcPr>
          <w:p>
            <w:pPr>
              <w:jc w:val="center"/>
              <w:rPr>
                <w:bCs/>
                <w:szCs w:val="18"/>
              </w:rPr>
            </w:pPr>
            <w:r>
              <w:rPr>
                <w:rFonts w:hint="eastAsia"/>
                <w:color w:val="000000"/>
                <w:szCs w:val="18"/>
              </w:rPr>
              <w:t>螺钉和连接</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bCs/>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noWrap/>
            <w:vAlign w:val="center"/>
          </w:tcPr>
          <w:p>
            <w:pPr>
              <w:spacing w:line="360" w:lineRule="exact"/>
              <w:jc w:val="center"/>
              <w:rPr>
                <w:szCs w:val="18"/>
              </w:rPr>
            </w:pPr>
            <w:r>
              <w:rPr>
                <w:rFonts w:hint="eastAsia"/>
                <w:szCs w:val="18"/>
              </w:rPr>
              <w:t>1</w:t>
            </w:r>
            <w:r>
              <w:rPr>
                <w:szCs w:val="18"/>
              </w:rPr>
              <w:t>6</w:t>
            </w:r>
          </w:p>
        </w:tc>
        <w:tc>
          <w:tcPr>
            <w:tcW w:w="3828" w:type="dxa"/>
            <w:tcBorders>
              <w:left w:val="nil"/>
            </w:tcBorders>
            <w:noWrap/>
            <w:vAlign w:val="center"/>
          </w:tcPr>
          <w:p>
            <w:pPr>
              <w:jc w:val="center"/>
              <w:rPr>
                <w:bCs/>
                <w:szCs w:val="18"/>
              </w:rPr>
            </w:pPr>
            <w:r>
              <w:rPr>
                <w:rFonts w:hint="eastAsia"/>
                <w:color w:val="000000"/>
                <w:szCs w:val="18"/>
              </w:rPr>
              <w:t>电气间隙、爬电距离和固体绝缘</w:t>
            </w:r>
          </w:p>
        </w:tc>
        <w:tc>
          <w:tcPr>
            <w:tcW w:w="3942" w:type="dxa"/>
            <w:tcBorders>
              <w:left w:val="nil"/>
            </w:tcBorders>
            <w:noWrap/>
            <w:vAlign w:val="center"/>
          </w:tcPr>
          <w:p>
            <w:pPr>
              <w:spacing w:line="300" w:lineRule="exact"/>
              <w:jc w:val="center"/>
              <w:rPr>
                <w:rFonts w:hint="eastAsia"/>
                <w:color w:val="000000"/>
                <w:szCs w:val="18"/>
              </w:rPr>
            </w:pPr>
            <w:r>
              <w:rPr>
                <w:rFonts w:hint="eastAsia"/>
                <w:color w:val="000000"/>
                <w:szCs w:val="18"/>
              </w:rPr>
              <w:t>GB4706.1-2005</w:t>
            </w:r>
          </w:p>
          <w:p>
            <w:pPr>
              <w:spacing w:line="300" w:lineRule="exact"/>
              <w:jc w:val="center"/>
              <w:rPr>
                <w:color w:val="000000"/>
                <w:szCs w:val="18"/>
              </w:rPr>
            </w:pPr>
            <w:r>
              <w:rPr>
                <w:rFonts w:hint="eastAsia"/>
                <w:color w:val="000000"/>
                <w:szCs w:val="21"/>
              </w:rPr>
              <w:t>GB 4706.13-2014</w:t>
            </w:r>
            <w:r>
              <w:rPr>
                <w:rFonts w:hint="eastAsia"/>
                <w:color w:val="000000"/>
                <w:szCs w:val="18"/>
              </w:rPr>
              <w:t xml:space="preserve"> </w:t>
            </w:r>
          </w:p>
          <w:p>
            <w:pPr>
              <w:spacing w:line="300" w:lineRule="exact"/>
              <w:jc w:val="center"/>
              <w:rPr>
                <w:bCs/>
                <w:color w:val="000000"/>
                <w:szCs w:val="18"/>
              </w:rPr>
            </w:pPr>
            <w:r>
              <w:rPr>
                <w:rFonts w:hint="eastAsia"/>
                <w:color w:val="000000"/>
                <w:szCs w:val="18"/>
              </w:rPr>
              <w:t>GB4706.19-2008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708" w:type="dxa"/>
            <w:gridSpan w:val="3"/>
            <w:noWrap/>
            <w:vAlign w:val="center"/>
          </w:tcPr>
          <w:p>
            <w:pPr>
              <w:jc w:val="left"/>
              <w:rPr>
                <w:color w:val="000000"/>
                <w:szCs w:val="18"/>
              </w:rPr>
            </w:pPr>
            <w:r>
              <w:rPr>
                <w:rFonts w:hint="eastAsia"/>
                <w:color w:val="000000"/>
                <w:szCs w:val="18"/>
              </w:rPr>
              <w:t>注：若带有压缩机制冷功能的饮水机需</w:t>
            </w:r>
            <w:r>
              <w:rPr>
                <w:rFonts w:hint="eastAsia"/>
                <w:color w:val="000000"/>
                <w:szCs w:val="18"/>
                <w:lang w:val="en-US" w:eastAsia="zh-CN"/>
              </w:rPr>
              <w:t>依据</w:t>
            </w:r>
            <w:r>
              <w:rPr>
                <w:rFonts w:hint="eastAsia"/>
                <w:color w:val="000000"/>
                <w:szCs w:val="21"/>
              </w:rPr>
              <w:t>GB 4706.13-2014标准的</w:t>
            </w:r>
            <w:r>
              <w:rPr>
                <w:rFonts w:hint="eastAsia"/>
                <w:color w:val="000000"/>
                <w:szCs w:val="21"/>
                <w:lang w:val="en-US" w:eastAsia="zh-CN"/>
              </w:rPr>
              <w:t>相关要求进行试验</w:t>
            </w:r>
            <w:r>
              <w:rPr>
                <w:rFonts w:hint="eastAsia"/>
                <w:color w:val="000000"/>
                <w:szCs w:val="21"/>
              </w:rPr>
              <w:t>。</w:t>
            </w:r>
          </w:p>
        </w:tc>
      </w:tr>
    </w:tbl>
    <w:p/>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pacing w:line="440" w:lineRule="exact"/>
        <w:ind w:firstLine="420" w:firstLineChars="200"/>
        <w:rPr>
          <w:rFonts w:eastAsia="黑体"/>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440" w:lineRule="exact"/>
        <w:rPr>
          <w:rFonts w:eastAsia="黑体"/>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rFonts w:hint="eastAsia"/>
          <w:color w:val="000000"/>
          <w:szCs w:val="21"/>
        </w:rPr>
        <w:t>GB 4706.1-2005</w:t>
      </w:r>
      <w:r>
        <w:rPr>
          <w:rFonts w:hint="eastAsia"/>
          <w:color w:val="000000"/>
          <w:szCs w:val="21"/>
          <w:lang w:val="en-US" w:eastAsia="zh-CN"/>
        </w:rPr>
        <w:t xml:space="preserve">  </w:t>
      </w:r>
      <w:r>
        <w:rPr>
          <w:rFonts w:hint="eastAsia"/>
          <w:color w:val="000000"/>
          <w:szCs w:val="21"/>
        </w:rPr>
        <w:t>家用和类似用途电器的安全 第1部分：通用要求</w:t>
      </w:r>
    </w:p>
    <w:p>
      <w:pPr>
        <w:snapToGrid w:val="0"/>
        <w:spacing w:line="440" w:lineRule="exact"/>
        <w:ind w:firstLine="420" w:firstLineChars="200"/>
        <w:rPr>
          <w:color w:val="000000"/>
          <w:szCs w:val="21"/>
        </w:rPr>
      </w:pPr>
      <w:r>
        <w:rPr>
          <w:rFonts w:hint="eastAsia"/>
          <w:color w:val="000000"/>
          <w:szCs w:val="21"/>
        </w:rPr>
        <w:t xml:space="preserve">GB 4706.13-2014 </w:t>
      </w:r>
      <w:r>
        <w:rPr>
          <w:rFonts w:hint="eastAsia"/>
          <w:color w:val="000000"/>
          <w:szCs w:val="21"/>
          <w:lang w:val="en-US" w:eastAsia="zh-CN"/>
        </w:rPr>
        <w:t xml:space="preserve"> </w:t>
      </w:r>
      <w:r>
        <w:rPr>
          <w:rFonts w:hint="eastAsia"/>
          <w:color w:val="000000"/>
          <w:szCs w:val="21"/>
        </w:rPr>
        <w:t>家用和类似用途电器的安全 制冷器具、冰淇淋机和制冰机的特殊要求</w:t>
      </w:r>
    </w:p>
    <w:p>
      <w:pPr>
        <w:snapToGrid w:val="0"/>
        <w:spacing w:line="440" w:lineRule="exact"/>
        <w:ind w:firstLine="420" w:firstLineChars="200"/>
        <w:rPr>
          <w:color w:val="000000"/>
          <w:szCs w:val="21"/>
        </w:rPr>
      </w:pPr>
      <w:r>
        <w:rPr>
          <w:color w:val="000000"/>
          <w:szCs w:val="21"/>
        </w:rPr>
        <w:t>GB 4</w:t>
      </w:r>
      <w:r>
        <w:rPr>
          <w:rFonts w:hint="eastAsia"/>
          <w:color w:val="000000"/>
          <w:szCs w:val="21"/>
        </w:rPr>
        <w:t>7</w:t>
      </w:r>
      <w:r>
        <w:rPr>
          <w:color w:val="000000"/>
          <w:szCs w:val="21"/>
        </w:rPr>
        <w:t>06.</w:t>
      </w:r>
      <w:r>
        <w:rPr>
          <w:rFonts w:hint="eastAsia"/>
          <w:color w:val="000000"/>
          <w:szCs w:val="21"/>
        </w:rPr>
        <w:t>19</w:t>
      </w:r>
      <w:r>
        <w:rPr>
          <w:color w:val="000000"/>
          <w:szCs w:val="21"/>
        </w:rPr>
        <w:t>-</w:t>
      </w:r>
      <w:r>
        <w:rPr>
          <w:rFonts w:hint="eastAsia"/>
          <w:color w:val="000000"/>
          <w:szCs w:val="21"/>
        </w:rPr>
        <w:t xml:space="preserve">2008  </w:t>
      </w:r>
      <w:r>
        <w:rPr>
          <w:color w:val="000000"/>
          <w:szCs w:val="21"/>
        </w:rPr>
        <w:t xml:space="preserve">家用和类似用途电器的安全 </w:t>
      </w:r>
      <w:r>
        <w:rPr>
          <w:rFonts w:hint="eastAsia"/>
          <w:color w:val="000000"/>
          <w:szCs w:val="21"/>
        </w:rPr>
        <w:t>液体加热器的</w:t>
      </w:r>
      <w:r>
        <w:rPr>
          <w:color w:val="000000"/>
          <w:szCs w:val="21"/>
        </w:rPr>
        <w:t>特殊要求</w:t>
      </w:r>
    </w:p>
    <w:p>
      <w:pPr>
        <w:adjustRightInd w:val="0"/>
        <w:snapToGrid w:val="0"/>
        <w:spacing w:line="440" w:lineRule="exact"/>
        <w:ind w:firstLine="359" w:firstLineChars="171"/>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ind w:firstLine="417" w:firstLineChars="199"/>
        <w:rPr>
          <w:color w:val="000000"/>
          <w:szCs w:val="21"/>
        </w:rPr>
      </w:pP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17" w:firstLineChars="199"/>
        <w:rPr>
          <w:color w:val="000000"/>
          <w:szCs w:val="21"/>
        </w:rPr>
      </w:pPr>
      <w:r>
        <w:rPr>
          <w:rFonts w:hint="eastAsia"/>
          <w:color w:val="000000"/>
          <w:szCs w:val="21"/>
        </w:rPr>
        <w:t>本细则代替《贵州省市场监管局关于发布2024年版车用柴油等110种产品贵州省产品质量监督抽查实施细则的公告》中的</w:t>
      </w:r>
      <w:r>
        <w:rPr>
          <w:color w:val="000000"/>
          <w:szCs w:val="21"/>
        </w:rPr>
        <w:t>《贵州省</w:t>
      </w:r>
      <w:r>
        <w:rPr>
          <w:rFonts w:hint="eastAsia"/>
          <w:color w:val="000000"/>
          <w:szCs w:val="21"/>
        </w:rPr>
        <w:t>饮水机</w:t>
      </w:r>
      <w:r>
        <w:rPr>
          <w:color w:val="000000"/>
          <w:szCs w:val="21"/>
        </w:rPr>
        <w:t>产品质量监督抽查实施细则（</w:t>
      </w:r>
      <w:r>
        <w:rPr>
          <w:rFonts w:hint="eastAsia"/>
          <w:color w:val="000000"/>
          <w:szCs w:val="21"/>
        </w:rPr>
        <w:t>2</w:t>
      </w:r>
      <w:r>
        <w:rPr>
          <w:color w:val="000000"/>
          <w:szCs w:val="21"/>
        </w:rPr>
        <w:t>02</w:t>
      </w:r>
      <w:r>
        <w:rPr>
          <w:rFonts w:hint="eastAsia"/>
          <w:color w:val="000000"/>
          <w:szCs w:val="21"/>
        </w:rPr>
        <w:t>4</w:t>
      </w:r>
      <w:r>
        <w:rPr>
          <w:color w:val="000000"/>
          <w:szCs w:val="21"/>
        </w:rPr>
        <w:t>年版）》。</w:t>
      </w:r>
    </w:p>
    <w:sectPr>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hN2Y1NWVlNTVkMGM3NTM5N2Y5NzAwMzFhN2VkOTYifQ=="/>
  </w:docVars>
  <w:rsids>
    <w:rsidRoot w:val="00097B92"/>
    <w:rsid w:val="0000708C"/>
    <w:rsid w:val="00011464"/>
    <w:rsid w:val="000153A3"/>
    <w:rsid w:val="00030F4B"/>
    <w:rsid w:val="0003584C"/>
    <w:rsid w:val="00045D88"/>
    <w:rsid w:val="000505C5"/>
    <w:rsid w:val="00056174"/>
    <w:rsid w:val="00083F4D"/>
    <w:rsid w:val="00084260"/>
    <w:rsid w:val="00084768"/>
    <w:rsid w:val="00097B92"/>
    <w:rsid w:val="000A0D5A"/>
    <w:rsid w:val="000A47B8"/>
    <w:rsid w:val="000A4AE4"/>
    <w:rsid w:val="000C1460"/>
    <w:rsid w:val="000C3149"/>
    <w:rsid w:val="000D437D"/>
    <w:rsid w:val="000D68B7"/>
    <w:rsid w:val="000E02A5"/>
    <w:rsid w:val="000E0B35"/>
    <w:rsid w:val="00120059"/>
    <w:rsid w:val="00120583"/>
    <w:rsid w:val="00145E27"/>
    <w:rsid w:val="00155A66"/>
    <w:rsid w:val="00160F23"/>
    <w:rsid w:val="00162CD2"/>
    <w:rsid w:val="00164224"/>
    <w:rsid w:val="001642F8"/>
    <w:rsid w:val="001870F3"/>
    <w:rsid w:val="001A5040"/>
    <w:rsid w:val="001C240C"/>
    <w:rsid w:val="001D20D7"/>
    <w:rsid w:val="001D509E"/>
    <w:rsid w:val="001F1D1C"/>
    <w:rsid w:val="001F203A"/>
    <w:rsid w:val="00200422"/>
    <w:rsid w:val="00200890"/>
    <w:rsid w:val="00201011"/>
    <w:rsid w:val="00202823"/>
    <w:rsid w:val="00225897"/>
    <w:rsid w:val="00225D1A"/>
    <w:rsid w:val="00227732"/>
    <w:rsid w:val="00227C2B"/>
    <w:rsid w:val="0023718F"/>
    <w:rsid w:val="002429D7"/>
    <w:rsid w:val="00261BE7"/>
    <w:rsid w:val="00270785"/>
    <w:rsid w:val="00275EC5"/>
    <w:rsid w:val="002B5C3C"/>
    <w:rsid w:val="002C14D1"/>
    <w:rsid w:val="002C7FAC"/>
    <w:rsid w:val="002D2F01"/>
    <w:rsid w:val="002D51F7"/>
    <w:rsid w:val="002D7F8A"/>
    <w:rsid w:val="002F49C4"/>
    <w:rsid w:val="00303F54"/>
    <w:rsid w:val="0031730C"/>
    <w:rsid w:val="00321988"/>
    <w:rsid w:val="00336EF0"/>
    <w:rsid w:val="00354497"/>
    <w:rsid w:val="00356366"/>
    <w:rsid w:val="00362AA1"/>
    <w:rsid w:val="00370640"/>
    <w:rsid w:val="00380B80"/>
    <w:rsid w:val="003B316B"/>
    <w:rsid w:val="003B52BE"/>
    <w:rsid w:val="003D2D06"/>
    <w:rsid w:val="003E0E75"/>
    <w:rsid w:val="003E4306"/>
    <w:rsid w:val="003E60E8"/>
    <w:rsid w:val="003E6E66"/>
    <w:rsid w:val="003F0329"/>
    <w:rsid w:val="003F5717"/>
    <w:rsid w:val="0040693D"/>
    <w:rsid w:val="0041069F"/>
    <w:rsid w:val="0046618A"/>
    <w:rsid w:val="00473951"/>
    <w:rsid w:val="00477753"/>
    <w:rsid w:val="00492C70"/>
    <w:rsid w:val="00497719"/>
    <w:rsid w:val="004B6DF0"/>
    <w:rsid w:val="004D0418"/>
    <w:rsid w:val="004E2349"/>
    <w:rsid w:val="00503696"/>
    <w:rsid w:val="00503F70"/>
    <w:rsid w:val="00524FEE"/>
    <w:rsid w:val="005446D9"/>
    <w:rsid w:val="005466ED"/>
    <w:rsid w:val="0055207B"/>
    <w:rsid w:val="00552479"/>
    <w:rsid w:val="0056485B"/>
    <w:rsid w:val="00566593"/>
    <w:rsid w:val="0056760B"/>
    <w:rsid w:val="0059117A"/>
    <w:rsid w:val="005911B3"/>
    <w:rsid w:val="00593542"/>
    <w:rsid w:val="00593B2A"/>
    <w:rsid w:val="0059446A"/>
    <w:rsid w:val="005A36BE"/>
    <w:rsid w:val="005B1317"/>
    <w:rsid w:val="005B606D"/>
    <w:rsid w:val="005E4687"/>
    <w:rsid w:val="005F0B18"/>
    <w:rsid w:val="005F7E56"/>
    <w:rsid w:val="00601A0B"/>
    <w:rsid w:val="00604012"/>
    <w:rsid w:val="006110F0"/>
    <w:rsid w:val="00621C38"/>
    <w:rsid w:val="006243E0"/>
    <w:rsid w:val="00633949"/>
    <w:rsid w:val="0063507E"/>
    <w:rsid w:val="006472E1"/>
    <w:rsid w:val="0066407B"/>
    <w:rsid w:val="006657F7"/>
    <w:rsid w:val="00682C9B"/>
    <w:rsid w:val="00685BD8"/>
    <w:rsid w:val="006A7768"/>
    <w:rsid w:val="006B3EBF"/>
    <w:rsid w:val="006C5E68"/>
    <w:rsid w:val="006F45E0"/>
    <w:rsid w:val="006F56B3"/>
    <w:rsid w:val="00704A1D"/>
    <w:rsid w:val="00727526"/>
    <w:rsid w:val="007828B4"/>
    <w:rsid w:val="00787E23"/>
    <w:rsid w:val="007923CB"/>
    <w:rsid w:val="007E5157"/>
    <w:rsid w:val="007F0C4E"/>
    <w:rsid w:val="008063F0"/>
    <w:rsid w:val="00831FD4"/>
    <w:rsid w:val="0084418B"/>
    <w:rsid w:val="00862711"/>
    <w:rsid w:val="00864916"/>
    <w:rsid w:val="00876F09"/>
    <w:rsid w:val="00885759"/>
    <w:rsid w:val="008D23C2"/>
    <w:rsid w:val="008D4D84"/>
    <w:rsid w:val="009035BE"/>
    <w:rsid w:val="00914CC5"/>
    <w:rsid w:val="009155CE"/>
    <w:rsid w:val="00915FB4"/>
    <w:rsid w:val="00921CB5"/>
    <w:rsid w:val="00955028"/>
    <w:rsid w:val="00965179"/>
    <w:rsid w:val="00965461"/>
    <w:rsid w:val="0097712D"/>
    <w:rsid w:val="00983E0B"/>
    <w:rsid w:val="009A0087"/>
    <w:rsid w:val="009C5123"/>
    <w:rsid w:val="009D5456"/>
    <w:rsid w:val="009D7E53"/>
    <w:rsid w:val="009F1339"/>
    <w:rsid w:val="00A04420"/>
    <w:rsid w:val="00A04BCD"/>
    <w:rsid w:val="00A05A18"/>
    <w:rsid w:val="00A20E63"/>
    <w:rsid w:val="00A30CE5"/>
    <w:rsid w:val="00A419DA"/>
    <w:rsid w:val="00A42278"/>
    <w:rsid w:val="00A44D8B"/>
    <w:rsid w:val="00A539A9"/>
    <w:rsid w:val="00A70D98"/>
    <w:rsid w:val="00A9463C"/>
    <w:rsid w:val="00A94A6B"/>
    <w:rsid w:val="00AA6595"/>
    <w:rsid w:val="00AD44DB"/>
    <w:rsid w:val="00AD7003"/>
    <w:rsid w:val="00AF22F8"/>
    <w:rsid w:val="00B335F7"/>
    <w:rsid w:val="00B523E5"/>
    <w:rsid w:val="00B56E00"/>
    <w:rsid w:val="00B74D0C"/>
    <w:rsid w:val="00B836D6"/>
    <w:rsid w:val="00BB5C2E"/>
    <w:rsid w:val="00BC320F"/>
    <w:rsid w:val="00BE0628"/>
    <w:rsid w:val="00BE316E"/>
    <w:rsid w:val="00BF239D"/>
    <w:rsid w:val="00BF56C0"/>
    <w:rsid w:val="00BF7EA9"/>
    <w:rsid w:val="00C03956"/>
    <w:rsid w:val="00C12E9F"/>
    <w:rsid w:val="00C20A88"/>
    <w:rsid w:val="00C24074"/>
    <w:rsid w:val="00C244D7"/>
    <w:rsid w:val="00C27598"/>
    <w:rsid w:val="00C3482F"/>
    <w:rsid w:val="00C44DA9"/>
    <w:rsid w:val="00C47E16"/>
    <w:rsid w:val="00C64850"/>
    <w:rsid w:val="00C67923"/>
    <w:rsid w:val="00C723E3"/>
    <w:rsid w:val="00C7560C"/>
    <w:rsid w:val="00C83EFC"/>
    <w:rsid w:val="00C87195"/>
    <w:rsid w:val="00C87729"/>
    <w:rsid w:val="00C970D4"/>
    <w:rsid w:val="00CC34E4"/>
    <w:rsid w:val="00CD667C"/>
    <w:rsid w:val="00CD7886"/>
    <w:rsid w:val="00CE4864"/>
    <w:rsid w:val="00D05ED8"/>
    <w:rsid w:val="00D15DA2"/>
    <w:rsid w:val="00D170C9"/>
    <w:rsid w:val="00D23031"/>
    <w:rsid w:val="00D279A2"/>
    <w:rsid w:val="00D46945"/>
    <w:rsid w:val="00D52BFD"/>
    <w:rsid w:val="00D71589"/>
    <w:rsid w:val="00D72D0F"/>
    <w:rsid w:val="00D73261"/>
    <w:rsid w:val="00D823BE"/>
    <w:rsid w:val="00D83AF5"/>
    <w:rsid w:val="00D87885"/>
    <w:rsid w:val="00DA15BB"/>
    <w:rsid w:val="00DB42B9"/>
    <w:rsid w:val="00DC6641"/>
    <w:rsid w:val="00DC7FBD"/>
    <w:rsid w:val="00DF77D7"/>
    <w:rsid w:val="00E10170"/>
    <w:rsid w:val="00E2376E"/>
    <w:rsid w:val="00E4491A"/>
    <w:rsid w:val="00E524C4"/>
    <w:rsid w:val="00E540CB"/>
    <w:rsid w:val="00EA16F8"/>
    <w:rsid w:val="00EA6350"/>
    <w:rsid w:val="00EB3A96"/>
    <w:rsid w:val="00EB3EB2"/>
    <w:rsid w:val="00EE69B0"/>
    <w:rsid w:val="00F11E01"/>
    <w:rsid w:val="00F148D8"/>
    <w:rsid w:val="00F24F7B"/>
    <w:rsid w:val="00F37FA5"/>
    <w:rsid w:val="00F40C87"/>
    <w:rsid w:val="00F41C38"/>
    <w:rsid w:val="00F47D31"/>
    <w:rsid w:val="00F60CFC"/>
    <w:rsid w:val="00F62E89"/>
    <w:rsid w:val="00FB2C35"/>
    <w:rsid w:val="00FC6980"/>
    <w:rsid w:val="00FE7607"/>
    <w:rsid w:val="01057328"/>
    <w:rsid w:val="034A17AE"/>
    <w:rsid w:val="046412E3"/>
    <w:rsid w:val="04F23BE2"/>
    <w:rsid w:val="067324D4"/>
    <w:rsid w:val="07D0423D"/>
    <w:rsid w:val="0A375EC4"/>
    <w:rsid w:val="0A9F3581"/>
    <w:rsid w:val="0B03036B"/>
    <w:rsid w:val="10AC24DF"/>
    <w:rsid w:val="12825CCA"/>
    <w:rsid w:val="13145152"/>
    <w:rsid w:val="15796297"/>
    <w:rsid w:val="15F45508"/>
    <w:rsid w:val="16B82093"/>
    <w:rsid w:val="1971696D"/>
    <w:rsid w:val="19FB52A2"/>
    <w:rsid w:val="1D1A2D5E"/>
    <w:rsid w:val="1DA5326B"/>
    <w:rsid w:val="2251758C"/>
    <w:rsid w:val="254E03BC"/>
    <w:rsid w:val="26E42F0D"/>
    <w:rsid w:val="2B831907"/>
    <w:rsid w:val="2C6B52B4"/>
    <w:rsid w:val="3107141E"/>
    <w:rsid w:val="31994E82"/>
    <w:rsid w:val="362D5E70"/>
    <w:rsid w:val="39DF1A06"/>
    <w:rsid w:val="39F161A5"/>
    <w:rsid w:val="3B6C4985"/>
    <w:rsid w:val="3DF55A4D"/>
    <w:rsid w:val="3EBB8D96"/>
    <w:rsid w:val="4073734C"/>
    <w:rsid w:val="410D7383"/>
    <w:rsid w:val="44155AE4"/>
    <w:rsid w:val="48184889"/>
    <w:rsid w:val="4DF5391A"/>
    <w:rsid w:val="50BE3A80"/>
    <w:rsid w:val="52764C69"/>
    <w:rsid w:val="56A95860"/>
    <w:rsid w:val="5A1435C1"/>
    <w:rsid w:val="5C100FE3"/>
    <w:rsid w:val="5CE33B2F"/>
    <w:rsid w:val="5CEA689E"/>
    <w:rsid w:val="5E54501D"/>
    <w:rsid w:val="62345D93"/>
    <w:rsid w:val="64BF4F19"/>
    <w:rsid w:val="6A3063B9"/>
    <w:rsid w:val="6D58454C"/>
    <w:rsid w:val="6EE44AED"/>
    <w:rsid w:val="6F604886"/>
    <w:rsid w:val="76E455BA"/>
    <w:rsid w:val="7BCF301C"/>
    <w:rsid w:val="7DBDA2D2"/>
    <w:rsid w:val="7E6E1CA0"/>
    <w:rsid w:val="7EDD7FB1"/>
    <w:rsid w:val="DFEA51B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99"/>
    <w:pPr>
      <w:ind w:firstLine="600" w:firstLineChars="200"/>
    </w:pPr>
    <w:rPr>
      <w:rFonts w:eastAsia="仿宋_GB2312"/>
      <w:kern w:val="0"/>
      <w:sz w:val="24"/>
      <w:szCs w:val="20"/>
    </w:rPr>
  </w:style>
  <w:style w:type="paragraph" w:styleId="3">
    <w:name w:val="Plain Text"/>
    <w:basedOn w:val="1"/>
    <w:link w:val="10"/>
    <w:qFormat/>
    <w:uiPriority w:val="99"/>
    <w:rPr>
      <w:rFonts w:ascii="宋体" w:hAnsi="Courier New"/>
      <w:kern w:val="0"/>
      <w:sz w:val="20"/>
      <w:szCs w:val="20"/>
    </w:rPr>
  </w:style>
  <w:style w:type="paragraph" w:styleId="4">
    <w:name w:val="Balloon Text"/>
    <w:basedOn w:val="1"/>
    <w:link w:val="11"/>
    <w:unhideWhenUsed/>
    <w:qFormat/>
    <w:uiPriority w:val="99"/>
    <w:rPr>
      <w:kern w:val="0"/>
      <w:sz w:val="18"/>
      <w:szCs w:val="18"/>
    </w:rPr>
  </w:style>
  <w:style w:type="paragraph" w:styleId="5">
    <w:name w:val="footer"/>
    <w:basedOn w:val="1"/>
    <w:link w:val="12"/>
    <w:qFormat/>
    <w:uiPriority w:val="99"/>
    <w:pPr>
      <w:tabs>
        <w:tab w:val="center" w:pos="4153"/>
        <w:tab w:val="right" w:pos="8306"/>
      </w:tabs>
      <w:snapToGrid w:val="0"/>
      <w:jc w:val="left"/>
    </w:pPr>
    <w:rPr>
      <w:kern w:val="0"/>
      <w:sz w:val="18"/>
      <w:szCs w:val="20"/>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kern w:val="0"/>
      <w:sz w:val="18"/>
      <w:szCs w:val="20"/>
    </w:rPr>
  </w:style>
  <w:style w:type="character" w:customStyle="1" w:styleId="9">
    <w:name w:val="正文文本缩进 Char"/>
    <w:link w:val="2"/>
    <w:qFormat/>
    <w:locked/>
    <w:uiPriority w:val="99"/>
    <w:rPr>
      <w:rFonts w:ascii="Times New Roman" w:hAnsi="Times New Roman" w:eastAsia="仿宋_GB2312"/>
      <w:sz w:val="24"/>
    </w:rPr>
  </w:style>
  <w:style w:type="character" w:customStyle="1" w:styleId="10">
    <w:name w:val="纯文本 Char"/>
    <w:link w:val="3"/>
    <w:qFormat/>
    <w:locked/>
    <w:uiPriority w:val="99"/>
    <w:rPr>
      <w:rFonts w:ascii="宋体" w:hAnsi="Courier New" w:eastAsia="宋体"/>
      <w:kern w:val="0"/>
      <w:sz w:val="20"/>
    </w:rPr>
  </w:style>
  <w:style w:type="character" w:customStyle="1" w:styleId="11">
    <w:name w:val="批注框文本 Char"/>
    <w:link w:val="4"/>
    <w:semiHidden/>
    <w:qFormat/>
    <w:uiPriority w:val="99"/>
    <w:rPr>
      <w:sz w:val="18"/>
      <w:szCs w:val="18"/>
    </w:rPr>
  </w:style>
  <w:style w:type="character" w:customStyle="1" w:styleId="12">
    <w:name w:val="页脚 Char"/>
    <w:link w:val="5"/>
    <w:qFormat/>
    <w:locked/>
    <w:uiPriority w:val="99"/>
    <w:rPr>
      <w:sz w:val="18"/>
    </w:rPr>
  </w:style>
  <w:style w:type="character" w:customStyle="1" w:styleId="13">
    <w:name w:val="页眉 Char"/>
    <w:link w:val="6"/>
    <w:semiHidden/>
    <w:qFormat/>
    <w:locked/>
    <w:uiPriority w:val="99"/>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960</Words>
  <Characters>1437</Characters>
  <Lines>5</Lines>
  <Paragraphs>3</Paragraphs>
  <TotalTime>12</TotalTime>
  <ScaleCrop>false</ScaleCrop>
  <LinksUpToDate>false</LinksUpToDate>
  <CharactersWithSpaces>1472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2024-03-05T11:03:00Z</dcterms:created>
  <dc:creator>Administrator</dc:creator>
  <cp:lastModifiedBy>ysgz</cp:lastModifiedBy>
  <cp:lastPrinted>2019-12-23T23:40:00Z</cp:lastPrinted>
  <dcterms:modified xsi:type="dcterms:W3CDTF">2025-04-11T17:18:57Z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A7D1ED4D9B0B48EDA3D0A5A82C26D9E0_13</vt:lpwstr>
  </property>
  <property fmtid="{D5CDD505-2E9C-101B-9397-08002B2CF9AE}" pid="4" name="KSOTemplateDocerSaveRecord">
    <vt:lpwstr>eyJoZGlkIjoiNDNiOGM3Y2MyOGFlZjJlMWRhOWY0MTgxYjJkNGQ1NzciLCJ1c2VySWQiOiI0NTA5MTk5NTIifQ==</vt:lpwstr>
  </property>
</Properties>
</file>