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spacing w:line="560" w:lineRule="exact"/>
        <w:jc w:val="center"/>
        <w:textAlignment w:val="auto"/>
        <w:rPr>
          <w:rFonts w:hint="eastAsia" w:ascii="方正小标宋_GBK" w:hAnsi="方正小标宋_GBK" w:eastAsia="方正小标宋_GBK" w:cs="方正小标宋_GBK"/>
          <w:color w:val="000000"/>
          <w:sz w:val="32"/>
          <w:szCs w:val="32"/>
        </w:rPr>
      </w:pPr>
      <w:r>
        <w:rPr>
          <w:rFonts w:hint="eastAsia" w:ascii="方正小标宋_GBK" w:hAnsi="方正小标宋_GBK" w:eastAsia="方正小标宋_GBK" w:cs="方正小标宋_GBK"/>
          <w:color w:val="000000"/>
          <w:sz w:val="32"/>
          <w:szCs w:val="32"/>
        </w:rPr>
        <w:t>贵州省黏土耐火砖产品质量监督抽查实施细则</w:t>
      </w:r>
    </w:p>
    <w:p>
      <w:pPr>
        <w:keepNext w:val="0"/>
        <w:keepLines w:val="0"/>
        <w:pageBreakBefore w:val="0"/>
        <w:widowControl w:val="0"/>
        <w:kinsoku/>
        <w:wordWrap/>
        <w:overflowPunct/>
        <w:topLinePunct w:val="0"/>
        <w:autoSpaceDE/>
        <w:autoSpaceDN/>
        <w:bidi w:val="0"/>
        <w:adjustRightInd w:val="0"/>
        <w:snapToGrid w:val="0"/>
        <w:spacing w:line="560" w:lineRule="exact"/>
        <w:jc w:val="center"/>
        <w:textAlignment w:val="auto"/>
        <w:rPr>
          <w:rFonts w:eastAsia="黑体"/>
          <w:color w:val="000000"/>
          <w:szCs w:val="21"/>
        </w:rPr>
      </w:pPr>
      <w:r>
        <w:rPr>
          <w:rFonts w:hint="eastAsia" w:ascii="楷体_GB2312" w:hAnsi="楷体_GB2312" w:eastAsia="楷体_GB2312" w:cs="楷体_GB2312"/>
          <w:color w:val="auto"/>
          <w:sz w:val="32"/>
          <w:szCs w:val="32"/>
        </w:rPr>
        <w:t>（202</w:t>
      </w:r>
      <w:r>
        <w:rPr>
          <w:rFonts w:hint="eastAsia" w:ascii="楷体_GB2312" w:hAnsi="楷体_GB2312" w:eastAsia="楷体_GB2312" w:cs="楷体_GB2312"/>
          <w:color w:val="auto"/>
          <w:sz w:val="32"/>
          <w:szCs w:val="32"/>
          <w:lang w:val="en-US" w:eastAsia="zh-CN"/>
        </w:rPr>
        <w:t>5</w:t>
      </w:r>
      <w:r>
        <w:rPr>
          <w:rFonts w:hint="eastAsia" w:ascii="楷体_GB2312" w:hAnsi="楷体_GB2312" w:eastAsia="楷体_GB2312" w:cs="楷体_GB2312"/>
          <w:color w:val="auto"/>
          <w:sz w:val="32"/>
          <w:szCs w:val="32"/>
        </w:rPr>
        <w:t>年版）</w:t>
      </w:r>
    </w:p>
    <w:p>
      <w:pPr>
        <w:snapToGrid w:val="0"/>
        <w:spacing w:line="440" w:lineRule="exact"/>
        <w:rPr>
          <w:rFonts w:eastAsia="黑体"/>
          <w:color w:val="000000"/>
          <w:szCs w:val="21"/>
        </w:rPr>
      </w:pPr>
      <w:r>
        <w:rPr>
          <w:rFonts w:eastAsia="黑体"/>
          <w:color w:val="000000"/>
          <w:szCs w:val="21"/>
        </w:rPr>
        <w:t>1 抽样方法</w:t>
      </w:r>
    </w:p>
    <w:p>
      <w:pPr>
        <w:snapToGrid w:val="0"/>
        <w:spacing w:line="440" w:lineRule="exact"/>
        <w:ind w:firstLine="420" w:firstLineChars="200"/>
        <w:rPr>
          <w:color w:val="000000"/>
          <w:szCs w:val="21"/>
        </w:rPr>
      </w:pPr>
      <w:r>
        <w:rPr>
          <w:color w:val="000000"/>
          <w:szCs w:val="21"/>
        </w:rPr>
        <w:t>以随机抽样的方式在被抽样生产者、销售者的待销产品中抽取。</w:t>
      </w:r>
    </w:p>
    <w:p>
      <w:pPr>
        <w:snapToGrid w:val="0"/>
        <w:spacing w:line="440" w:lineRule="exact"/>
        <w:ind w:firstLine="420" w:firstLineChars="200"/>
        <w:rPr>
          <w:rFonts w:hint="eastAsia" w:ascii="宋体" w:hAnsi="宋体"/>
          <w:color w:val="000000"/>
          <w:szCs w:val="21"/>
        </w:rPr>
      </w:pPr>
      <w:r>
        <w:rPr>
          <w:rFonts w:hint="eastAsia" w:ascii="宋体" w:hAnsi="宋体"/>
          <w:color w:val="000000"/>
          <w:szCs w:val="21"/>
        </w:rPr>
        <w:t>随机数一般可使用随机数表等方法产生。</w:t>
      </w:r>
    </w:p>
    <w:p>
      <w:pPr>
        <w:snapToGrid w:val="0"/>
        <w:spacing w:line="440" w:lineRule="exact"/>
        <w:ind w:firstLine="420" w:firstLineChars="200"/>
        <w:rPr>
          <w:rFonts w:hint="eastAsia" w:ascii="宋体" w:hAnsi="宋体"/>
          <w:color w:val="000000"/>
          <w:szCs w:val="21"/>
        </w:rPr>
      </w:pPr>
      <w:r>
        <w:rPr>
          <w:rFonts w:hint="eastAsia"/>
          <w:color w:val="000000"/>
          <w:szCs w:val="21"/>
        </w:rPr>
        <w:t>每批次产品抽取</w:t>
      </w:r>
      <w:r>
        <w:rPr>
          <w:rFonts w:hint="default" w:ascii="Times New Roman" w:hAnsi="Times New Roman" w:cs="Times New Roman"/>
          <w:color w:val="000000"/>
          <w:szCs w:val="21"/>
        </w:rPr>
        <w:t>样品1</w:t>
      </w:r>
      <w:r>
        <w:rPr>
          <w:rFonts w:hint="default" w:ascii="Times New Roman" w:hAnsi="Times New Roman" w:cs="Times New Roman"/>
          <w:color w:val="000000"/>
          <w:szCs w:val="21"/>
          <w:lang w:val="en-US" w:eastAsia="zh-CN"/>
        </w:rPr>
        <w:t>2块</w:t>
      </w:r>
      <w:r>
        <w:rPr>
          <w:rFonts w:hint="default" w:ascii="Times New Roman" w:hAnsi="Times New Roman" w:cs="Times New Roman"/>
          <w:color w:val="000000"/>
          <w:szCs w:val="21"/>
        </w:rPr>
        <w:t>，其中</w:t>
      </w:r>
      <w:r>
        <w:rPr>
          <w:rFonts w:hint="default" w:ascii="Times New Roman" w:hAnsi="Times New Roman" w:cs="Times New Roman"/>
          <w:color w:val="000000"/>
          <w:szCs w:val="21"/>
          <w:lang w:val="en-US" w:eastAsia="zh-CN"/>
        </w:rPr>
        <w:t>6块</w:t>
      </w:r>
      <w:r>
        <w:rPr>
          <w:rFonts w:hint="default" w:ascii="Times New Roman" w:hAnsi="Times New Roman" w:cs="Times New Roman"/>
          <w:color w:val="000000"/>
          <w:szCs w:val="21"/>
        </w:rPr>
        <w:t>作为检验样品，</w:t>
      </w:r>
      <w:r>
        <w:rPr>
          <w:rFonts w:hint="default" w:ascii="Times New Roman" w:hAnsi="Times New Roman" w:cs="Times New Roman"/>
          <w:color w:val="000000"/>
          <w:szCs w:val="21"/>
          <w:lang w:val="en-US" w:eastAsia="zh-CN"/>
        </w:rPr>
        <w:t>6块</w:t>
      </w:r>
      <w:r>
        <w:rPr>
          <w:rFonts w:hint="default" w:ascii="Times New Roman" w:hAnsi="Times New Roman" w:cs="Times New Roman"/>
          <w:color w:val="000000"/>
          <w:szCs w:val="21"/>
        </w:rPr>
        <w:t>作为</w:t>
      </w:r>
      <w:r>
        <w:rPr>
          <w:rFonts w:hint="eastAsia"/>
          <w:color w:val="000000"/>
          <w:szCs w:val="21"/>
        </w:rPr>
        <w:t>备用样品。</w:t>
      </w:r>
    </w:p>
    <w:p/>
    <w:p>
      <w:pPr>
        <w:snapToGrid w:val="0"/>
        <w:spacing w:line="440" w:lineRule="exact"/>
        <w:rPr>
          <w:rFonts w:eastAsia="黑体"/>
          <w:color w:val="000000"/>
          <w:szCs w:val="21"/>
        </w:rPr>
      </w:pPr>
      <w:r>
        <w:rPr>
          <w:rFonts w:eastAsia="黑体"/>
          <w:color w:val="000000"/>
          <w:szCs w:val="21"/>
        </w:rPr>
        <w:t>2 检验依据</w:t>
      </w:r>
    </w:p>
    <w:tbl>
      <w:tblPr>
        <w:tblStyle w:val="2"/>
        <w:tblW w:w="917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82"/>
        <w:gridCol w:w="3954"/>
        <w:gridCol w:w="403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82" w:hRule="atLeast"/>
          <w:tblHeader/>
          <w:jc w:val="center"/>
        </w:trPr>
        <w:tc>
          <w:tcPr>
            <w:tcW w:w="1182" w:type="dxa"/>
            <w:vAlign w:val="center"/>
          </w:tcPr>
          <w:p>
            <w:pPr>
              <w:snapToGrid w:val="0"/>
              <w:jc w:val="center"/>
              <w:rPr>
                <w:rFonts w:asciiTheme="minorEastAsia" w:hAnsiTheme="minorEastAsia" w:cstheme="minorEastAsia"/>
                <w:color w:val="000000"/>
                <w:szCs w:val="21"/>
              </w:rPr>
            </w:pPr>
            <w:r>
              <w:rPr>
                <w:rFonts w:hint="eastAsia" w:asciiTheme="minorEastAsia" w:hAnsiTheme="minorEastAsia" w:cstheme="minorEastAsia"/>
                <w:color w:val="000000"/>
                <w:szCs w:val="21"/>
              </w:rPr>
              <w:t>序号</w:t>
            </w:r>
          </w:p>
        </w:tc>
        <w:tc>
          <w:tcPr>
            <w:tcW w:w="3954" w:type="dxa"/>
            <w:vAlign w:val="center"/>
          </w:tcPr>
          <w:p>
            <w:pPr>
              <w:snapToGrid w:val="0"/>
              <w:jc w:val="center"/>
              <w:rPr>
                <w:rFonts w:asciiTheme="minorEastAsia" w:hAnsiTheme="minorEastAsia" w:cstheme="minorEastAsia"/>
                <w:color w:val="000000"/>
                <w:szCs w:val="21"/>
              </w:rPr>
            </w:pPr>
            <w:r>
              <w:rPr>
                <w:rFonts w:hint="eastAsia" w:asciiTheme="minorEastAsia" w:hAnsiTheme="minorEastAsia" w:cstheme="minorEastAsia"/>
                <w:color w:val="000000"/>
                <w:szCs w:val="21"/>
              </w:rPr>
              <w:t>检验项目</w:t>
            </w:r>
          </w:p>
        </w:tc>
        <w:tc>
          <w:tcPr>
            <w:tcW w:w="4038" w:type="dxa"/>
            <w:vAlign w:val="center"/>
          </w:tcPr>
          <w:p>
            <w:pPr>
              <w:snapToGrid w:val="0"/>
              <w:jc w:val="center"/>
              <w:rPr>
                <w:rFonts w:asciiTheme="minorEastAsia" w:hAnsiTheme="minorEastAsia" w:cstheme="minorEastAsia"/>
                <w:color w:val="000000"/>
                <w:szCs w:val="21"/>
              </w:rPr>
            </w:pPr>
            <w:r>
              <w:rPr>
                <w:rFonts w:hint="eastAsia" w:asciiTheme="minorEastAsia" w:hAnsiTheme="minorEastAsia" w:cstheme="minorEastAsia"/>
                <w:color w:val="000000"/>
                <w:szCs w:val="21"/>
              </w:rPr>
              <w:t>检测方法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82" w:hRule="atLeast"/>
          <w:jc w:val="center"/>
        </w:trPr>
        <w:tc>
          <w:tcPr>
            <w:tcW w:w="1182" w:type="dxa"/>
            <w:vAlign w:val="center"/>
          </w:tcPr>
          <w:p>
            <w:pPr>
              <w:snapToGrid w:val="0"/>
              <w:jc w:val="center"/>
              <w:rPr>
                <w:rFonts w:hint="default" w:ascii="Times New Roman" w:hAnsi="Times New Roman" w:cs="Times New Roman"/>
                <w:color w:val="000000"/>
                <w:szCs w:val="21"/>
              </w:rPr>
            </w:pPr>
            <w:r>
              <w:rPr>
                <w:rFonts w:hint="default" w:ascii="Times New Roman" w:hAnsi="Times New Roman" w:cs="Times New Roman"/>
                <w:color w:val="000000"/>
                <w:szCs w:val="21"/>
              </w:rPr>
              <w:t>1</w:t>
            </w:r>
          </w:p>
        </w:tc>
        <w:tc>
          <w:tcPr>
            <w:tcW w:w="3954" w:type="dxa"/>
            <w:vAlign w:val="center"/>
          </w:tcPr>
          <w:p>
            <w:pPr>
              <w:snapToGrid w:val="0"/>
              <w:jc w:val="center"/>
              <w:rPr>
                <w:rFonts w:hint="default" w:ascii="Times New Roman" w:hAnsi="Times New Roman" w:cs="Times New Roman"/>
                <w:color w:val="000000"/>
                <w:szCs w:val="21"/>
              </w:rPr>
            </w:pPr>
            <w:r>
              <w:rPr>
                <w:rFonts w:hint="default" w:ascii="Times New Roman" w:hAnsi="Times New Roman" w:cs="Times New Roman"/>
                <w:color w:val="000000"/>
                <w:szCs w:val="21"/>
              </w:rPr>
              <w:t>显气孔率</w:t>
            </w:r>
          </w:p>
        </w:tc>
        <w:tc>
          <w:tcPr>
            <w:tcW w:w="4038" w:type="dxa"/>
            <w:vAlign w:val="center"/>
          </w:tcPr>
          <w:p>
            <w:pPr>
              <w:snapToGrid w:val="0"/>
              <w:jc w:val="center"/>
              <w:rPr>
                <w:rFonts w:hint="default" w:ascii="Times New Roman" w:hAnsi="Times New Roman" w:cs="Times New Roman" w:eastAsiaTheme="minorEastAsia"/>
                <w:color w:val="000000"/>
                <w:szCs w:val="21"/>
                <w:lang w:val="en-US" w:eastAsia="zh-CN"/>
              </w:rPr>
            </w:pPr>
            <w:r>
              <w:rPr>
                <w:rFonts w:hint="default" w:ascii="Times New Roman" w:hAnsi="Times New Roman" w:cs="Times New Roman"/>
                <w:color w:val="000000"/>
                <w:szCs w:val="21"/>
              </w:rPr>
              <w:t>GB/T</w:t>
            </w:r>
            <w:r>
              <w:rPr>
                <w:rFonts w:hint="default" w:ascii="Times New Roman" w:hAnsi="Times New Roman" w:cs="Times New Roman"/>
                <w:color w:val="000000"/>
                <w:szCs w:val="21"/>
                <w:lang w:val="en-US" w:eastAsia="zh-CN"/>
              </w:rPr>
              <w:t xml:space="preserve"> </w:t>
            </w:r>
            <w:r>
              <w:rPr>
                <w:rFonts w:hint="default" w:ascii="Times New Roman" w:hAnsi="Times New Roman" w:cs="Times New Roman"/>
                <w:color w:val="000000"/>
                <w:szCs w:val="21"/>
              </w:rPr>
              <w:t>2997</w:t>
            </w:r>
            <w:r>
              <w:rPr>
                <w:rFonts w:hint="default" w:ascii="Times New Roman" w:hAnsi="Times New Roman" w:cs="Times New Roman"/>
                <w:color w:val="000000"/>
                <w:szCs w:val="21"/>
                <w:lang w:val="en-US" w:eastAsia="zh-CN"/>
              </w:rPr>
              <w:t>-2015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82" w:hRule="atLeast"/>
          <w:jc w:val="center"/>
        </w:trPr>
        <w:tc>
          <w:tcPr>
            <w:tcW w:w="1182" w:type="dxa"/>
            <w:vAlign w:val="center"/>
          </w:tcPr>
          <w:p>
            <w:pPr>
              <w:snapToGrid w:val="0"/>
              <w:jc w:val="center"/>
              <w:rPr>
                <w:rFonts w:hint="default" w:ascii="Times New Roman" w:hAnsi="Times New Roman" w:cs="Times New Roman"/>
                <w:color w:val="000000"/>
                <w:szCs w:val="21"/>
              </w:rPr>
            </w:pPr>
            <w:r>
              <w:rPr>
                <w:rFonts w:hint="default" w:ascii="Times New Roman" w:hAnsi="Times New Roman" w:cs="Times New Roman"/>
                <w:color w:val="000000"/>
                <w:szCs w:val="21"/>
              </w:rPr>
              <w:t>2</w:t>
            </w:r>
          </w:p>
        </w:tc>
        <w:tc>
          <w:tcPr>
            <w:tcW w:w="3954" w:type="dxa"/>
            <w:vAlign w:val="center"/>
          </w:tcPr>
          <w:p>
            <w:pPr>
              <w:snapToGrid w:val="0"/>
              <w:jc w:val="center"/>
              <w:rPr>
                <w:rFonts w:hint="default" w:ascii="Times New Roman" w:hAnsi="Times New Roman" w:cs="Times New Roman"/>
                <w:color w:val="000000"/>
                <w:szCs w:val="21"/>
              </w:rPr>
            </w:pPr>
            <w:r>
              <w:rPr>
                <w:rFonts w:hint="default" w:ascii="Times New Roman" w:hAnsi="Times New Roman" w:cs="Times New Roman"/>
                <w:color w:val="000000"/>
                <w:szCs w:val="21"/>
              </w:rPr>
              <w:t>Al</w:t>
            </w:r>
            <w:r>
              <w:rPr>
                <w:rFonts w:hint="default" w:ascii="Times New Roman" w:hAnsi="Times New Roman" w:cs="Times New Roman"/>
                <w:color w:val="000000"/>
                <w:szCs w:val="21"/>
                <w:vertAlign w:val="subscript"/>
              </w:rPr>
              <w:t>2</w:t>
            </w:r>
            <w:r>
              <w:rPr>
                <w:rFonts w:hint="default" w:ascii="Times New Roman" w:hAnsi="Times New Roman" w:cs="Times New Roman"/>
                <w:color w:val="000000"/>
                <w:szCs w:val="21"/>
              </w:rPr>
              <w:t>O</w:t>
            </w:r>
            <w:r>
              <w:rPr>
                <w:rFonts w:hint="default" w:ascii="Times New Roman" w:hAnsi="Times New Roman" w:cs="Times New Roman"/>
                <w:color w:val="000000"/>
                <w:szCs w:val="21"/>
                <w:vertAlign w:val="subscript"/>
              </w:rPr>
              <w:t>3</w:t>
            </w:r>
          </w:p>
        </w:tc>
        <w:tc>
          <w:tcPr>
            <w:tcW w:w="4038" w:type="dxa"/>
            <w:vAlign w:val="center"/>
          </w:tcPr>
          <w:p>
            <w:pPr>
              <w:snapToGrid w:val="0"/>
              <w:jc w:val="center"/>
              <w:rPr>
                <w:rFonts w:hint="default" w:ascii="Times New Roman" w:hAnsi="Times New Roman" w:cs="Times New Roman" w:eastAsiaTheme="minorEastAsia"/>
                <w:color w:val="000000"/>
                <w:szCs w:val="21"/>
                <w:lang w:val="en-US" w:eastAsia="zh-CN"/>
              </w:rPr>
            </w:pPr>
            <w:r>
              <w:rPr>
                <w:rFonts w:hint="default" w:ascii="Times New Roman" w:hAnsi="Times New Roman" w:cs="Times New Roman"/>
                <w:color w:val="000000"/>
                <w:szCs w:val="21"/>
              </w:rPr>
              <w:t>GB/T</w:t>
            </w:r>
            <w:r>
              <w:rPr>
                <w:rFonts w:hint="default" w:ascii="Times New Roman" w:hAnsi="Times New Roman" w:cs="Times New Roman"/>
                <w:color w:val="000000"/>
                <w:szCs w:val="21"/>
                <w:lang w:val="en-US" w:eastAsia="zh-CN"/>
              </w:rPr>
              <w:t xml:space="preserve"> </w:t>
            </w:r>
            <w:r>
              <w:rPr>
                <w:rFonts w:hint="default" w:ascii="Times New Roman" w:hAnsi="Times New Roman" w:cs="Times New Roman"/>
                <w:color w:val="000000"/>
                <w:szCs w:val="21"/>
              </w:rPr>
              <w:t>6900</w:t>
            </w:r>
            <w:r>
              <w:rPr>
                <w:rFonts w:hint="default" w:ascii="Times New Roman" w:hAnsi="Times New Roman" w:cs="Times New Roman"/>
                <w:color w:val="000000"/>
                <w:szCs w:val="21"/>
                <w:lang w:val="en-US" w:eastAsia="zh-CN"/>
              </w:rPr>
              <w:t>-2016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82" w:hRule="atLeast"/>
          <w:jc w:val="center"/>
        </w:trPr>
        <w:tc>
          <w:tcPr>
            <w:tcW w:w="1182" w:type="dxa"/>
            <w:vAlign w:val="center"/>
          </w:tcPr>
          <w:p>
            <w:pPr>
              <w:snapToGrid w:val="0"/>
              <w:jc w:val="center"/>
              <w:rPr>
                <w:rFonts w:hint="default" w:ascii="Times New Roman" w:hAnsi="Times New Roman" w:cs="Times New Roman"/>
                <w:color w:val="000000"/>
                <w:szCs w:val="21"/>
              </w:rPr>
            </w:pPr>
            <w:r>
              <w:rPr>
                <w:rFonts w:hint="default" w:ascii="Times New Roman" w:hAnsi="Times New Roman" w:cs="Times New Roman"/>
                <w:color w:val="000000"/>
                <w:szCs w:val="21"/>
              </w:rPr>
              <w:t>3</w:t>
            </w:r>
          </w:p>
        </w:tc>
        <w:tc>
          <w:tcPr>
            <w:tcW w:w="3954" w:type="dxa"/>
            <w:vAlign w:val="center"/>
          </w:tcPr>
          <w:p>
            <w:pPr>
              <w:snapToGrid w:val="0"/>
              <w:jc w:val="center"/>
              <w:rPr>
                <w:rFonts w:hint="default" w:ascii="Times New Roman" w:hAnsi="Times New Roman" w:cs="Times New Roman"/>
                <w:color w:val="000000"/>
                <w:szCs w:val="21"/>
              </w:rPr>
            </w:pPr>
            <w:r>
              <w:rPr>
                <w:rFonts w:hint="default" w:ascii="Times New Roman" w:hAnsi="Times New Roman" w:cs="Times New Roman"/>
                <w:color w:val="000000"/>
                <w:szCs w:val="21"/>
              </w:rPr>
              <w:t>常温耐压强度</w:t>
            </w:r>
          </w:p>
        </w:tc>
        <w:tc>
          <w:tcPr>
            <w:tcW w:w="4038" w:type="dxa"/>
            <w:vAlign w:val="center"/>
          </w:tcPr>
          <w:p>
            <w:pPr>
              <w:snapToGrid w:val="0"/>
              <w:jc w:val="center"/>
              <w:rPr>
                <w:rFonts w:hint="default" w:ascii="Times New Roman" w:hAnsi="Times New Roman" w:cs="Times New Roman" w:eastAsiaTheme="minorEastAsia"/>
                <w:color w:val="000000"/>
                <w:szCs w:val="21"/>
                <w:lang w:val="en-US" w:eastAsia="zh-CN"/>
              </w:rPr>
            </w:pPr>
            <w:r>
              <w:rPr>
                <w:rFonts w:hint="default" w:ascii="Times New Roman" w:hAnsi="Times New Roman" w:cs="Times New Roman"/>
                <w:color w:val="000000"/>
                <w:szCs w:val="21"/>
              </w:rPr>
              <w:t>GB/T</w:t>
            </w:r>
            <w:r>
              <w:rPr>
                <w:rFonts w:hint="default" w:ascii="Times New Roman" w:hAnsi="Times New Roman" w:cs="Times New Roman"/>
                <w:color w:val="000000"/>
                <w:szCs w:val="21"/>
                <w:lang w:val="en-US" w:eastAsia="zh-CN"/>
              </w:rPr>
              <w:t xml:space="preserve"> </w:t>
            </w:r>
            <w:r>
              <w:rPr>
                <w:rFonts w:hint="default" w:ascii="Times New Roman" w:hAnsi="Times New Roman" w:cs="Times New Roman"/>
                <w:color w:val="000000"/>
                <w:szCs w:val="21"/>
              </w:rPr>
              <w:t>5072</w:t>
            </w:r>
            <w:r>
              <w:rPr>
                <w:rFonts w:hint="default" w:ascii="Times New Roman" w:hAnsi="Times New Roman" w:cs="Times New Roman"/>
                <w:color w:val="000000"/>
                <w:szCs w:val="21"/>
                <w:lang w:val="en-US" w:eastAsia="zh-CN"/>
              </w:rPr>
              <w:t>-2008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82" w:hRule="atLeast"/>
          <w:jc w:val="center"/>
        </w:trPr>
        <w:tc>
          <w:tcPr>
            <w:tcW w:w="1182" w:type="dxa"/>
            <w:vAlign w:val="center"/>
          </w:tcPr>
          <w:p>
            <w:pPr>
              <w:snapToGrid w:val="0"/>
              <w:jc w:val="center"/>
              <w:rPr>
                <w:rFonts w:hint="default" w:ascii="Times New Roman" w:hAnsi="Times New Roman" w:cs="Times New Roman"/>
                <w:color w:val="000000"/>
                <w:szCs w:val="21"/>
              </w:rPr>
            </w:pPr>
            <w:r>
              <w:rPr>
                <w:rFonts w:hint="default" w:ascii="Times New Roman" w:hAnsi="Times New Roman" w:cs="Times New Roman"/>
                <w:color w:val="000000"/>
                <w:szCs w:val="21"/>
              </w:rPr>
              <w:t>4</w:t>
            </w:r>
          </w:p>
        </w:tc>
        <w:tc>
          <w:tcPr>
            <w:tcW w:w="3954" w:type="dxa"/>
            <w:vAlign w:val="center"/>
          </w:tcPr>
          <w:p>
            <w:pPr>
              <w:snapToGrid w:val="0"/>
              <w:jc w:val="center"/>
              <w:rPr>
                <w:rFonts w:hint="default" w:ascii="Times New Roman" w:hAnsi="Times New Roman" w:cs="Times New Roman"/>
                <w:color w:val="000000"/>
                <w:szCs w:val="21"/>
              </w:rPr>
            </w:pPr>
            <w:r>
              <w:rPr>
                <w:rFonts w:hint="default" w:ascii="Times New Roman" w:hAnsi="Times New Roman" w:cs="Times New Roman"/>
                <w:color w:val="000000"/>
                <w:szCs w:val="21"/>
              </w:rPr>
              <w:t>加热永久线变化</w:t>
            </w:r>
          </w:p>
        </w:tc>
        <w:tc>
          <w:tcPr>
            <w:tcW w:w="4038" w:type="dxa"/>
            <w:vAlign w:val="center"/>
          </w:tcPr>
          <w:p>
            <w:pPr>
              <w:snapToGrid w:val="0"/>
              <w:jc w:val="center"/>
              <w:rPr>
                <w:rFonts w:hint="default" w:ascii="Times New Roman" w:hAnsi="Times New Roman" w:cs="Times New Roman" w:eastAsiaTheme="minorEastAsia"/>
                <w:color w:val="000000"/>
                <w:szCs w:val="21"/>
                <w:lang w:val="en-US" w:eastAsia="zh-CN"/>
              </w:rPr>
            </w:pPr>
            <w:r>
              <w:rPr>
                <w:rFonts w:hint="default" w:ascii="Times New Roman" w:hAnsi="Times New Roman" w:cs="Times New Roman"/>
                <w:color w:val="000000"/>
                <w:szCs w:val="21"/>
              </w:rPr>
              <w:t>GB/T</w:t>
            </w:r>
            <w:r>
              <w:rPr>
                <w:rFonts w:hint="default" w:ascii="Times New Roman" w:hAnsi="Times New Roman" w:cs="Times New Roman"/>
                <w:color w:val="000000"/>
                <w:szCs w:val="21"/>
                <w:lang w:val="en-US" w:eastAsia="zh-CN"/>
              </w:rPr>
              <w:t xml:space="preserve"> </w:t>
            </w:r>
            <w:r>
              <w:rPr>
                <w:rFonts w:hint="default" w:ascii="Times New Roman" w:hAnsi="Times New Roman" w:cs="Times New Roman"/>
                <w:color w:val="000000"/>
                <w:szCs w:val="21"/>
              </w:rPr>
              <w:t>5988</w:t>
            </w:r>
            <w:r>
              <w:rPr>
                <w:rFonts w:hint="default" w:ascii="Times New Roman" w:hAnsi="Times New Roman" w:cs="Times New Roman"/>
                <w:color w:val="000000"/>
                <w:szCs w:val="21"/>
                <w:lang w:val="en-US" w:eastAsia="zh-CN"/>
              </w:rPr>
              <w:t>-2022</w:t>
            </w:r>
          </w:p>
        </w:tc>
      </w:tr>
    </w:tbl>
    <w:p>
      <w:pPr>
        <w:adjustRightInd w:val="0"/>
        <w:snapToGrid w:val="0"/>
        <w:spacing w:line="440" w:lineRule="exact"/>
        <w:ind w:firstLine="420" w:firstLineChars="200"/>
        <w:rPr>
          <w:color w:val="000000"/>
        </w:rPr>
      </w:pPr>
      <w:r>
        <w:rPr>
          <w:color w:val="000000"/>
        </w:rPr>
        <w:t>执行企业标准、团体标准、地方标准的产品，检验项目参照上述内容执行。</w:t>
      </w:r>
    </w:p>
    <w:p>
      <w:pPr>
        <w:adjustRightInd w:val="0"/>
        <w:snapToGrid w:val="0"/>
        <w:spacing w:line="440" w:lineRule="exact"/>
        <w:ind w:firstLine="420" w:firstLineChars="200"/>
        <w:rPr>
          <w:color w:val="000000"/>
          <w:szCs w:val="21"/>
        </w:rPr>
      </w:pPr>
      <w:r>
        <w:rPr>
          <w:color w:val="000000"/>
          <w:szCs w:val="21"/>
        </w:rPr>
        <w:t>凡是注日期的文件，其随后所有的修改单（不包括勘误的内容）或修订版不适用于本细则。凡是不注日期的文件，其最新版本适用于本细则。</w:t>
      </w:r>
    </w:p>
    <w:p/>
    <w:p>
      <w:pPr>
        <w:spacing w:line="440" w:lineRule="exact"/>
        <w:rPr>
          <w:rFonts w:eastAsia="黑体"/>
          <w:color w:val="000000"/>
          <w:szCs w:val="21"/>
        </w:rPr>
      </w:pPr>
      <w:r>
        <w:rPr>
          <w:rFonts w:eastAsia="黑体"/>
          <w:color w:val="000000"/>
          <w:szCs w:val="21"/>
        </w:rPr>
        <w:t>3 判定规则</w:t>
      </w:r>
    </w:p>
    <w:p>
      <w:pPr>
        <w:snapToGrid w:val="0"/>
        <w:spacing w:line="440" w:lineRule="exact"/>
        <w:rPr>
          <w:rFonts w:hint="default" w:ascii="Times New Roman" w:hAnsi="Times New Roman" w:cs="Times New Roman" w:eastAsiaTheme="minorEastAsia"/>
          <w:color w:val="000000"/>
          <w:szCs w:val="21"/>
        </w:rPr>
      </w:pPr>
      <w:r>
        <w:rPr>
          <w:rFonts w:hint="default" w:ascii="Times New Roman" w:hAnsi="Times New Roman" w:cs="Times New Roman" w:eastAsiaTheme="minorEastAsia"/>
          <w:color w:val="000000"/>
          <w:szCs w:val="21"/>
        </w:rPr>
        <w:t>3.1依据标准</w:t>
      </w:r>
    </w:p>
    <w:p>
      <w:pPr>
        <w:snapToGrid w:val="0"/>
        <w:spacing w:before="100" w:after="100" w:line="440" w:lineRule="exact"/>
        <w:ind w:firstLine="420" w:firstLineChars="200"/>
        <w:rPr>
          <w:rFonts w:hint="default" w:ascii="Times New Roman" w:hAnsi="Times New Roman" w:cs="Times New Roman" w:eastAsiaTheme="minorEastAsia"/>
          <w:color w:val="000000"/>
          <w:szCs w:val="21"/>
        </w:rPr>
      </w:pPr>
      <w:r>
        <w:rPr>
          <w:rFonts w:hint="default" w:ascii="Times New Roman" w:hAnsi="Times New Roman" w:cs="Times New Roman" w:eastAsiaTheme="minorEastAsia"/>
          <w:color w:val="000000"/>
          <w:szCs w:val="21"/>
        </w:rPr>
        <w:t>YB/T 5106-2009黏土质耐火砖</w:t>
      </w:r>
    </w:p>
    <w:p>
      <w:pPr>
        <w:snapToGrid w:val="0"/>
        <w:spacing w:line="440" w:lineRule="exact"/>
        <w:ind w:firstLine="420" w:firstLineChars="200"/>
        <w:rPr>
          <w:rFonts w:hint="default" w:ascii="Times New Roman" w:hAnsi="Times New Roman" w:cs="Times New Roman" w:eastAsiaTheme="minorEastAsia"/>
          <w:color w:val="000000"/>
          <w:szCs w:val="21"/>
        </w:rPr>
      </w:pPr>
      <w:r>
        <w:rPr>
          <w:rFonts w:hint="default" w:ascii="Times New Roman" w:hAnsi="Times New Roman" w:cs="Times New Roman" w:eastAsiaTheme="minorEastAsia"/>
          <w:color w:val="000000"/>
          <w:szCs w:val="21"/>
        </w:rPr>
        <w:t>现行有效的企业标准、团体标准、地方标准及产品明示质量要求</w:t>
      </w:r>
    </w:p>
    <w:p>
      <w:pPr>
        <w:snapToGrid w:val="0"/>
        <w:spacing w:line="440" w:lineRule="exact"/>
        <w:rPr>
          <w:rFonts w:hint="default" w:ascii="Times New Roman" w:hAnsi="Times New Roman" w:cs="Times New Roman" w:eastAsiaTheme="minorEastAsia"/>
          <w:color w:val="000000"/>
          <w:szCs w:val="21"/>
        </w:rPr>
      </w:pPr>
      <w:r>
        <w:rPr>
          <w:rFonts w:hint="default" w:ascii="Times New Roman" w:hAnsi="Times New Roman" w:cs="Times New Roman" w:eastAsiaTheme="minorEastAsia"/>
          <w:color w:val="000000"/>
          <w:szCs w:val="21"/>
        </w:rPr>
        <w:t>3.2判定原则</w:t>
      </w:r>
    </w:p>
    <w:p>
      <w:pPr>
        <w:snapToGrid w:val="0"/>
        <w:spacing w:line="440" w:lineRule="exact"/>
        <w:ind w:firstLine="420" w:firstLineChars="200"/>
        <w:rPr>
          <w:color w:val="000000"/>
          <w:szCs w:val="21"/>
        </w:rPr>
      </w:pPr>
      <w:r>
        <w:rPr>
          <w:rFonts w:ascii="Times New Roman" w:hAnsi="Times New Roman"/>
          <w:color w:val="000000"/>
          <w:szCs w:val="21"/>
        </w:rPr>
        <w:t>经检验，检验项目全部合格，判定为被抽查产品所检项目未发现不合格</w:t>
      </w:r>
      <w:r>
        <w:rPr>
          <w:color w:val="000000"/>
          <w:szCs w:val="21"/>
        </w:rPr>
        <w:t>；检验项目中任一项或一项以上不合格，判定为被抽查产品不合格。</w:t>
      </w:r>
    </w:p>
    <w:p>
      <w:pPr>
        <w:snapToGrid w:val="0"/>
        <w:spacing w:line="440" w:lineRule="exact"/>
        <w:ind w:firstLine="417" w:firstLineChars="199"/>
        <w:rPr>
          <w:color w:val="000000"/>
          <w:szCs w:val="21"/>
        </w:rPr>
      </w:pPr>
      <w:r>
        <w:rPr>
          <w:color w:val="000000"/>
          <w:szCs w:val="21"/>
        </w:rPr>
        <w:t>若被检产品明示的质量要求高于本细则中检验项目依据的标准要求时，应按被检产品明示的质量要求判定。</w:t>
      </w:r>
    </w:p>
    <w:p>
      <w:pPr>
        <w:snapToGrid w:val="0"/>
        <w:spacing w:line="440" w:lineRule="exact"/>
        <w:ind w:firstLine="417" w:firstLineChars="199"/>
        <w:rPr>
          <w:color w:val="000000"/>
          <w:szCs w:val="21"/>
        </w:rPr>
      </w:pPr>
      <w:r>
        <w:rPr>
          <w:color w:val="000000"/>
          <w:szCs w:val="21"/>
        </w:rPr>
        <w:t>若被检产品明示的质量要求低于本细则中检验项目依据的强制性标准要求时，应按照强制性标准要求判定。</w:t>
      </w:r>
    </w:p>
    <w:p>
      <w:pPr>
        <w:snapToGrid w:val="0"/>
        <w:spacing w:line="440" w:lineRule="exact"/>
        <w:ind w:firstLine="417" w:firstLineChars="199"/>
        <w:rPr>
          <w:color w:val="000000"/>
          <w:szCs w:val="21"/>
        </w:rPr>
      </w:pPr>
      <w:r>
        <w:rPr>
          <w:color w:val="000000"/>
          <w:szCs w:val="21"/>
        </w:rPr>
        <w:t>若被检产品明示的质量要求低于或包含本细则中检验项目依据的推荐性标准要求时，应以被检产品明示的质量要求判定。</w:t>
      </w:r>
    </w:p>
    <w:p>
      <w:pPr>
        <w:snapToGrid w:val="0"/>
        <w:spacing w:line="440" w:lineRule="exact"/>
        <w:ind w:firstLine="417" w:firstLineChars="199"/>
        <w:rPr>
          <w:color w:val="000000"/>
          <w:szCs w:val="21"/>
        </w:rPr>
      </w:pPr>
      <w:r>
        <w:rPr>
          <w:color w:val="000000"/>
          <w:szCs w:val="21"/>
        </w:rPr>
        <w:t>若被检产品明示的质量要求缺少本细则中检验项目依据的强制性标准要求时，应按照强制性标准要求判定。</w:t>
      </w:r>
    </w:p>
    <w:p>
      <w:pPr>
        <w:snapToGrid w:val="0"/>
        <w:spacing w:line="440" w:lineRule="exact"/>
        <w:ind w:firstLine="417" w:firstLineChars="199"/>
        <w:rPr>
          <w:color w:val="000000"/>
          <w:szCs w:val="21"/>
        </w:rPr>
      </w:pPr>
      <w:r>
        <w:rPr>
          <w:color w:val="000000"/>
          <w:szCs w:val="21"/>
        </w:rPr>
        <w:t>若被检产品明示的质量要求缺少本细则中检验项目依据的推荐性标准要求时，该项目不参与判定。</w:t>
      </w:r>
    </w:p>
    <w:p/>
    <w:p>
      <w:pPr>
        <w:spacing w:line="440" w:lineRule="exact"/>
        <w:rPr>
          <w:rFonts w:hint="eastAsia" w:eastAsia="黑体"/>
          <w:color w:val="000000"/>
          <w:szCs w:val="21"/>
        </w:rPr>
      </w:pPr>
      <w:r>
        <w:rPr>
          <w:rFonts w:hint="eastAsia" w:eastAsia="黑体"/>
          <w:color w:val="000000"/>
          <w:szCs w:val="21"/>
        </w:rPr>
        <w:t>4 附则</w:t>
      </w:r>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textAlignment w:val="auto"/>
        <w:rPr>
          <w:rFonts w:hint="eastAsia" w:asciiTheme="minorEastAsia" w:hAnsiTheme="minorEastAsia" w:eastAsiaTheme="minorEastAsia" w:cstheme="minorEastAsia"/>
        </w:rPr>
      </w:pPr>
      <w:r>
        <w:rPr>
          <w:rFonts w:hint="eastAsia"/>
          <w:color w:val="000000"/>
          <w:szCs w:val="21"/>
        </w:rPr>
        <w:t>本细则代替《贵</w:t>
      </w:r>
      <w:bookmarkStart w:id="0" w:name="_GoBack"/>
      <w:r>
        <w:rPr>
          <w:rFonts w:hint="default" w:ascii="Times New Roman" w:hAnsi="Times New Roman" w:cs="Times New Roman"/>
          <w:color w:val="000000"/>
          <w:szCs w:val="21"/>
        </w:rPr>
        <w:t>州省市场监管局关于发布2024年版防爆灯具等142种产品贵州省产品质量监督抽查实施细则的公告</w:t>
      </w:r>
      <w:r>
        <w:rPr>
          <w:rFonts w:hint="default" w:ascii="Times New Roman" w:hAnsi="Times New Roman" w:cs="Times New Roman"/>
          <w:color w:val="000000"/>
          <w:szCs w:val="21"/>
        </w:rPr>
        <w:t>》</w:t>
      </w:r>
      <w:r>
        <w:rPr>
          <w:rFonts w:hint="default" w:ascii="Times New Roman" w:hAnsi="Times New Roman" w:cs="Times New Roman"/>
          <w:color w:val="000000"/>
        </w:rPr>
        <w:t>中的</w:t>
      </w:r>
      <w:r>
        <w:rPr>
          <w:rFonts w:hint="default" w:ascii="Times New Roman" w:hAnsi="Times New Roman" w:cs="Times New Roman" w:eastAsiaTheme="minorEastAsia"/>
          <w:color w:val="000000"/>
          <w:szCs w:val="21"/>
        </w:rPr>
        <w:t>《贵州省黏土耐火砖产品质量监督抽查实施细则（202</w:t>
      </w:r>
      <w:r>
        <w:rPr>
          <w:rFonts w:hint="default" w:ascii="Times New Roman" w:hAnsi="Times New Roman" w:cs="Times New Roman"/>
          <w:color w:val="000000"/>
          <w:szCs w:val="21"/>
          <w:lang w:val="en-US" w:eastAsia="zh-CN"/>
        </w:rPr>
        <w:t>4</w:t>
      </w:r>
      <w:r>
        <w:rPr>
          <w:rFonts w:hint="default" w:ascii="Times New Roman" w:hAnsi="Times New Roman" w:cs="Times New Roman" w:eastAsiaTheme="minorEastAsia"/>
          <w:color w:val="000000"/>
          <w:szCs w:val="21"/>
        </w:rPr>
        <w:t>年</w:t>
      </w:r>
      <w:bookmarkEnd w:id="0"/>
      <w:r>
        <w:rPr>
          <w:rFonts w:hint="default" w:ascii="Times New Roman" w:hAnsi="Times New Roman" w:cs="Times New Roman" w:eastAsiaTheme="minorEastAsia"/>
          <w:color w:val="000000"/>
          <w:szCs w:val="21"/>
        </w:rPr>
        <w:t>版）</w:t>
      </w:r>
      <w:r>
        <w:rPr>
          <w:rFonts w:hint="eastAsia" w:asciiTheme="minorEastAsia" w:hAnsiTheme="minorEastAsia" w:eastAsiaTheme="minorEastAsia" w:cstheme="minorEastAsia"/>
          <w:color w:val="000000"/>
          <w:szCs w:val="21"/>
        </w:rPr>
        <w:t>》。</w:t>
      </w:r>
    </w:p>
    <w:p/>
    <w:p>
      <w:pPr>
        <w:ind w:firstLine="420" w:firstLineChars="200"/>
      </w:pPr>
    </w:p>
    <w:sectPr>
      <w:pgSz w:w="11906" w:h="16838"/>
      <w:pgMar w:top="1984" w:right="1474" w:bottom="1644" w:left="147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方正小标宋_GBK">
    <w:panose1 w:val="02000000000000000000"/>
    <w:charset w:val="86"/>
    <w:family w:val="auto"/>
    <w:pitch w:val="default"/>
    <w:sig w:usb0="00000001" w:usb1="0800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仿宋_GB2312">
    <w:panose1 w:val="02010609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YmFhNGU0ZTc4M2RlYmEzMjhkYTljYTFhNDE0M2FkZmIifQ=="/>
  </w:docVars>
  <w:rsids>
    <w:rsidRoot w:val="3DBD1413"/>
    <w:rsid w:val="00056F2E"/>
    <w:rsid w:val="003F12BC"/>
    <w:rsid w:val="00855D60"/>
    <w:rsid w:val="00E154CC"/>
    <w:rsid w:val="02413036"/>
    <w:rsid w:val="05607B7E"/>
    <w:rsid w:val="074568E5"/>
    <w:rsid w:val="0A2F67F0"/>
    <w:rsid w:val="14695FE4"/>
    <w:rsid w:val="223E3B2E"/>
    <w:rsid w:val="257C73BE"/>
    <w:rsid w:val="33D12AF7"/>
    <w:rsid w:val="3639040D"/>
    <w:rsid w:val="373F55D7"/>
    <w:rsid w:val="3D3D0E0E"/>
    <w:rsid w:val="3DBD1413"/>
    <w:rsid w:val="49FE20F2"/>
    <w:rsid w:val="5EF7B2A6"/>
    <w:rsid w:val="5FF65FBE"/>
    <w:rsid w:val="6DCA3FC4"/>
    <w:rsid w:val="75995625"/>
    <w:rsid w:val="79C65216"/>
    <w:rsid w:val="7FF39787"/>
    <w:rsid w:val="FEFD369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nhideWhenUsed/>
    <w:qFormat/>
    <w:uiPriority w:val="1"/>
  </w:style>
  <w:style w:type="table" w:default="1" w:styleId="2">
    <w:name w:val="Normal Table"/>
    <w:semiHidden/>
    <w:unhideWhenUsed/>
    <w:qFormat/>
    <w:uiPriority w:val="99"/>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Pages>
  <Words>691</Words>
  <Characters>770</Characters>
  <Lines>5</Lines>
  <Paragraphs>1</Paragraphs>
  <TotalTime>5</TotalTime>
  <ScaleCrop>false</ScaleCrop>
  <LinksUpToDate>false</LinksUpToDate>
  <CharactersWithSpaces>779</CharactersWithSpaces>
  <Application>WPS Office_11.8.2.10624_F1E327BC-269C-435d-A152-05C5408002CA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2020-06-04T19:05:00Z</dcterms:created>
  <dc:creator>青鸟</dc:creator>
  <cp:lastModifiedBy>ysgz</cp:lastModifiedBy>
  <dcterms:modified xsi:type="dcterms:W3CDTF">2025-04-11T17:55:32Z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2052-11.8.2.10624</vt:lpwstr>
  </property>
  <property fmtid="{D5CDD505-2E9C-101B-9397-08002B2CF9AE}" pid="3" name="ICV">
    <vt:lpwstr>E5CCE0430F3B482E907B33808F83E87B</vt:lpwstr>
  </property>
  <property fmtid="{D5CDD505-2E9C-101B-9397-08002B2CF9AE}" pid="4" name="KSOTemplateDocerSaveRecord">
    <vt:lpwstr>eyJoZGlkIjoiYmFhNGU0ZTc4M2RlYmEzMjhkYTljYTFhNDE0M2FkZmIiLCJ1c2VySWQiOiI0MjUxMDQ1MjMifQ==</vt:lpwstr>
  </property>
</Properties>
</file>